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892D">
      <w:pPr>
        <w:pStyle w:val="3"/>
        <w:pageBreakBefore w:val="0"/>
        <w:widowControl w:val="0"/>
        <w:kinsoku/>
        <w:wordWrap/>
        <w:overflowPunct/>
        <w:topLinePunct w:val="0"/>
        <w:autoSpaceDE/>
        <w:autoSpaceDN/>
        <w:bidi w:val="0"/>
        <w:adjustRightInd/>
        <w:snapToGrid/>
        <w:spacing w:line="640" w:lineRule="exact"/>
        <w:ind w:firstLine="883" w:firstLineChars="200"/>
        <w:jc w:val="center"/>
        <w:textAlignment w:val="auto"/>
        <w:rPr>
          <w:rFonts w:hint="eastAsia"/>
        </w:rPr>
      </w:pPr>
      <w:r>
        <w:rPr>
          <w:rFonts w:hint="eastAsia"/>
        </w:rPr>
        <w:t>202</w:t>
      </w:r>
      <w:r>
        <w:rPr>
          <w:rFonts w:hint="eastAsia"/>
          <w:lang w:val="en-US" w:eastAsia="zh-CN"/>
        </w:rPr>
        <w:t>1</w:t>
      </w:r>
      <w:r>
        <w:rPr>
          <w:rFonts w:hint="eastAsia"/>
        </w:rPr>
        <w:t>年度</w:t>
      </w:r>
      <w:r>
        <w:rPr>
          <w:rFonts w:hint="eastAsia"/>
          <w:lang w:val="en-US" w:eastAsia="zh-CN"/>
        </w:rPr>
        <w:t>峙滩</w:t>
      </w:r>
      <w:r>
        <w:rPr>
          <w:rFonts w:hint="eastAsia"/>
        </w:rPr>
        <w:t>镇人民政府</w:t>
      </w:r>
      <w:r>
        <w:rPr>
          <w:rFonts w:hint="eastAsia"/>
          <w:lang w:val="en-US" w:eastAsia="zh-CN"/>
        </w:rPr>
        <w:t>部门</w:t>
      </w:r>
      <w:r>
        <w:rPr>
          <w:rFonts w:hint="eastAsia"/>
        </w:rPr>
        <w:t>整体支出绩效评价报告</w:t>
      </w:r>
    </w:p>
    <w:p w14:paraId="7E205272">
      <w:pPr>
        <w:pageBreakBefore w:val="0"/>
        <w:widowControl w:val="0"/>
        <w:kinsoku/>
        <w:wordWrap/>
        <w:overflowPunct/>
        <w:topLinePunct w:val="0"/>
        <w:autoSpaceDE/>
        <w:autoSpaceDN/>
        <w:bidi w:val="0"/>
        <w:adjustRightInd/>
        <w:snapToGrid/>
        <w:spacing w:line="640" w:lineRule="exact"/>
        <w:ind w:firstLine="723" w:firstLineChars="200"/>
        <w:textAlignment w:val="auto"/>
        <w:rPr>
          <w:rFonts w:hint="eastAsia" w:ascii="仿宋" w:hAnsi="仿宋" w:eastAsia="仿宋" w:cs="PMingLiU"/>
          <w:b/>
          <w:color w:val="auto"/>
          <w:kern w:val="2"/>
          <w:sz w:val="36"/>
          <w:szCs w:val="32"/>
          <w:lang w:val="en-US" w:eastAsia="zh-CN" w:bidi="zh-CN"/>
        </w:rPr>
      </w:pPr>
    </w:p>
    <w:p w14:paraId="73F08C39">
      <w:pPr>
        <w:pageBreakBefore w:val="0"/>
        <w:widowControl w:val="0"/>
        <w:kinsoku/>
        <w:wordWrap/>
        <w:overflowPunct/>
        <w:topLinePunct w:val="0"/>
        <w:autoSpaceDE/>
        <w:autoSpaceDN/>
        <w:bidi w:val="0"/>
        <w:adjustRightInd/>
        <w:snapToGrid/>
        <w:spacing w:line="640" w:lineRule="exact"/>
        <w:ind w:firstLine="723" w:firstLineChars="200"/>
        <w:textAlignment w:val="auto"/>
        <w:rPr>
          <w:rFonts w:hint="eastAsia" w:ascii="仿宋" w:hAnsi="仿宋" w:eastAsia="仿宋" w:cs="PMingLiU"/>
          <w:b/>
          <w:color w:val="auto"/>
          <w:kern w:val="2"/>
          <w:sz w:val="36"/>
          <w:szCs w:val="32"/>
          <w:lang w:val="en-US" w:eastAsia="zh-CN" w:bidi="zh-CN"/>
        </w:rPr>
      </w:pPr>
      <w:r>
        <w:rPr>
          <w:rFonts w:hint="eastAsia" w:ascii="仿宋" w:hAnsi="仿宋" w:eastAsia="仿宋" w:cs="PMingLiU"/>
          <w:b/>
          <w:color w:val="auto"/>
          <w:kern w:val="2"/>
          <w:sz w:val="36"/>
          <w:szCs w:val="32"/>
          <w:lang w:val="en-US" w:eastAsia="zh-CN" w:bidi="zh-CN"/>
        </w:rPr>
        <w:t>一、部门基本情况</w:t>
      </w:r>
    </w:p>
    <w:p w14:paraId="60FB9BBF">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部门</w:t>
      </w:r>
      <w:r>
        <w:rPr>
          <w:rFonts w:hint="eastAsia" w:ascii="仿宋" w:hAnsi="仿宋" w:eastAsia="仿宋" w:cs="仿宋"/>
          <w:color w:val="auto"/>
          <w:sz w:val="32"/>
          <w:szCs w:val="32"/>
        </w:rPr>
        <w:t>机构设置和在职</w:t>
      </w:r>
      <w:r>
        <w:rPr>
          <w:rFonts w:hint="eastAsia" w:ascii="仿宋" w:hAnsi="仿宋" w:eastAsia="仿宋" w:cs="仿宋"/>
          <w:sz w:val="32"/>
          <w:szCs w:val="32"/>
        </w:rPr>
        <w:t>人员情况。</w:t>
      </w:r>
    </w:p>
    <w:p w14:paraId="2B574E82">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浮梁县峙滩镇</w:t>
      </w:r>
      <w:r>
        <w:rPr>
          <w:rFonts w:hint="eastAsia" w:ascii="仿宋" w:hAnsi="仿宋" w:eastAsia="仿宋" w:cs="仿宋"/>
          <w:sz w:val="32"/>
          <w:szCs w:val="32"/>
        </w:rPr>
        <w:t>人民政府下属有5个行政</w:t>
      </w:r>
      <w:r>
        <w:rPr>
          <w:rFonts w:hint="eastAsia" w:ascii="仿宋" w:hAnsi="仿宋" w:eastAsia="仿宋" w:cs="仿宋"/>
          <w:sz w:val="32"/>
          <w:szCs w:val="32"/>
          <w:lang w:val="en-US" w:eastAsia="zh-CN"/>
        </w:rPr>
        <w:t>部门</w:t>
      </w:r>
      <w:r>
        <w:rPr>
          <w:rFonts w:hint="eastAsia" w:ascii="仿宋" w:hAnsi="仿宋" w:eastAsia="仿宋" w:cs="仿宋"/>
          <w:sz w:val="32"/>
          <w:szCs w:val="32"/>
        </w:rPr>
        <w:t>：</w:t>
      </w:r>
      <w:r>
        <w:rPr>
          <w:rFonts w:hint="eastAsia" w:ascii="仿宋" w:hAnsi="仿宋" w:eastAsia="仿宋" w:cs="仿宋"/>
          <w:sz w:val="32"/>
          <w:szCs w:val="32"/>
          <w:lang w:val="en-US" w:eastAsia="zh-CN"/>
        </w:rPr>
        <w:t>峙滩</w:t>
      </w:r>
      <w:r>
        <w:rPr>
          <w:rFonts w:hint="eastAsia" w:ascii="仿宋" w:hAnsi="仿宋" w:eastAsia="仿宋" w:cs="仿宋"/>
          <w:sz w:val="32"/>
          <w:szCs w:val="32"/>
        </w:rPr>
        <w:t>镇党政办公室、</w:t>
      </w:r>
      <w:r>
        <w:rPr>
          <w:rFonts w:hint="eastAsia" w:ascii="仿宋" w:hAnsi="仿宋" w:eastAsia="仿宋" w:cs="仿宋"/>
          <w:sz w:val="32"/>
          <w:szCs w:val="32"/>
          <w:lang w:val="en-US" w:eastAsia="zh-CN"/>
        </w:rPr>
        <w:t>峙滩</w:t>
      </w:r>
      <w:r>
        <w:rPr>
          <w:rFonts w:hint="eastAsia" w:ascii="仿宋" w:hAnsi="仿宋" w:eastAsia="仿宋" w:cs="仿宋"/>
          <w:sz w:val="32"/>
          <w:szCs w:val="32"/>
        </w:rPr>
        <w:t>镇</w:t>
      </w:r>
      <w:r>
        <w:rPr>
          <w:rFonts w:hint="eastAsia" w:ascii="仿宋" w:hAnsi="仿宋" w:eastAsia="仿宋" w:cs="仿宋"/>
          <w:sz w:val="32"/>
          <w:szCs w:val="32"/>
          <w:lang w:val="en-US" w:eastAsia="zh-CN"/>
        </w:rPr>
        <w:t>社会事务</w:t>
      </w:r>
      <w:r>
        <w:rPr>
          <w:rFonts w:hint="eastAsia" w:ascii="仿宋" w:hAnsi="仿宋" w:eastAsia="仿宋" w:cs="仿宋"/>
          <w:sz w:val="32"/>
          <w:szCs w:val="32"/>
        </w:rPr>
        <w:t>办公室、</w:t>
      </w:r>
      <w:r>
        <w:rPr>
          <w:rFonts w:hint="eastAsia" w:ascii="仿宋" w:hAnsi="仿宋" w:eastAsia="仿宋" w:cs="仿宋"/>
          <w:sz w:val="32"/>
          <w:szCs w:val="32"/>
          <w:lang w:val="en-US" w:eastAsia="zh-CN"/>
        </w:rPr>
        <w:t>峙滩</w:t>
      </w:r>
      <w:r>
        <w:rPr>
          <w:rFonts w:hint="eastAsia" w:ascii="仿宋" w:hAnsi="仿宋" w:eastAsia="仿宋" w:cs="仿宋"/>
          <w:sz w:val="32"/>
          <w:szCs w:val="32"/>
        </w:rPr>
        <w:t>镇经济发展和</w:t>
      </w:r>
      <w:r>
        <w:rPr>
          <w:rFonts w:hint="eastAsia" w:ascii="仿宋" w:hAnsi="仿宋" w:eastAsia="仿宋" w:cs="仿宋"/>
          <w:sz w:val="32"/>
          <w:szCs w:val="32"/>
          <w:lang w:val="en-US" w:eastAsia="zh-CN"/>
        </w:rPr>
        <w:t>财政</w:t>
      </w:r>
      <w:r>
        <w:rPr>
          <w:rFonts w:hint="eastAsia" w:ascii="仿宋" w:hAnsi="仿宋" w:eastAsia="仿宋" w:cs="仿宋"/>
          <w:sz w:val="32"/>
          <w:szCs w:val="32"/>
        </w:rPr>
        <w:t>办公室、</w:t>
      </w:r>
      <w:r>
        <w:rPr>
          <w:rFonts w:hint="eastAsia" w:ascii="仿宋" w:hAnsi="仿宋" w:eastAsia="仿宋" w:cs="仿宋"/>
          <w:sz w:val="32"/>
          <w:szCs w:val="32"/>
          <w:lang w:val="en-US" w:eastAsia="zh-CN"/>
        </w:rPr>
        <w:t>峙滩</w:t>
      </w:r>
      <w:r>
        <w:rPr>
          <w:rFonts w:hint="eastAsia" w:ascii="仿宋" w:hAnsi="仿宋" w:eastAsia="仿宋" w:cs="仿宋"/>
          <w:sz w:val="32"/>
          <w:szCs w:val="32"/>
        </w:rPr>
        <w:t>镇社会</w:t>
      </w:r>
      <w:r>
        <w:rPr>
          <w:rFonts w:hint="eastAsia" w:ascii="仿宋" w:hAnsi="仿宋" w:eastAsia="仿宋" w:cs="仿宋"/>
          <w:sz w:val="32"/>
          <w:szCs w:val="32"/>
          <w:lang w:val="en-US" w:eastAsia="zh-CN"/>
        </w:rPr>
        <w:t>治理</w:t>
      </w:r>
      <w:r>
        <w:rPr>
          <w:rFonts w:hint="eastAsia" w:ascii="仿宋" w:hAnsi="仿宋" w:eastAsia="仿宋" w:cs="仿宋"/>
          <w:sz w:val="32"/>
          <w:szCs w:val="32"/>
        </w:rPr>
        <w:t>办公室、</w:t>
      </w:r>
      <w:r>
        <w:rPr>
          <w:rFonts w:hint="eastAsia" w:ascii="仿宋" w:hAnsi="仿宋" w:eastAsia="仿宋" w:cs="仿宋"/>
          <w:sz w:val="32"/>
          <w:szCs w:val="32"/>
          <w:lang w:val="en-US" w:eastAsia="zh-CN"/>
        </w:rPr>
        <w:t>峙滩</w:t>
      </w:r>
      <w:r>
        <w:rPr>
          <w:rFonts w:hint="eastAsia" w:ascii="仿宋" w:hAnsi="仿宋" w:eastAsia="仿宋" w:cs="仿宋"/>
          <w:sz w:val="32"/>
          <w:szCs w:val="32"/>
        </w:rPr>
        <w:t>镇</w:t>
      </w:r>
      <w:r>
        <w:rPr>
          <w:rFonts w:hint="eastAsia" w:ascii="仿宋" w:hAnsi="仿宋" w:eastAsia="仿宋" w:cs="仿宋"/>
          <w:sz w:val="32"/>
          <w:szCs w:val="32"/>
          <w:lang w:val="en-US" w:eastAsia="zh-CN"/>
        </w:rPr>
        <w:t>农业农村工作</w:t>
      </w:r>
      <w:r>
        <w:rPr>
          <w:rFonts w:hint="eastAsia" w:ascii="仿宋" w:hAnsi="仿宋" w:eastAsia="仿宋" w:cs="仿宋"/>
          <w:sz w:val="32"/>
          <w:szCs w:val="32"/>
        </w:rPr>
        <w:t>办公室，</w:t>
      </w:r>
      <w:r>
        <w:rPr>
          <w:rFonts w:hint="eastAsia" w:ascii="仿宋" w:hAnsi="仿宋" w:eastAsia="仿宋" w:cs="仿宋"/>
          <w:sz w:val="32"/>
          <w:szCs w:val="32"/>
          <w:lang w:val="en-US" w:eastAsia="zh-CN"/>
        </w:rPr>
        <w:t>2</w:t>
      </w:r>
      <w:r>
        <w:rPr>
          <w:rFonts w:hint="eastAsia" w:ascii="仿宋" w:hAnsi="仿宋" w:eastAsia="仿宋" w:cs="仿宋"/>
          <w:sz w:val="32"/>
          <w:szCs w:val="32"/>
        </w:rPr>
        <w:t>个事业</w:t>
      </w:r>
      <w:r>
        <w:rPr>
          <w:rFonts w:hint="eastAsia" w:ascii="仿宋" w:hAnsi="仿宋" w:eastAsia="仿宋" w:cs="仿宋"/>
          <w:sz w:val="32"/>
          <w:szCs w:val="32"/>
          <w:lang w:val="en-US" w:eastAsia="zh-CN"/>
        </w:rPr>
        <w:t>单位</w:t>
      </w:r>
      <w:r>
        <w:rPr>
          <w:rFonts w:hint="eastAsia" w:ascii="仿宋" w:hAnsi="仿宋" w:eastAsia="仿宋" w:cs="仿宋"/>
          <w:sz w:val="32"/>
          <w:szCs w:val="32"/>
        </w:rPr>
        <w:t>：</w:t>
      </w:r>
      <w:r>
        <w:rPr>
          <w:rFonts w:hint="eastAsia" w:ascii="仿宋" w:hAnsi="仿宋" w:eastAsia="仿宋" w:cs="仿宋"/>
          <w:sz w:val="32"/>
          <w:szCs w:val="32"/>
          <w:lang w:val="en-US" w:eastAsia="zh-CN"/>
        </w:rPr>
        <w:t>峙滩镇综合行政执法队</w:t>
      </w:r>
      <w:r>
        <w:rPr>
          <w:rFonts w:hint="eastAsia" w:ascii="仿宋" w:hAnsi="仿宋" w:eastAsia="仿宋" w:cs="仿宋"/>
          <w:sz w:val="32"/>
          <w:szCs w:val="32"/>
        </w:rPr>
        <w:t>、</w:t>
      </w:r>
      <w:r>
        <w:rPr>
          <w:rFonts w:hint="eastAsia" w:ascii="仿宋" w:hAnsi="仿宋" w:eastAsia="仿宋" w:cs="仿宋"/>
          <w:sz w:val="32"/>
          <w:szCs w:val="32"/>
          <w:lang w:val="en-US" w:eastAsia="zh-CN"/>
        </w:rPr>
        <w:t>峙滩镇便民服务中心。共7个部门机构。</w:t>
      </w:r>
    </w:p>
    <w:p w14:paraId="651EA72E">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峙滩</w:t>
      </w:r>
      <w:r>
        <w:rPr>
          <w:rFonts w:hint="eastAsia" w:ascii="仿宋" w:hAnsi="仿宋" w:eastAsia="仿宋" w:cs="仿宋"/>
          <w:sz w:val="32"/>
          <w:szCs w:val="32"/>
        </w:rPr>
        <w:t>镇人民政府202</w:t>
      </w:r>
      <w:r>
        <w:rPr>
          <w:rFonts w:hint="eastAsia" w:ascii="仿宋" w:hAnsi="仿宋" w:eastAsia="仿宋" w:cs="仿宋"/>
          <w:sz w:val="32"/>
          <w:szCs w:val="32"/>
          <w:lang w:val="en-US" w:eastAsia="zh-CN"/>
        </w:rPr>
        <w:t>1</w:t>
      </w:r>
      <w:r>
        <w:rPr>
          <w:rFonts w:hint="eastAsia" w:ascii="仿宋" w:hAnsi="仿宋" w:eastAsia="仿宋" w:cs="仿宋"/>
          <w:sz w:val="32"/>
          <w:szCs w:val="32"/>
        </w:rPr>
        <w:t>年末实有人员编制</w:t>
      </w:r>
      <w:r>
        <w:rPr>
          <w:rFonts w:hint="eastAsia" w:ascii="仿宋" w:hAnsi="仿宋" w:eastAsia="仿宋" w:cs="仿宋"/>
          <w:sz w:val="32"/>
          <w:szCs w:val="32"/>
          <w:lang w:val="en-US" w:eastAsia="zh-CN"/>
        </w:rPr>
        <w:t>49</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23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26</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5553F485">
      <w:pPr>
        <w:pageBreakBefore w:val="0"/>
        <w:widowControl w:val="0"/>
        <w:numPr>
          <w:ilvl w:val="0"/>
          <w:numId w:val="0"/>
        </w:numPr>
        <w:kinsoku/>
        <w:wordWrap/>
        <w:overflowPunct/>
        <w:topLinePunct w:val="0"/>
        <w:autoSpaceDE/>
        <w:autoSpaceDN/>
        <w:bidi w:val="0"/>
        <w:adjustRightInd/>
        <w:snapToGrid/>
        <w:spacing w:line="640" w:lineRule="exact"/>
        <w:ind w:leftChars="20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部门职责。</w:t>
      </w:r>
    </w:p>
    <w:p w14:paraId="50C6BEC8">
      <w:pPr>
        <w:pStyle w:val="2"/>
        <w:pageBreakBefore w:val="0"/>
        <w:widowControl w:val="0"/>
        <w:kinsoku/>
        <w:wordWrap/>
        <w:overflowPunct/>
        <w:topLinePunct w:val="0"/>
        <w:autoSpaceDE/>
        <w:autoSpaceDN/>
        <w:bidi w:val="0"/>
        <w:adjustRightInd/>
        <w:snapToGrid/>
        <w:spacing w:line="640" w:lineRule="exact"/>
        <w:ind w:left="113" w:right="22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浮梁县峙滩镇委员会领导本地区经济、政治、文化、社会、生态文明建设等各项工作和基层社会治理；浮梁县峙滩镇人民政府依法行使政府管理和服务职能。主要职责是：</w:t>
      </w:r>
    </w:p>
    <w:p w14:paraId="755FC789">
      <w:pPr>
        <w:pStyle w:val="2"/>
        <w:pageBreakBefore w:val="0"/>
        <w:widowControl w:val="0"/>
        <w:numPr>
          <w:ilvl w:val="0"/>
          <w:numId w:val="1"/>
        </w:numPr>
        <w:kinsoku/>
        <w:wordWrap/>
        <w:overflowPunct/>
        <w:topLinePunct w:val="0"/>
        <w:autoSpaceDE/>
        <w:autoSpaceDN/>
        <w:bidi w:val="0"/>
        <w:adjustRightInd/>
        <w:snapToGrid/>
        <w:spacing w:line="640" w:lineRule="exact"/>
        <w:ind w:left="113" w:right="22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党的建设，落实基层党建工作责任制，严格抓好基层党组织建设各项制度，统筹抓好基层党建工作。推进全面从严治党，强化“两个责任”，全面落实农村基层党支部“五化”建设，全面加强农村基层宣传思想文化工作，强化党建引领基层治理，进一步增强党在基层的政治领导力、思想引领力、群众组织力、社会号召力。</w:t>
      </w:r>
    </w:p>
    <w:p w14:paraId="50C885EE">
      <w:pPr>
        <w:pStyle w:val="2"/>
        <w:pageBreakBefore w:val="0"/>
        <w:widowControl w:val="0"/>
        <w:numPr>
          <w:ilvl w:val="0"/>
          <w:numId w:val="1"/>
        </w:numPr>
        <w:kinsoku/>
        <w:wordWrap/>
        <w:overflowPunct/>
        <w:topLinePunct w:val="0"/>
        <w:autoSpaceDE/>
        <w:autoSpaceDN/>
        <w:bidi w:val="0"/>
        <w:adjustRightInd/>
        <w:snapToGrid/>
        <w:spacing w:line="640" w:lineRule="exact"/>
        <w:ind w:left="113" w:right="22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公共管理。推进区域发展，全面实施乡村振兴战略，统筹落实辖区发展的重大决策和建设规划。实施综合管理，组织、领导、推进、协调辖区内集镇管理、人口管理、社会管理、经济发展、综合执法、市场监管、公共服务、生态环境保护等工作。领导基层自治工作，健全完善自治为基、法治为本、德治为先的基层治理体系。</w:t>
      </w:r>
    </w:p>
    <w:p w14:paraId="786381CD">
      <w:pPr>
        <w:pStyle w:val="2"/>
        <w:pageBreakBefore w:val="0"/>
        <w:widowControl w:val="0"/>
        <w:numPr>
          <w:ilvl w:val="0"/>
          <w:numId w:val="1"/>
        </w:numPr>
        <w:kinsoku/>
        <w:wordWrap/>
        <w:overflowPunct/>
        <w:topLinePunct w:val="0"/>
        <w:autoSpaceDE/>
        <w:autoSpaceDN/>
        <w:bidi w:val="0"/>
        <w:adjustRightInd/>
        <w:snapToGrid/>
        <w:spacing w:line="640" w:lineRule="exact"/>
        <w:ind w:left="113" w:right="22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公共安全。负责辖区公共安全及安全生产监管，构建公共安全防控体系，建立应对突发紧急事件的处理预案，做好安全生产、防汛、防火、防疫、气象灾害防御、食品药品安全等应急管理工作。承担辖区社会治安综合治理工作，健全多元纠纷解决机制，综合发挥人民调解、行政调解和司法调解的作用，及时化解辖区社会矛盾，确保社会稳定。</w:t>
      </w:r>
    </w:p>
    <w:p w14:paraId="03C4D3DD">
      <w:pPr>
        <w:pStyle w:val="2"/>
        <w:pageBreakBefore w:val="0"/>
        <w:widowControl w:val="0"/>
        <w:numPr>
          <w:ilvl w:val="0"/>
          <w:numId w:val="1"/>
        </w:numPr>
        <w:kinsoku/>
        <w:wordWrap/>
        <w:overflowPunct/>
        <w:topLinePunct w:val="0"/>
        <w:autoSpaceDE/>
        <w:autoSpaceDN/>
        <w:bidi w:val="0"/>
        <w:adjustRightInd/>
        <w:snapToGrid/>
        <w:spacing w:line="640" w:lineRule="exact"/>
        <w:ind w:left="113" w:right="22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加强公共服务。组织实施与群众生活密切相关的各项公共服务，落实人力资源和社会保障、民政、退役军人、教育、文化、体育、卫生健康等方面相关政策。拓宽服务渠道，改进服务方式，建立健全群众办事一次办结机制。推进镇村两级便民服务平台标准化建设，落实审批服务“三集中三到位”改革，深化“一窗受理、集成服务”改革，提升群众获得感和幸福感。</w:t>
      </w:r>
    </w:p>
    <w:p w14:paraId="1B1F8EA3">
      <w:pPr>
        <w:pStyle w:val="2"/>
        <w:pageBreakBefore w:val="0"/>
        <w:widowControl w:val="0"/>
        <w:numPr>
          <w:ilvl w:val="0"/>
          <w:numId w:val="1"/>
        </w:numPr>
        <w:kinsoku/>
        <w:wordWrap/>
        <w:overflowPunct/>
        <w:topLinePunct w:val="0"/>
        <w:autoSpaceDE/>
        <w:autoSpaceDN/>
        <w:bidi w:val="0"/>
        <w:adjustRightInd/>
        <w:snapToGrid/>
        <w:spacing w:line="640" w:lineRule="exact"/>
        <w:ind w:left="113" w:right="220"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、贯彻执行相关法律法规，落实党和国家的方针、政策，承担上级交办的其他事项。</w:t>
      </w:r>
    </w:p>
    <w:p w14:paraId="0C42DFE6">
      <w:pPr>
        <w:pStyle w:val="2"/>
        <w:pageBreakBefore w:val="0"/>
        <w:widowControl w:val="0"/>
        <w:numPr>
          <w:ilvl w:val="0"/>
          <w:numId w:val="0"/>
        </w:numPr>
        <w:kinsoku/>
        <w:wordWrap/>
        <w:overflowPunct/>
        <w:topLinePunct w:val="0"/>
        <w:autoSpaceDE/>
        <w:autoSpaceDN/>
        <w:bidi w:val="0"/>
        <w:adjustRightInd/>
        <w:snapToGrid/>
        <w:spacing w:line="640" w:lineRule="exact"/>
        <w:ind w:right="220" w:rightChars="0" w:firstLine="723" w:firstLineChars="200"/>
        <w:jc w:val="both"/>
        <w:textAlignment w:val="auto"/>
        <w:rPr>
          <w:rFonts w:hint="eastAsia" w:ascii="仿宋" w:hAnsi="仿宋" w:eastAsia="仿宋" w:cs="仿宋"/>
          <w:sz w:val="32"/>
          <w:szCs w:val="32"/>
        </w:rPr>
      </w:pPr>
      <w:r>
        <w:rPr>
          <w:rFonts w:hint="eastAsia" w:ascii="仿宋" w:hAnsi="仿宋" w:eastAsia="仿宋"/>
          <w:b/>
          <w:color w:val="auto"/>
          <w:sz w:val="36"/>
          <w:lang w:val="en-US" w:eastAsia="zh-CN"/>
        </w:rPr>
        <w:t>二、2021年政府</w:t>
      </w:r>
      <w:r>
        <w:rPr>
          <w:rFonts w:hint="eastAsia" w:ascii="仿宋" w:hAnsi="仿宋" w:eastAsia="仿宋"/>
          <w:b/>
          <w:color w:val="auto"/>
          <w:sz w:val="36"/>
        </w:rPr>
        <w:t>履职总体目标、工作任务。</w:t>
      </w:r>
    </w:p>
    <w:p w14:paraId="2E91E93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1、聚焦经济发展，注重提质增效。</w:t>
      </w:r>
    </w:p>
    <w:p w14:paraId="4B9F99B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促进经济运行平稳高效。农业生产稳中有进。紧抓粮食生产和扩面工作，积极推进5个村2600余亩高标准</w:t>
      </w:r>
      <w:bookmarkStart w:id="0" w:name="_GoBack"/>
      <w:bookmarkEnd w:id="0"/>
      <w:r>
        <w:rPr>
          <w:rFonts w:hint="eastAsia" w:ascii="仿宋" w:hAnsi="仿宋" w:eastAsia="仿宋" w:cs="仿宋"/>
          <w:kern w:val="2"/>
          <w:sz w:val="32"/>
          <w:szCs w:val="32"/>
          <w:lang w:val="en-US" w:eastAsia="zh-CN" w:bidi="ar-SA"/>
        </w:rPr>
        <w:t>农田建设。开展稻谷补贴核查工作，大力推广水稻保险。引导群众进行农业产业化结构调整。大力发展浯溪口库区旅游，重点打造以昌江河河道为载体的休闲游，在库区各移民安置点鼓励群众发展餐饮、住宿等。深入挖掘红色文化，完成皖赣边苏区八县会址修复工程，规划建设皖赣边苏区红军纪念广场。</w:t>
      </w:r>
    </w:p>
    <w:p w14:paraId="588FF28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2、聚焦疫情防控，强化责任担当。</w:t>
      </w:r>
    </w:p>
    <w:p w14:paraId="778DD71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持续推进疫苗接种。积极推进全民疫苗接种工作。强化防疫处理能力。做好防护服、医用外科口罩、消毒水等防控物资的日常储备，组织开展疫情防控应急演练和全员核酸检测演练，提高我镇预防和处置突发事件的组织协调和物资保障能力。做好常态化疫情防控。加强对重点场所落实常态化疫情防控措施的督导检查，第一时间发布中高风险地区信息，按照网格化管理要求，对返乡人员做到及时摸排管控。</w:t>
      </w:r>
    </w:p>
    <w:p w14:paraId="723A252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3、完善和落实防止返贫监测帮扶机制。</w:t>
      </w:r>
    </w:p>
    <w:p w14:paraId="5F1B464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立监测标准年度调整机制，进一步简化识别程序，确保及早发现、应纳尽纳。根据监测对象风险类别、发展需求等精准施策，确保有人管、管到位。严格把握退出标准，规范退出程序，稳定消除返贫致贫风险。加强乡村振兴帮扶队伍建设。不断巩固发展村集体经济。积极争取有关部门和挂点帮扶单位的支持，各村、居、场依托自身优势，认真谋划村集体经济发展，结合原有产业基础，拓宽增收渠道。</w:t>
      </w:r>
    </w:p>
    <w:p w14:paraId="50F8DF7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4、聚焦招商引资，增强发展后劲。</w:t>
      </w:r>
    </w:p>
    <w:p w14:paraId="19175A1E">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深入推进招商引资“一号工程”，各村充分发挥本村在外乡贤的人才优势，通过乡贤招商、以商招商等模式，扩大招商朋友圈。积极</w:t>
      </w:r>
      <w:r>
        <w:rPr>
          <w:rFonts w:hint="default" w:ascii="仿宋" w:hAnsi="仿宋" w:eastAsia="仿宋" w:cs="仿宋"/>
          <w:kern w:val="2"/>
          <w:sz w:val="32"/>
          <w:szCs w:val="32"/>
          <w:lang w:val="en-US" w:eastAsia="zh-CN" w:bidi="ar-SA"/>
        </w:rPr>
        <w:t>对接高铁刹车片项目、共享汽车及金属</w:t>
      </w:r>
      <w:r>
        <w:rPr>
          <w:rFonts w:hint="eastAsia" w:ascii="仿宋" w:hAnsi="仿宋" w:eastAsia="仿宋" w:cs="仿宋"/>
          <w:kern w:val="2"/>
          <w:sz w:val="32"/>
          <w:szCs w:val="32"/>
          <w:lang w:val="en-US" w:eastAsia="zh-CN" w:bidi="ar-SA"/>
        </w:rPr>
        <w:t>加工</w:t>
      </w:r>
      <w:r>
        <w:rPr>
          <w:rFonts w:hint="default" w:ascii="仿宋" w:hAnsi="仿宋" w:eastAsia="仿宋" w:cs="仿宋"/>
          <w:kern w:val="2"/>
          <w:sz w:val="32"/>
          <w:szCs w:val="32"/>
          <w:lang w:val="en-US" w:eastAsia="zh-CN" w:bidi="ar-SA"/>
        </w:rPr>
        <w:t>项目</w:t>
      </w:r>
      <w:r>
        <w:rPr>
          <w:rFonts w:hint="eastAsia" w:ascii="仿宋" w:hAnsi="仿宋" w:eastAsia="仿宋" w:cs="仿宋"/>
          <w:kern w:val="2"/>
          <w:sz w:val="32"/>
          <w:szCs w:val="32"/>
          <w:lang w:val="en-US" w:eastAsia="zh-CN" w:bidi="ar-SA"/>
        </w:rPr>
        <w:t>，争取项目落地。</w:t>
      </w:r>
    </w:p>
    <w:p w14:paraId="312C9AB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5、聚焦环境整治，扮靓秀美乡村。</w:t>
      </w:r>
    </w:p>
    <w:p w14:paraId="3134034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展人居环境整治。建立党政领导分片包干机制，在新集镇范围划定片区，由党政领导带队开展人居环境专项整治行动。扎实推进农村生活垃圾治理。提升集镇管理水平。完成集镇人行道提升改造工程，争取上级有关部门项目支持，在集镇主次干道划定标线和停车位，引导规范有序停车。大力开展户厕改革及高标准建设新农村示范点。</w:t>
      </w:r>
    </w:p>
    <w:p w14:paraId="2E429755">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6、聚焦生态建设，守护绿水青山。</w:t>
      </w:r>
    </w:p>
    <w:p w14:paraId="3F32F7D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持续推进林长制</w:t>
      </w:r>
      <w:r>
        <w:rPr>
          <w:rFonts w:hint="eastAsia" w:ascii="仿宋" w:hAnsi="仿宋" w:eastAsia="仿宋" w:cs="仿宋"/>
          <w:kern w:val="2"/>
          <w:sz w:val="32"/>
          <w:szCs w:val="32"/>
          <w:lang w:val="en-US" w:eastAsia="zh-CN" w:bidi="ar-SA"/>
        </w:rPr>
        <w:t>。进一步夯实森林资源保护管理责任体系，完成1500亩森林质量提升抚育改造示范点设计工作。充分发挥护林员作用，坚决落实森林防火责任。扎实推进河长制。完善5座小（二）型水库度汛方案及应急预案。完成浯溪口水利枢纽抬田工程外围水系项目验收工作。积极推进城乡供水一体化。落实全省环保“回头看”环保督察信访件整改工作，加强水体污染综合防治。开展昌江河源头和饮用水源地保护，加强河道非法采砂、秸秆焚烧的日常巡查，实现河畅、水清的目标。</w:t>
      </w:r>
    </w:p>
    <w:p w14:paraId="4B2F225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7、聚焦共建共享，增进民生福祉。</w:t>
      </w:r>
    </w:p>
    <w:p w14:paraId="417E903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立信访联席会议制度。做好常态化扫黑除恶专项斗争，持续收集问题线索。推进平安建设网格化管理。加强“双提升”工作宣传，深入推进群众走访、回访等工作。开展禁毒宣传教育活动。推进交通基础设施建设，逐步化解生产便道建设问题，满足群众合理诉求。</w:t>
      </w:r>
      <w:r>
        <w:rPr>
          <w:rFonts w:hint="default" w:ascii="仿宋" w:hAnsi="仿宋" w:eastAsia="仿宋" w:cs="仿宋"/>
          <w:kern w:val="2"/>
          <w:sz w:val="32"/>
          <w:szCs w:val="32"/>
          <w:lang w:val="en-US" w:eastAsia="zh-CN" w:bidi="ar-SA"/>
        </w:rPr>
        <w:t>大力推进殡葬改革</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完善观沧岭公益性公墓基础设施建设，强化公墓有效常态化管护</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确保火化率和入公墓率两个100％</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对“三沿六区”散埋乱葬坟墓进行</w:t>
      </w:r>
      <w:r>
        <w:rPr>
          <w:rFonts w:hint="eastAsia" w:ascii="仿宋" w:hAnsi="仿宋" w:eastAsia="仿宋" w:cs="仿宋"/>
          <w:kern w:val="2"/>
          <w:sz w:val="32"/>
          <w:szCs w:val="32"/>
          <w:lang w:val="en-US" w:eastAsia="zh-CN" w:bidi="ar-SA"/>
        </w:rPr>
        <w:t>整治</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建设</w:t>
      </w:r>
      <w:r>
        <w:rPr>
          <w:rFonts w:hint="default" w:ascii="仿宋" w:hAnsi="仿宋" w:eastAsia="仿宋" w:cs="仿宋"/>
          <w:kern w:val="2"/>
          <w:sz w:val="32"/>
          <w:szCs w:val="32"/>
          <w:lang w:val="en-US" w:eastAsia="zh-CN" w:bidi="ar-SA"/>
        </w:rPr>
        <w:t>敬老院</w:t>
      </w:r>
      <w:r>
        <w:rPr>
          <w:rFonts w:hint="eastAsia" w:ascii="仿宋" w:hAnsi="仿宋" w:eastAsia="仿宋" w:cs="仿宋"/>
          <w:kern w:val="2"/>
          <w:sz w:val="32"/>
          <w:szCs w:val="32"/>
          <w:lang w:val="en-US" w:eastAsia="zh-CN" w:bidi="ar-SA"/>
        </w:rPr>
        <w:t>Ⅰ期项目</w:t>
      </w:r>
      <w:r>
        <w:rPr>
          <w:rFonts w:hint="default" w:ascii="仿宋" w:hAnsi="仿宋" w:eastAsia="仿宋" w:cs="仿宋"/>
          <w:kern w:val="2"/>
          <w:sz w:val="32"/>
          <w:szCs w:val="32"/>
          <w:lang w:val="en-US" w:eastAsia="zh-CN" w:bidi="ar-SA"/>
        </w:rPr>
        <w:t>，并对集中特困供养户进行不定期走访慰问</w:t>
      </w:r>
      <w:r>
        <w:rPr>
          <w:rFonts w:hint="eastAsia" w:ascii="仿宋" w:hAnsi="仿宋" w:eastAsia="仿宋" w:cs="仿宋"/>
          <w:kern w:val="2"/>
          <w:sz w:val="32"/>
          <w:szCs w:val="32"/>
          <w:lang w:val="en-US" w:eastAsia="zh-CN" w:bidi="ar-SA"/>
        </w:rPr>
        <w:t>。扎实开展征兵工作。做好退役军人优抚工作等。</w:t>
      </w:r>
    </w:p>
    <w:p w14:paraId="43E875EB">
      <w:pPr>
        <w:pageBreakBefore w:val="0"/>
        <w:widowControl w:val="0"/>
        <w:kinsoku/>
        <w:wordWrap/>
        <w:overflowPunct/>
        <w:topLinePunct w:val="0"/>
        <w:autoSpaceDE/>
        <w:autoSpaceDN/>
        <w:bidi w:val="0"/>
        <w:adjustRightInd/>
        <w:snapToGrid/>
        <w:spacing w:beforeLines="0" w:afterLines="0" w:line="640" w:lineRule="exact"/>
        <w:ind w:firstLine="723" w:firstLineChars="200"/>
        <w:rPr>
          <w:rFonts w:hint="eastAsia" w:ascii="仿宋" w:hAnsi="仿宋" w:eastAsia="仿宋"/>
          <w:b/>
          <w:color w:val="auto"/>
          <w:sz w:val="36"/>
        </w:rPr>
      </w:pPr>
      <w:r>
        <w:rPr>
          <w:rFonts w:hint="eastAsia" w:ascii="仿宋" w:hAnsi="仿宋" w:eastAsia="仿宋"/>
          <w:b/>
          <w:color w:val="auto"/>
          <w:sz w:val="36"/>
          <w:lang w:val="en-US" w:eastAsia="zh-CN"/>
        </w:rPr>
        <w:t>三、2021年</w:t>
      </w:r>
      <w:r>
        <w:rPr>
          <w:rFonts w:hint="eastAsia" w:ascii="仿宋" w:hAnsi="仿宋" w:eastAsia="仿宋"/>
          <w:b/>
          <w:color w:val="auto"/>
          <w:sz w:val="36"/>
        </w:rPr>
        <w:t>部门整体支出绩效目标。</w:t>
      </w:r>
    </w:p>
    <w:p w14:paraId="75FE42C3">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rPr>
      </w:pPr>
      <w:r>
        <w:rPr>
          <w:rFonts w:hint="eastAsia" w:ascii="仿宋" w:hAnsi="仿宋" w:eastAsia="仿宋"/>
          <w:sz w:val="32"/>
        </w:rPr>
        <w:t>目标1：不断提升在职职工服务能力和逐步提高辖区内服务水平。</w:t>
      </w:r>
    </w:p>
    <w:p w14:paraId="351634B3">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default" w:ascii="仿宋" w:hAnsi="仿宋" w:eastAsia="仿宋"/>
          <w:sz w:val="32"/>
          <w:lang w:val="en-US" w:eastAsia="zh-CN"/>
        </w:rPr>
      </w:pPr>
      <w:r>
        <w:rPr>
          <w:rFonts w:hint="eastAsia" w:ascii="仿宋" w:hAnsi="仿宋" w:eastAsia="仿宋"/>
          <w:sz w:val="32"/>
        </w:rPr>
        <w:t>目标2:</w:t>
      </w:r>
      <w:r>
        <w:rPr>
          <w:rFonts w:hint="eastAsia" w:ascii="仿宋" w:hAnsi="仿宋" w:eastAsia="仿宋"/>
          <w:sz w:val="32"/>
          <w:lang w:val="en-US" w:eastAsia="zh-CN"/>
        </w:rPr>
        <w:t xml:space="preserve"> </w:t>
      </w:r>
      <w:r>
        <w:rPr>
          <w:rFonts w:hint="eastAsia" w:ascii="仿宋" w:hAnsi="仿宋" w:eastAsia="仿宋"/>
          <w:sz w:val="32"/>
        </w:rPr>
        <w:t>有效保障乡镇正常运转</w:t>
      </w:r>
      <w:r>
        <w:rPr>
          <w:rFonts w:hint="eastAsia" w:ascii="仿宋" w:hAnsi="仿宋" w:eastAsia="仿宋"/>
          <w:sz w:val="32"/>
          <w:lang w:eastAsia="zh-CN"/>
        </w:rPr>
        <w:t>，</w:t>
      </w:r>
      <w:r>
        <w:rPr>
          <w:rFonts w:hint="eastAsia" w:ascii="仿宋" w:hAnsi="仿宋" w:eastAsia="仿宋"/>
          <w:sz w:val="32"/>
          <w:lang w:val="en-US" w:eastAsia="zh-CN"/>
        </w:rPr>
        <w:t>保证村级转移支付，提高村级干部主动作为能力。</w:t>
      </w:r>
    </w:p>
    <w:p w14:paraId="3842D1FA">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lang w:eastAsia="zh-CN"/>
        </w:rPr>
      </w:pPr>
      <w:r>
        <w:rPr>
          <w:rFonts w:hint="eastAsia" w:ascii="仿宋" w:hAnsi="仿宋" w:eastAsia="仿宋"/>
          <w:sz w:val="32"/>
        </w:rPr>
        <w:t>目标3：不断提升在职职工生活水平</w:t>
      </w:r>
      <w:r>
        <w:rPr>
          <w:rFonts w:hint="eastAsia" w:ascii="仿宋" w:hAnsi="仿宋" w:eastAsia="仿宋"/>
          <w:sz w:val="32"/>
          <w:lang w:eastAsia="zh-CN"/>
        </w:rPr>
        <w:t>，</w:t>
      </w:r>
      <w:r>
        <w:rPr>
          <w:rFonts w:hint="eastAsia" w:ascii="仿宋" w:hAnsi="仿宋" w:eastAsia="仿宋"/>
          <w:sz w:val="32"/>
        </w:rPr>
        <w:t>进一步加强和完善基层人才队伍建设</w:t>
      </w:r>
      <w:r>
        <w:rPr>
          <w:rFonts w:hint="eastAsia" w:ascii="仿宋" w:hAnsi="仿宋" w:eastAsia="仿宋"/>
          <w:sz w:val="32"/>
          <w:lang w:eastAsia="zh-CN"/>
        </w:rPr>
        <w:t>。</w:t>
      </w:r>
    </w:p>
    <w:p w14:paraId="78702FC4">
      <w:pPr>
        <w:pageBreakBefore w:val="0"/>
        <w:widowControl w:val="0"/>
        <w:kinsoku/>
        <w:wordWrap/>
        <w:overflowPunct/>
        <w:topLinePunct w:val="0"/>
        <w:autoSpaceDE/>
        <w:autoSpaceDN/>
        <w:bidi w:val="0"/>
        <w:adjustRightInd/>
        <w:snapToGrid/>
        <w:spacing w:beforeLines="0" w:afterLines="0" w:line="640" w:lineRule="exact"/>
        <w:ind w:firstLine="723" w:firstLineChars="200"/>
        <w:rPr>
          <w:rFonts w:hint="eastAsia" w:ascii="仿宋" w:hAnsi="仿宋" w:eastAsia="仿宋"/>
          <w:b/>
          <w:sz w:val="32"/>
        </w:rPr>
      </w:pPr>
      <w:r>
        <w:rPr>
          <w:rFonts w:hint="eastAsia" w:ascii="仿宋" w:hAnsi="仿宋" w:eastAsia="仿宋"/>
          <w:b/>
          <w:color w:val="auto"/>
          <w:sz w:val="36"/>
          <w:lang w:val="en-US" w:eastAsia="zh-CN"/>
        </w:rPr>
        <w:t>四、</w:t>
      </w:r>
      <w:r>
        <w:rPr>
          <w:rFonts w:hint="eastAsia" w:ascii="仿宋" w:hAnsi="仿宋" w:eastAsia="仿宋"/>
          <w:b/>
          <w:color w:val="auto"/>
          <w:sz w:val="36"/>
        </w:rPr>
        <w:t>部门预算绩效管理开展情况。</w:t>
      </w:r>
    </w:p>
    <w:p w14:paraId="144611B7">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rPr>
      </w:pPr>
      <w:r>
        <w:rPr>
          <w:rFonts w:hint="eastAsia" w:ascii="仿宋" w:hAnsi="仿宋" w:eastAsia="仿宋"/>
          <w:sz w:val="32"/>
        </w:rPr>
        <w:t xml:space="preserve"> </w:t>
      </w:r>
      <w:r>
        <w:rPr>
          <w:rFonts w:hint="eastAsia" w:ascii="仿宋" w:hAnsi="仿宋" w:eastAsia="仿宋"/>
          <w:sz w:val="32"/>
          <w:lang w:val="en-US" w:eastAsia="zh-CN"/>
        </w:rPr>
        <w:t>1、</w:t>
      </w:r>
      <w:r>
        <w:rPr>
          <w:rFonts w:hint="eastAsia" w:ascii="仿宋" w:hAnsi="仿宋" w:eastAsia="仿宋"/>
          <w:sz w:val="32"/>
        </w:rPr>
        <w:t>加强管理制度建设：把制度建设作为开展绩效管理的关键环节，进一步增强支出责任和效率意识，全面加强预算管理，优化资源配置，提高财政资金使用效率和科学精细化管理水平，提升政府执行力和公信力。</w:t>
      </w:r>
    </w:p>
    <w:p w14:paraId="45C15382">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rPr>
      </w:pPr>
      <w:r>
        <w:rPr>
          <w:rFonts w:hint="eastAsia" w:ascii="仿宋" w:hAnsi="仿宋" w:eastAsia="仿宋"/>
          <w:sz w:val="32"/>
          <w:lang w:val="en-US" w:eastAsia="zh-CN"/>
        </w:rPr>
        <w:t>2、</w:t>
      </w:r>
      <w:r>
        <w:rPr>
          <w:rFonts w:hint="eastAsia" w:ascii="仿宋" w:hAnsi="仿宋" w:eastAsia="仿宋"/>
          <w:sz w:val="32"/>
        </w:rPr>
        <w:t>加强预算编制绩效管理：强化项目绩效目标</w:t>
      </w:r>
      <w:r>
        <w:rPr>
          <w:rFonts w:hint="eastAsia" w:ascii="仿宋" w:hAnsi="仿宋" w:eastAsia="仿宋"/>
          <w:sz w:val="32"/>
          <w:lang w:eastAsia="zh-CN"/>
        </w:rPr>
        <w:t>，</w:t>
      </w:r>
      <w:r>
        <w:rPr>
          <w:rFonts w:hint="eastAsia" w:ascii="仿宋" w:hAnsi="仿宋" w:eastAsia="仿宋"/>
          <w:sz w:val="32"/>
        </w:rPr>
        <w:t>每年对单位申报的预算项目进行全面梳理、加强审核、合理保障，所有项目必须有明细的资金测算</w:t>
      </w:r>
    </w:p>
    <w:p w14:paraId="0F3A5D46">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rPr>
      </w:pPr>
      <w:r>
        <w:rPr>
          <w:rFonts w:hint="eastAsia" w:ascii="仿宋" w:hAnsi="仿宋" w:eastAsia="仿宋"/>
          <w:sz w:val="32"/>
          <w:lang w:val="en-US" w:eastAsia="zh-CN"/>
        </w:rPr>
        <w:t>3、</w:t>
      </w:r>
      <w:r>
        <w:rPr>
          <w:rFonts w:hint="eastAsia" w:ascii="仿宋" w:hAnsi="仿宋" w:eastAsia="仿宋"/>
          <w:sz w:val="32"/>
        </w:rPr>
        <w:t>积极推进项目绩效评价。在加强预算编制环节的基础上，加强预算执行监管和执行结果评价，将财政监督渗透</w:t>
      </w:r>
    </w:p>
    <w:p w14:paraId="1933986F">
      <w:pPr>
        <w:pStyle w:val="2"/>
        <w:pageBreakBefore w:val="0"/>
        <w:widowControl w:val="0"/>
        <w:kinsoku/>
        <w:wordWrap/>
        <w:overflowPunct/>
        <w:topLinePunct w:val="0"/>
        <w:autoSpaceDE/>
        <w:autoSpaceDN/>
        <w:bidi w:val="0"/>
        <w:adjustRightInd/>
        <w:snapToGrid/>
        <w:spacing w:beforeLines="0" w:afterLines="0" w:line="640" w:lineRule="exact"/>
        <w:rPr>
          <w:rFonts w:hint="eastAsia" w:ascii="仿宋" w:hAnsi="仿宋" w:eastAsia="仿宋"/>
          <w:sz w:val="32"/>
        </w:rPr>
      </w:pPr>
      <w:r>
        <w:rPr>
          <w:rFonts w:hint="eastAsia" w:ascii="仿宋" w:hAnsi="仿宋" w:eastAsia="仿宋"/>
          <w:sz w:val="32"/>
        </w:rPr>
        <w:t>到预算管理的事前、事中、事后各个环节。主要内容是对照年初预算确定的项目绩效信息，重点审查资金是否符合规定支出范围;预算执行进度是否及时、合理;部门单位是否完成年初确定的预算绩效目标等。</w:t>
      </w:r>
    </w:p>
    <w:p w14:paraId="676CE840">
      <w:pPr>
        <w:pageBreakBefore w:val="0"/>
        <w:widowControl w:val="0"/>
        <w:kinsoku/>
        <w:wordWrap/>
        <w:overflowPunct/>
        <w:topLinePunct w:val="0"/>
        <w:autoSpaceDE/>
        <w:autoSpaceDN/>
        <w:bidi w:val="0"/>
        <w:adjustRightInd/>
        <w:snapToGrid/>
        <w:spacing w:beforeLines="0" w:afterLines="0" w:line="640" w:lineRule="exact"/>
        <w:ind w:firstLine="723" w:firstLineChars="200"/>
        <w:rPr>
          <w:rFonts w:hint="eastAsia" w:ascii="仿宋" w:hAnsi="仿宋" w:eastAsia="仿宋"/>
          <w:b/>
          <w:color w:val="auto"/>
          <w:sz w:val="36"/>
        </w:rPr>
      </w:pPr>
      <w:r>
        <w:rPr>
          <w:rFonts w:hint="eastAsia" w:ascii="仿宋" w:hAnsi="仿宋" w:eastAsia="仿宋"/>
          <w:b/>
          <w:color w:val="auto"/>
          <w:sz w:val="36"/>
        </w:rPr>
        <w:t>五</w:t>
      </w:r>
      <w:r>
        <w:rPr>
          <w:rFonts w:hint="eastAsia" w:ascii="仿宋" w:hAnsi="仿宋" w:eastAsia="仿宋"/>
          <w:b/>
          <w:color w:val="auto"/>
          <w:sz w:val="36"/>
          <w:lang w:eastAsia="zh-CN"/>
        </w:rPr>
        <w:t>、</w:t>
      </w:r>
      <w:r>
        <w:rPr>
          <w:rFonts w:hint="eastAsia" w:ascii="仿宋" w:hAnsi="仿宋" w:eastAsia="仿宋"/>
          <w:b/>
          <w:color w:val="auto"/>
          <w:sz w:val="36"/>
        </w:rPr>
        <w:t>当年部门预算及执行情况。</w:t>
      </w:r>
    </w:p>
    <w:p w14:paraId="5E4C658F">
      <w:pPr>
        <w:pageBreakBefore w:val="0"/>
        <w:widowControl w:val="0"/>
        <w:kinsoku/>
        <w:wordWrap/>
        <w:overflowPunct/>
        <w:topLinePunct w:val="0"/>
        <w:autoSpaceDE/>
        <w:autoSpaceDN/>
        <w:bidi w:val="0"/>
        <w:adjustRightInd/>
        <w:snapToGrid/>
        <w:spacing w:beforeLines="0" w:afterLines="0" w:line="640" w:lineRule="exact"/>
        <w:ind w:firstLine="640" w:firstLineChars="200"/>
        <w:jc w:val="left"/>
        <w:textAlignment w:val="baseline"/>
        <w:rPr>
          <w:rFonts w:hint="eastAsia" w:ascii="仿宋" w:hAnsi="仿宋" w:eastAsia="仿宋"/>
          <w:sz w:val="32"/>
        </w:rPr>
      </w:pPr>
      <w:r>
        <w:rPr>
          <w:rFonts w:hint="eastAsia" w:ascii="仿宋" w:hAnsi="仿宋" w:eastAsia="仿宋"/>
          <w:sz w:val="32"/>
        </w:rPr>
        <w:t>预算编制情况：</w:t>
      </w:r>
      <w:r>
        <w:rPr>
          <w:rFonts w:hint="eastAsia" w:ascii="仿宋" w:hAnsi="仿宋" w:eastAsia="仿宋"/>
          <w:sz w:val="32"/>
          <w:lang w:val="en-US" w:eastAsia="zh-CN"/>
        </w:rPr>
        <w:t>峙滩镇人民政府</w:t>
      </w:r>
      <w:r>
        <w:rPr>
          <w:rFonts w:hint="eastAsia" w:ascii="仿宋" w:hAnsi="仿宋" w:eastAsia="仿宋"/>
          <w:sz w:val="32"/>
        </w:rPr>
        <w:t>2021年度预算根据财政局下达预算编制要求，按照组织部、人事局、编办核定的编制人数及工资金额，根据各单位上年度收支、结余及政府采购情况，编制收入支出预算表</w:t>
      </w:r>
      <w:r>
        <w:rPr>
          <w:rFonts w:hint="eastAsia" w:ascii="仿宋" w:hAnsi="仿宋" w:eastAsia="仿宋"/>
          <w:sz w:val="32"/>
          <w:lang w:eastAsia="zh-CN"/>
        </w:rPr>
        <w:t>，</w:t>
      </w:r>
      <w:r>
        <w:rPr>
          <w:rFonts w:hint="eastAsia" w:ascii="仿宋" w:hAnsi="仿宋" w:eastAsia="仿宋"/>
          <w:sz w:val="32"/>
        </w:rPr>
        <w:t>审核无误后上报财政部门进行审核。</w:t>
      </w:r>
    </w:p>
    <w:p w14:paraId="61EC2848">
      <w:pPr>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eastAsia" w:ascii="仿宋" w:hAnsi="仿宋" w:eastAsia="仿宋"/>
          <w:sz w:val="32"/>
        </w:rPr>
      </w:pPr>
      <w:r>
        <w:rPr>
          <w:rFonts w:hint="eastAsia" w:ascii="仿宋" w:hAnsi="仿宋" w:eastAsia="仿宋"/>
          <w:sz w:val="32"/>
        </w:rPr>
        <w:t>预算批复情况：经县财政批准的</w:t>
      </w:r>
      <w:r>
        <w:rPr>
          <w:rFonts w:hint="eastAsia" w:ascii="仿宋" w:hAnsi="仿宋" w:eastAsia="仿宋"/>
          <w:sz w:val="32"/>
          <w:lang w:val="en-US" w:eastAsia="zh-CN"/>
        </w:rPr>
        <w:t>峙滩镇人民政府</w:t>
      </w:r>
      <w:r>
        <w:rPr>
          <w:rFonts w:hint="eastAsia" w:ascii="仿宋" w:hAnsi="仿宋" w:eastAsia="仿宋"/>
          <w:sz w:val="32"/>
        </w:rPr>
        <w:t>2021年度（部门）预算收入为</w:t>
      </w:r>
      <w:r>
        <w:rPr>
          <w:rFonts w:hint="eastAsia" w:ascii="仿宋" w:hAnsi="仿宋" w:eastAsia="仿宋"/>
          <w:sz w:val="32"/>
          <w:lang w:val="en-US" w:eastAsia="zh-CN"/>
        </w:rPr>
        <w:t>1735.07</w:t>
      </w:r>
      <w:r>
        <w:rPr>
          <w:rFonts w:hint="eastAsia" w:ascii="仿宋" w:hAnsi="仿宋" w:eastAsia="仿宋"/>
          <w:sz w:val="32"/>
        </w:rPr>
        <w:t>万元</w:t>
      </w:r>
    </w:p>
    <w:p w14:paraId="200F1594">
      <w:pPr>
        <w:pageBreakBefore w:val="0"/>
        <w:widowControl w:val="0"/>
        <w:kinsoku/>
        <w:wordWrap/>
        <w:overflowPunct/>
        <w:topLinePunct w:val="0"/>
        <w:autoSpaceDE/>
        <w:autoSpaceDN/>
        <w:bidi w:val="0"/>
        <w:adjustRightInd/>
        <w:snapToGrid/>
        <w:spacing w:beforeLines="0" w:afterLines="0" w:line="640" w:lineRule="exact"/>
        <w:ind w:firstLine="640" w:firstLineChars="200"/>
        <w:jc w:val="left"/>
        <w:textAlignment w:val="baseline"/>
        <w:rPr>
          <w:rFonts w:hint="eastAsia" w:ascii="仿宋" w:hAnsi="仿宋" w:eastAsia="仿宋"/>
          <w:sz w:val="32"/>
        </w:rPr>
      </w:pPr>
      <w:r>
        <w:rPr>
          <w:rFonts w:hint="eastAsia" w:ascii="仿宋" w:hAnsi="仿宋" w:eastAsia="仿宋"/>
          <w:sz w:val="32"/>
        </w:rPr>
        <w:t>预决算执行情况：2021年度</w:t>
      </w:r>
      <w:r>
        <w:rPr>
          <w:rFonts w:hint="eastAsia" w:ascii="仿宋" w:hAnsi="仿宋" w:eastAsia="仿宋"/>
          <w:sz w:val="32"/>
          <w:lang w:val="en-US" w:eastAsia="zh-CN"/>
        </w:rPr>
        <w:t>峙滩镇人民政府总</w:t>
      </w:r>
      <w:r>
        <w:rPr>
          <w:rFonts w:hint="eastAsia" w:ascii="仿宋" w:hAnsi="仿宋" w:eastAsia="仿宋"/>
          <w:sz w:val="32"/>
        </w:rPr>
        <w:t>决算报表反映，当年总收入</w:t>
      </w:r>
      <w:r>
        <w:rPr>
          <w:rFonts w:hint="eastAsia" w:ascii="仿宋" w:hAnsi="仿宋" w:eastAsia="仿宋"/>
          <w:sz w:val="32"/>
          <w:lang w:val="en-US" w:eastAsia="zh-CN"/>
        </w:rPr>
        <w:t>1735.07</w:t>
      </w:r>
      <w:r>
        <w:rPr>
          <w:rFonts w:hint="eastAsia" w:ascii="仿宋" w:hAnsi="仿宋" w:eastAsia="仿宋"/>
          <w:sz w:val="32"/>
        </w:rPr>
        <w:t>万元，其中：</w:t>
      </w:r>
      <w:r>
        <w:rPr>
          <w:rFonts w:hint="eastAsia" w:ascii="仿宋" w:hAnsi="仿宋" w:eastAsia="仿宋"/>
          <w:sz w:val="32"/>
          <w:lang w:val="en-US" w:eastAsia="zh-CN"/>
        </w:rPr>
        <w:t>税收收入827.38</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非税收入2.43万元、结算补助986.80万元。</w:t>
      </w:r>
      <w:r>
        <w:rPr>
          <w:rFonts w:hint="eastAsia" w:ascii="仿宋" w:hAnsi="仿宋" w:eastAsia="仿宋"/>
          <w:sz w:val="32"/>
        </w:rPr>
        <w:t>其中：工资福利支出</w:t>
      </w:r>
      <w:r>
        <w:rPr>
          <w:rFonts w:hint="eastAsia" w:ascii="仿宋" w:hAnsi="仿宋" w:eastAsia="仿宋"/>
          <w:sz w:val="32"/>
          <w:lang w:val="en-US" w:eastAsia="zh-CN"/>
        </w:rPr>
        <w:t>837.23</w:t>
      </w:r>
      <w:r>
        <w:rPr>
          <w:rFonts w:hint="eastAsia" w:ascii="仿宋" w:hAnsi="仿宋" w:eastAsia="仿宋"/>
          <w:sz w:val="32"/>
        </w:rPr>
        <w:t>万元、商品和服务支出</w:t>
      </w:r>
      <w:r>
        <w:rPr>
          <w:rFonts w:hint="eastAsia" w:ascii="仿宋" w:hAnsi="仿宋" w:eastAsia="仿宋"/>
          <w:sz w:val="32"/>
          <w:lang w:val="en-US" w:eastAsia="zh-CN"/>
        </w:rPr>
        <w:t>259.20</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lang w:val="en-US" w:eastAsia="zh-CN"/>
        </w:rPr>
        <w:t>对企业的补助399.27万元、对个人和家庭的补助支出163.5万元</w:t>
      </w:r>
    </w:p>
    <w:p w14:paraId="765314B5">
      <w:pPr>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eastAsia"/>
          <w:sz w:val="21"/>
        </w:rPr>
      </w:pPr>
      <w:r>
        <w:rPr>
          <w:rFonts w:hint="eastAsia" w:ascii="仿宋" w:hAnsi="仿宋" w:eastAsia="仿宋"/>
          <w:sz w:val="32"/>
        </w:rPr>
        <w:t>三公经费支出情况：2021年度</w:t>
      </w:r>
      <w:r>
        <w:rPr>
          <w:rFonts w:hint="eastAsia" w:ascii="仿宋" w:hAnsi="仿宋" w:eastAsia="仿宋"/>
          <w:sz w:val="32"/>
          <w:lang w:val="en-US" w:eastAsia="zh-CN"/>
        </w:rPr>
        <w:t>峙滩镇人民政府</w:t>
      </w:r>
      <w:r>
        <w:rPr>
          <w:rFonts w:hint="eastAsia" w:ascii="仿宋" w:hAnsi="仿宋" w:eastAsia="仿宋"/>
          <w:sz w:val="32"/>
        </w:rPr>
        <w:t>无公款出国（境）费用支出，公务用车运行维护费用支出</w:t>
      </w:r>
      <w:r>
        <w:rPr>
          <w:rFonts w:hint="eastAsia" w:ascii="仿宋" w:hAnsi="仿宋" w:eastAsia="仿宋"/>
          <w:sz w:val="32"/>
          <w:lang w:val="en-US" w:eastAsia="zh-CN"/>
        </w:rPr>
        <w:t>9.17</w:t>
      </w:r>
      <w:r>
        <w:rPr>
          <w:rFonts w:hint="eastAsia" w:ascii="仿宋" w:hAnsi="仿宋" w:eastAsia="仿宋"/>
          <w:sz w:val="32"/>
        </w:rPr>
        <w:t>万元、公务接待费支出</w:t>
      </w:r>
      <w:r>
        <w:rPr>
          <w:rFonts w:hint="eastAsia" w:ascii="仿宋" w:hAnsi="仿宋" w:eastAsia="仿宋"/>
          <w:sz w:val="32"/>
          <w:lang w:val="en-US" w:eastAsia="zh-CN"/>
        </w:rPr>
        <w:t>28.64</w:t>
      </w:r>
      <w:r>
        <w:rPr>
          <w:rFonts w:hint="eastAsia" w:ascii="仿宋" w:hAnsi="仿宋" w:eastAsia="仿宋"/>
          <w:sz w:val="32"/>
        </w:rPr>
        <w:t>万元。</w:t>
      </w:r>
    </w:p>
    <w:p w14:paraId="74500572">
      <w:pPr>
        <w:pageBreakBefore w:val="0"/>
        <w:widowControl w:val="0"/>
        <w:kinsoku/>
        <w:wordWrap/>
        <w:overflowPunct/>
        <w:topLinePunct w:val="0"/>
        <w:autoSpaceDE/>
        <w:autoSpaceDN/>
        <w:bidi w:val="0"/>
        <w:adjustRightInd/>
        <w:snapToGrid/>
        <w:spacing w:beforeLines="0" w:afterLines="0" w:line="640" w:lineRule="exact"/>
        <w:ind w:firstLine="723" w:firstLineChars="200"/>
        <w:rPr>
          <w:rFonts w:hint="eastAsia" w:ascii="仿宋" w:hAnsi="仿宋" w:eastAsia="仿宋"/>
          <w:b/>
          <w:sz w:val="36"/>
        </w:rPr>
      </w:pPr>
      <w:r>
        <w:rPr>
          <w:rFonts w:hint="eastAsia" w:ascii="仿宋" w:hAnsi="仿宋" w:eastAsia="仿宋"/>
          <w:b/>
          <w:sz w:val="36"/>
          <w:lang w:val="en-US" w:eastAsia="zh-CN"/>
        </w:rPr>
        <w:t>六</w:t>
      </w:r>
      <w:r>
        <w:rPr>
          <w:rFonts w:hint="eastAsia" w:ascii="仿宋" w:hAnsi="仿宋" w:eastAsia="仿宋"/>
          <w:b/>
          <w:sz w:val="36"/>
        </w:rPr>
        <w:t>、部门整体支出绩效实现情况</w:t>
      </w:r>
    </w:p>
    <w:p w14:paraId="386B1E45">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1、</w:t>
      </w:r>
      <w:r>
        <w:rPr>
          <w:rFonts w:hint="eastAsia" w:ascii="仿宋_GB2312" w:hAnsi="仿宋_GB2312" w:eastAsia="仿宋_GB2312"/>
          <w:color w:val="auto"/>
          <w:sz w:val="32"/>
        </w:rPr>
        <w:t>履职完成情况：从数量、质量、时效等方面归纳反映年度主要计划任务完成情况。</w:t>
      </w:r>
    </w:p>
    <w:p w14:paraId="1907B16F">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rPr>
        <w:t>履职效果情况：从社会效益方面反映部门履职效果的实现情况。</w:t>
      </w:r>
    </w:p>
    <w:p w14:paraId="2B7A1062">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rPr>
        <w:t>社会满意度及可持续性影响。</w:t>
      </w:r>
    </w:p>
    <w:p w14:paraId="7B7761C8">
      <w:pPr>
        <w:pStyle w:val="2"/>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sz w:val="27"/>
        </w:rPr>
      </w:pPr>
      <w:r>
        <w:rPr>
          <w:rFonts w:hint="eastAsia" w:ascii="仿宋_GB2312" w:hAnsi="仿宋_GB2312" w:eastAsia="仿宋_GB2312"/>
          <w:color w:val="auto"/>
          <w:sz w:val="32"/>
        </w:rPr>
        <w:t>详细见附件：</w:t>
      </w:r>
      <w:r>
        <w:rPr>
          <w:rFonts w:hint="eastAsia" w:ascii="仿宋_GB2312" w:hAnsi="仿宋_GB2312" w:eastAsia="仿宋_GB2312"/>
          <w:color w:val="auto"/>
          <w:sz w:val="32"/>
          <w:lang w:val="en-US" w:eastAsia="zh-CN"/>
        </w:rPr>
        <w:t>峙滩镇人民政府</w:t>
      </w:r>
      <w:r>
        <w:rPr>
          <w:rFonts w:hint="eastAsia" w:ascii="仿宋_GB2312" w:hAnsi="仿宋_GB2312" w:eastAsia="仿宋_GB2312"/>
          <w:color w:val="auto"/>
          <w:sz w:val="32"/>
        </w:rPr>
        <w:t>部门整体支出绩效自评表</w:t>
      </w:r>
    </w:p>
    <w:p w14:paraId="5A2D96D1">
      <w:pPr>
        <w:pageBreakBefore w:val="0"/>
        <w:widowControl w:val="0"/>
        <w:kinsoku/>
        <w:wordWrap/>
        <w:overflowPunct/>
        <w:topLinePunct w:val="0"/>
        <w:autoSpaceDE/>
        <w:autoSpaceDN/>
        <w:bidi w:val="0"/>
        <w:adjustRightInd/>
        <w:snapToGrid/>
        <w:spacing w:beforeLines="0" w:afterLines="0" w:line="640" w:lineRule="exact"/>
        <w:ind w:firstLine="723" w:firstLineChars="200"/>
        <w:rPr>
          <w:rFonts w:hint="eastAsia" w:ascii="仿宋" w:hAnsi="仿宋" w:eastAsia="仿宋"/>
          <w:b/>
          <w:sz w:val="36"/>
        </w:rPr>
      </w:pPr>
      <w:r>
        <w:rPr>
          <w:rFonts w:hint="eastAsia" w:ascii="仿宋" w:hAnsi="仿宋" w:eastAsia="仿宋"/>
          <w:b/>
          <w:sz w:val="36"/>
          <w:lang w:val="en-US" w:eastAsia="zh-CN"/>
        </w:rPr>
        <w:t>七</w:t>
      </w:r>
      <w:r>
        <w:rPr>
          <w:rFonts w:hint="eastAsia" w:ascii="仿宋" w:hAnsi="仿宋" w:eastAsia="仿宋"/>
          <w:b/>
          <w:sz w:val="36"/>
        </w:rPr>
        <w:t>、部门整体支出绩效中存在问题及改进措施</w:t>
      </w:r>
    </w:p>
    <w:p w14:paraId="6B93D4F8">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主要问题及原因分析。</w:t>
      </w:r>
    </w:p>
    <w:p w14:paraId="49EBB73B">
      <w:pPr>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default" w:ascii="仿宋" w:hAnsi="仿宋" w:eastAsia="仿宋"/>
          <w:sz w:val="32"/>
          <w:lang w:val="en-US" w:eastAsia="zh-CN"/>
        </w:rPr>
      </w:pPr>
      <w:r>
        <w:rPr>
          <w:rFonts w:hint="eastAsia" w:ascii="仿宋" w:hAnsi="仿宋" w:eastAsia="仿宋"/>
          <w:sz w:val="32"/>
          <w:lang w:val="en-US" w:eastAsia="zh-CN"/>
        </w:rPr>
        <w:t>预算绩效评价工作开展已经有几年了，但是作为乡镇一级今年是第一次开展绩效自评工作，</w:t>
      </w:r>
      <w:r>
        <w:rPr>
          <w:rFonts w:hint="eastAsia" w:ascii="仿宋" w:hAnsi="仿宋" w:eastAsia="仿宋"/>
          <w:sz w:val="32"/>
        </w:rPr>
        <w:t>由于预算绩效管理工作开展时间较短，对预算绩效管理认识不到位、理解不充分，对预算绩效管理业务不了解、不熟悉，对工作重点把握不到位，由此造成绩效评价工作</w:t>
      </w:r>
      <w:r>
        <w:rPr>
          <w:rFonts w:hint="eastAsia" w:ascii="仿宋" w:hAnsi="仿宋" w:eastAsia="仿宋"/>
          <w:sz w:val="32"/>
          <w:lang w:val="en-US" w:eastAsia="zh-CN"/>
        </w:rPr>
        <w:t>可能不能达到满意效果。</w:t>
      </w:r>
    </w:p>
    <w:p w14:paraId="60D501C2">
      <w:pPr>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eastAsia" w:ascii="仿宋" w:hAnsi="仿宋" w:eastAsia="仿宋"/>
          <w:b w:val="0"/>
          <w:bCs/>
          <w:sz w:val="32"/>
          <w:szCs w:val="32"/>
        </w:rPr>
      </w:pPr>
      <w:r>
        <w:rPr>
          <w:rFonts w:hint="eastAsia" w:ascii="仿宋" w:hAnsi="仿宋" w:eastAsia="仿宋"/>
          <w:b w:val="0"/>
          <w:bCs/>
          <w:sz w:val="32"/>
          <w:szCs w:val="32"/>
          <w:lang w:val="en-US" w:eastAsia="zh-CN"/>
        </w:rPr>
        <w:t>2、</w:t>
      </w:r>
      <w:r>
        <w:rPr>
          <w:rFonts w:hint="eastAsia" w:ascii="仿宋" w:hAnsi="仿宋" w:eastAsia="仿宋"/>
          <w:b w:val="0"/>
          <w:bCs/>
          <w:sz w:val="32"/>
          <w:szCs w:val="32"/>
        </w:rPr>
        <w:t>下一步工作打算</w:t>
      </w:r>
    </w:p>
    <w:p w14:paraId="4174CF7D">
      <w:pPr>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eastAsia" w:ascii="仿宋" w:hAnsi="仿宋" w:eastAsia="仿宋"/>
          <w:sz w:val="32"/>
        </w:rPr>
      </w:pPr>
      <w:r>
        <w:rPr>
          <w:rFonts w:hint="eastAsia" w:ascii="仿宋" w:hAnsi="仿宋" w:eastAsia="仿宋"/>
          <w:sz w:val="32"/>
          <w:lang w:val="en-US" w:eastAsia="zh-CN"/>
        </w:rPr>
        <w:t>一</w:t>
      </w:r>
      <w:r>
        <w:rPr>
          <w:rFonts w:hint="eastAsia" w:ascii="仿宋" w:hAnsi="仿宋" w:eastAsia="仿宋"/>
          <w:sz w:val="32"/>
        </w:rPr>
        <w:t>是加强评价指标体系建设。建立指标更新机制，将以后年度新制定的指标及时纳入指标库，做到随时更新、完善。</w:t>
      </w:r>
    </w:p>
    <w:p w14:paraId="1070C3D3">
      <w:pPr>
        <w:keepNext w:val="0"/>
        <w:keepLines w:val="0"/>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eastAsia" w:ascii="仿宋" w:hAnsi="仿宋" w:eastAsia="仿宋"/>
          <w:sz w:val="32"/>
          <w:lang w:eastAsia="zh-CN"/>
        </w:rPr>
      </w:pPr>
      <w:r>
        <w:rPr>
          <w:rFonts w:hint="eastAsia" w:ascii="仿宋" w:hAnsi="仿宋" w:eastAsia="仿宋"/>
          <w:sz w:val="32"/>
          <w:lang w:val="en-US" w:eastAsia="zh-CN"/>
        </w:rPr>
        <w:t>二</w:t>
      </w:r>
      <w:r>
        <w:rPr>
          <w:rFonts w:hint="eastAsia" w:ascii="仿宋" w:hAnsi="仿宋" w:eastAsia="仿宋"/>
          <w:sz w:val="32"/>
        </w:rPr>
        <w:t>是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w:t>
      </w:r>
      <w:r>
        <w:rPr>
          <w:rFonts w:hint="eastAsia" w:ascii="仿宋" w:hAnsi="仿宋" w:eastAsia="仿宋"/>
          <w:sz w:val="32"/>
          <w:lang w:eastAsia="zh-CN"/>
        </w:rPr>
        <w:t>。</w:t>
      </w:r>
    </w:p>
    <w:p w14:paraId="16B0C893">
      <w:pPr>
        <w:pageBreakBefore w:val="0"/>
        <w:widowControl w:val="0"/>
        <w:kinsoku/>
        <w:wordWrap/>
        <w:overflowPunct/>
        <w:topLinePunct w:val="0"/>
        <w:autoSpaceDE/>
        <w:autoSpaceDN/>
        <w:bidi w:val="0"/>
        <w:adjustRightInd/>
        <w:snapToGrid/>
        <w:spacing w:beforeLines="0" w:afterLines="0" w:line="640" w:lineRule="exact"/>
        <w:ind w:firstLine="640" w:firstLineChars="200"/>
        <w:textAlignment w:val="baseline"/>
        <w:rPr>
          <w:rFonts w:hint="eastAsia" w:ascii="仿宋" w:hAnsi="仿宋" w:eastAsia="仿宋"/>
          <w:sz w:val="32"/>
        </w:rPr>
      </w:pPr>
      <w:r>
        <w:rPr>
          <w:rFonts w:hint="eastAsia" w:ascii="仿宋" w:hAnsi="仿宋" w:eastAsia="仿宋"/>
          <w:sz w:val="32"/>
          <w:lang w:val="en-US" w:eastAsia="zh-CN"/>
        </w:rPr>
        <w:t>三</w:t>
      </w:r>
      <w:r>
        <w:rPr>
          <w:rFonts w:hint="eastAsia" w:ascii="仿宋" w:hAnsi="仿宋" w:eastAsia="仿宋"/>
          <w:sz w:val="32"/>
        </w:rPr>
        <w:t>是加强</w:t>
      </w:r>
      <w:r>
        <w:rPr>
          <w:rFonts w:hint="eastAsia" w:ascii="仿宋" w:hAnsi="仿宋" w:eastAsia="仿宋"/>
          <w:sz w:val="32"/>
          <w:lang w:val="en-US" w:eastAsia="zh-CN"/>
        </w:rPr>
        <w:t>学习</w:t>
      </w:r>
      <w:r>
        <w:rPr>
          <w:rFonts w:hint="eastAsia" w:ascii="仿宋" w:hAnsi="仿宋" w:eastAsia="仿宋"/>
          <w:sz w:val="32"/>
        </w:rPr>
        <w:t>。</w:t>
      </w:r>
      <w:r>
        <w:rPr>
          <w:rFonts w:hint="eastAsia" w:ascii="仿宋" w:hAnsi="仿宋" w:eastAsia="仿宋"/>
          <w:sz w:val="32"/>
          <w:lang w:val="en-US" w:eastAsia="zh-CN"/>
        </w:rPr>
        <w:t>通过参加县级财政组织的线上、线下培训进行学习，</w:t>
      </w:r>
      <w:r>
        <w:rPr>
          <w:rFonts w:hint="eastAsia" w:ascii="仿宋" w:hAnsi="仿宋" w:eastAsia="仿宋"/>
          <w:sz w:val="32"/>
        </w:rPr>
        <w:t>统一认识，充实业务知识。</w:t>
      </w:r>
    </w:p>
    <w:p w14:paraId="06B72A36">
      <w:pPr>
        <w:pageBreakBefore w:val="0"/>
        <w:widowControl w:val="0"/>
        <w:kinsoku/>
        <w:wordWrap/>
        <w:overflowPunct/>
        <w:topLinePunct w:val="0"/>
        <w:autoSpaceDE/>
        <w:autoSpaceDN/>
        <w:bidi w:val="0"/>
        <w:adjustRightInd/>
        <w:snapToGrid/>
        <w:spacing w:beforeLines="0" w:afterLines="0" w:line="640" w:lineRule="exact"/>
        <w:ind w:firstLine="723" w:firstLineChars="200"/>
        <w:textAlignment w:val="baseline"/>
        <w:rPr>
          <w:rFonts w:hint="eastAsia" w:ascii="仿宋" w:hAnsi="仿宋" w:eastAsia="仿宋"/>
          <w:b/>
          <w:sz w:val="36"/>
        </w:rPr>
      </w:pPr>
      <w:r>
        <w:rPr>
          <w:rFonts w:hint="eastAsia" w:ascii="仿宋" w:hAnsi="仿宋" w:eastAsia="仿宋"/>
          <w:b/>
          <w:sz w:val="36"/>
          <w:lang w:val="en-US" w:eastAsia="zh-CN"/>
        </w:rPr>
        <w:t>八、</w:t>
      </w:r>
      <w:r>
        <w:rPr>
          <w:rFonts w:hint="eastAsia" w:ascii="仿宋" w:hAnsi="仿宋" w:eastAsia="仿宋"/>
          <w:b/>
          <w:sz w:val="36"/>
        </w:rPr>
        <w:t>绩效自评结果拟应用和公开情况</w:t>
      </w:r>
    </w:p>
    <w:p w14:paraId="0370EB26">
      <w:pPr>
        <w:pageBreakBefore w:val="0"/>
        <w:widowControl w:val="0"/>
        <w:numPr>
          <w:ilvl w:val="0"/>
          <w:numId w:val="0"/>
        </w:numPr>
        <w:kinsoku/>
        <w:wordWrap/>
        <w:overflowPunct/>
        <w:topLinePunct w:val="0"/>
        <w:autoSpaceDE/>
        <w:autoSpaceDN/>
        <w:bidi w:val="0"/>
        <w:adjustRightInd/>
        <w:snapToGrid/>
        <w:spacing w:beforeLines="0" w:afterLines="0" w:line="640" w:lineRule="exact"/>
        <w:ind w:firstLine="640" w:firstLineChars="200"/>
        <w:rPr>
          <w:rFonts w:hint="eastAsia"/>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绩效自评结果</w:t>
      </w:r>
    </w:p>
    <w:p w14:paraId="74EE4476">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rPr>
      </w:pPr>
      <w:r>
        <w:rPr>
          <w:rFonts w:hint="eastAsia" w:ascii="仿宋" w:hAnsi="仿宋" w:eastAsia="仿宋"/>
          <w:sz w:val="32"/>
        </w:rPr>
        <w:t>根据浮梁县财政局关于开展县直部门和乡镇单位自评和监控工作的通知（浮财绩字[2022]2号）精神，浮梁县</w:t>
      </w:r>
      <w:r>
        <w:rPr>
          <w:rFonts w:hint="eastAsia" w:ascii="仿宋" w:hAnsi="仿宋" w:eastAsia="仿宋"/>
          <w:sz w:val="32"/>
          <w:lang w:val="en-US" w:eastAsia="zh-CN"/>
        </w:rPr>
        <w:t>峙滩镇人民政府</w:t>
      </w:r>
      <w:r>
        <w:rPr>
          <w:rFonts w:hint="eastAsia" w:ascii="仿宋" w:hAnsi="仿宋" w:eastAsia="仿宋"/>
          <w:sz w:val="32"/>
        </w:rPr>
        <w:t>部门整体支出评价结果为“优”，浮梁县</w:t>
      </w:r>
      <w:r>
        <w:rPr>
          <w:rFonts w:hint="eastAsia" w:ascii="仿宋" w:hAnsi="仿宋" w:eastAsia="仿宋"/>
          <w:sz w:val="32"/>
          <w:lang w:val="en-US" w:eastAsia="zh-CN"/>
        </w:rPr>
        <w:t>峙滩镇人民政府</w:t>
      </w:r>
      <w:r>
        <w:rPr>
          <w:rFonts w:hint="eastAsia" w:ascii="仿宋" w:hAnsi="仿宋" w:eastAsia="仿宋"/>
          <w:sz w:val="32"/>
        </w:rPr>
        <w:t>对于本次绩效评价中还存在的不足，在接下来</w:t>
      </w:r>
      <w:r>
        <w:rPr>
          <w:rFonts w:hint="eastAsia" w:ascii="仿宋" w:hAnsi="仿宋" w:eastAsia="仿宋"/>
          <w:sz w:val="32"/>
          <w:lang w:val="en-US" w:eastAsia="zh-CN"/>
        </w:rPr>
        <w:t>的</w:t>
      </w:r>
      <w:r>
        <w:rPr>
          <w:rFonts w:hint="eastAsia" w:ascii="仿宋" w:hAnsi="仿宋" w:eastAsia="仿宋"/>
          <w:sz w:val="32"/>
        </w:rPr>
        <w:t>工作中会进一步加强管理和应用。</w:t>
      </w:r>
    </w:p>
    <w:p w14:paraId="28399B6B">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2、</w:t>
      </w:r>
      <w:r>
        <w:rPr>
          <w:rFonts w:hint="eastAsia" w:ascii="仿宋" w:hAnsi="仿宋" w:eastAsia="仿宋"/>
          <w:b w:val="0"/>
          <w:bCs/>
          <w:sz w:val="32"/>
          <w:szCs w:val="32"/>
        </w:rPr>
        <w:t>评价结果公开</w:t>
      </w:r>
    </w:p>
    <w:p w14:paraId="3CCFCE41">
      <w:pPr>
        <w:pageBreakBefore w:val="0"/>
        <w:widowControl w:val="0"/>
        <w:kinsoku/>
        <w:wordWrap/>
        <w:overflowPunct/>
        <w:topLinePunct w:val="0"/>
        <w:autoSpaceDE/>
        <w:autoSpaceDN/>
        <w:bidi w:val="0"/>
        <w:adjustRightInd/>
        <w:snapToGrid/>
        <w:spacing w:beforeLines="0" w:afterLines="0" w:line="640" w:lineRule="exact"/>
        <w:ind w:firstLine="640" w:firstLineChars="200"/>
        <w:rPr>
          <w:rFonts w:hint="eastAsia" w:ascii="仿宋" w:hAnsi="仿宋" w:eastAsia="仿宋"/>
          <w:sz w:val="32"/>
        </w:rPr>
      </w:pPr>
      <w:r>
        <w:rPr>
          <w:rFonts w:hint="eastAsia" w:ascii="仿宋" w:hAnsi="仿宋" w:eastAsia="仿宋"/>
          <w:sz w:val="32"/>
        </w:rPr>
        <w:t>评价结果向社会公开。预算绩效管理改革在我县仍处干探索阶段，无论是理论还是实践都不</w:t>
      </w:r>
      <w:r>
        <w:rPr>
          <w:rFonts w:hint="eastAsia" w:ascii="仿宋" w:hAnsi="仿宋" w:eastAsia="仿宋"/>
          <w:sz w:val="32"/>
          <w:lang w:val="en-US" w:eastAsia="zh-CN"/>
        </w:rPr>
        <w:t>够</w:t>
      </w:r>
      <w:r>
        <w:rPr>
          <w:rFonts w:hint="eastAsia" w:ascii="仿宋" w:hAnsi="仿宋" w:eastAsia="仿宋"/>
          <w:sz w:val="32"/>
        </w:rPr>
        <w:t>成熟，因此，我们现在实际执行时采取由易到难、逐步完善的方法，在实践中不断进行探索。在上级领导悉心指导下，本级领导高度重视下，相信我们的预算绩效管理工作一定会越来越完善、一定会跨越新台阶，取得更好的成效。</w:t>
      </w:r>
    </w:p>
    <w:p w14:paraId="7A30807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14:paraId="286482B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619ECD8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峙滩</w:t>
      </w:r>
      <w:r>
        <w:rPr>
          <w:rFonts w:hint="eastAsia" w:ascii="仿宋" w:hAnsi="仿宋" w:eastAsia="仿宋" w:cs="仿宋"/>
          <w:sz w:val="32"/>
          <w:szCs w:val="32"/>
        </w:rPr>
        <w:t>镇人民政府</w:t>
      </w:r>
    </w:p>
    <w:p w14:paraId="608E6832">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B2CA"/>
    <w:multiLevelType w:val="singleLevel"/>
    <w:tmpl w:val="A2BEB2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NjMzYzA4MzczNjQ2YzFhNzZmYzk4N2UwZDNjYTgifQ=="/>
  </w:docVars>
  <w:rsids>
    <w:rsidRoot w:val="00000000"/>
    <w:rsid w:val="0B54362C"/>
    <w:rsid w:val="0F6A0EDD"/>
    <w:rsid w:val="16F7223C"/>
    <w:rsid w:val="292E4309"/>
    <w:rsid w:val="373B1924"/>
    <w:rsid w:val="4B2B2CDD"/>
    <w:rsid w:val="516A09F6"/>
    <w:rsid w:val="5EDD4F74"/>
    <w:rsid w:val="6F8C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PMingLiU" w:hAnsi="PMingLiU" w:eastAsia="PMingLiU" w:cs="PMingLiU"/>
      <w:sz w:val="32"/>
      <w:szCs w:val="32"/>
      <w:lang w:val="zh-CN" w:eastAsia="zh-CN" w:bidi="zh-CN"/>
    </w:rPr>
  </w:style>
  <w:style w:type="paragraph" w:styleId="4">
    <w:name w:val="Body Text First Indent"/>
    <w:basedOn w:val="2"/>
    <w:qFormat/>
    <w:uiPriority w:val="0"/>
    <w:pPr>
      <w:spacing w:after="120"/>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3816</Words>
  <Characters>3913</Characters>
  <Lines>0</Lines>
  <Paragraphs>0</Paragraphs>
  <TotalTime>155</TotalTime>
  <ScaleCrop>false</ScaleCrop>
  <LinksUpToDate>false</LinksUpToDate>
  <CharactersWithSpaces>3931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2022-05-11T00:44:00Z</dcterms:created>
  <dc:creator>Administrator</dc:creator>
  <cp:lastModifiedBy>王洁珺</cp:lastModifiedBy>
  <cp:lastPrinted>2022-06-14T02:30:00Z</cp:lastPrinted>
  <dcterms:modified xsi:type="dcterms:W3CDTF">2025-09-08T07:30:17Z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2347EED3FB554ED49DF315F6A7DD0123</vt:lpwstr>
  </property>
  <property fmtid="{D5CDD505-2E9C-101B-9397-08002B2CF9AE}" pid="4" name="KSOTemplateDocerSaveRecord">
    <vt:lpwstr>eyJoZGlkIjoiMThjNWM1NDNjYjE4M2Q1NzkxMjQ2MDM3ZjgzN2M1MzciLCJ1c2VySWQiOiI1OTQxODM4NzEifQ==</vt:lpwstr>
  </property>
</Properties>
</file>