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540" w:beforeAutospacing="0" w:after="0" w:afterAutospacing="0" w:line="360" w:lineRule="atLeast"/>
        <w:ind w:left="0" w:right="0"/>
        <w:jc w:val="center"/>
        <w:rPr>
          <w:rFonts w:hint="default" w:ascii="Times New Roman" w:hAnsi="Times New Roman" w:eastAsia="黑体" w:cs="Times New Roman"/>
          <w:b w:val="0"/>
          <w:bCs/>
          <w:color w:val="000000" w:themeColor="text1"/>
          <w:sz w:val="36"/>
          <w:szCs w:val="36"/>
          <w:highlight w:val="none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Times New Roman" w:hAnsi="Times New Roman" w:eastAsia="黑体" w:cs="Times New Roman"/>
          <w:b w:val="0"/>
          <w:bCs/>
          <w:i w:val="0"/>
          <w:caps w:val="0"/>
          <w:color w:val="000000" w:themeColor="text1"/>
          <w:spacing w:val="23"/>
          <w:sz w:val="36"/>
          <w:szCs w:val="36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浮梁县西湖乡等3个乡（镇）土地征收成片开发方案（2022年</w:t>
      </w:r>
      <w:r>
        <w:rPr>
          <w:rStyle w:val="9"/>
          <w:rFonts w:hint="default" w:ascii="Times New Roman" w:hAnsi="Times New Roman" w:eastAsia="黑体" w:cs="Times New Roman"/>
          <w:b w:val="0"/>
          <w:bCs/>
          <w:i w:val="0"/>
          <w:caps w:val="0"/>
          <w:color w:val="000000" w:themeColor="text1"/>
          <w:spacing w:val="23"/>
          <w:sz w:val="36"/>
          <w:szCs w:val="36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>
      <w:pPr>
        <w:pStyle w:val="3"/>
        <w:bidi w:val="0"/>
        <w:jc w:val="center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(公示草案)</w:t>
      </w:r>
    </w:p>
    <w:p>
      <w:pPr>
        <w:pStyle w:val="3"/>
        <w:bidi w:val="0"/>
        <w:ind w:firstLine="600" w:firstLineChars="200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一、编制依据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依据《中华人民共和国土地管理法》（2019年8月26日修正）、《自然资源部关于印发〈土地征收成片开发标准（试行）〉的通知》（自然资规〔2020〕5 号）、江西省人民政府办公厅《关于执行土地征收成片开发标准（试行）的指导意见》（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赣府厅发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〔202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〕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 xml:space="preserve"> 号）、《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浮梁县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过渡期土地利用总体规划延续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方案》、《</w:t>
      </w:r>
      <w:r>
        <w:rPr>
          <w:rFonts w:hint="eastAsia" w:ascii="Times New Roman" w:hAnsi="Times New Roman" w:eastAsia="仿宋_GB2312" w:cs="Times New Roman"/>
          <w:color w:val="000000"/>
          <w:spacing w:val="8"/>
          <w:sz w:val="28"/>
          <w:szCs w:val="28"/>
          <w:highlight w:val="none"/>
          <w:lang w:val="en-US" w:eastAsia="zh-CN"/>
        </w:rPr>
        <w:t>西湖乡</w:t>
      </w:r>
      <w:r>
        <w:rPr>
          <w:rFonts w:hint="default" w:ascii="Times New Roman" w:hAnsi="Times New Roman" w:eastAsia="仿宋_GB2312" w:cs="Times New Roman"/>
          <w:color w:val="000000"/>
          <w:spacing w:val="8"/>
          <w:sz w:val="28"/>
          <w:szCs w:val="28"/>
          <w:highlight w:val="none"/>
        </w:rPr>
        <w:t>总体规划（201</w:t>
      </w:r>
      <w:r>
        <w:rPr>
          <w:rFonts w:hint="eastAsia" w:ascii="Times New Roman" w:hAnsi="Times New Roman" w:eastAsia="仿宋_GB2312" w:cs="Times New Roman"/>
          <w:color w:val="000000"/>
          <w:spacing w:val="8"/>
          <w:sz w:val="28"/>
          <w:szCs w:val="28"/>
          <w:highlight w:val="none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color w:val="000000"/>
          <w:spacing w:val="8"/>
          <w:sz w:val="28"/>
          <w:szCs w:val="28"/>
          <w:highlight w:val="none"/>
        </w:rPr>
        <w:t>-203</w:t>
      </w:r>
      <w:r>
        <w:rPr>
          <w:rFonts w:hint="eastAsia" w:ascii="Times New Roman" w:hAnsi="Times New Roman" w:eastAsia="仿宋_GB2312" w:cs="Times New Roman"/>
          <w:color w:val="000000"/>
          <w:spacing w:val="8"/>
          <w:sz w:val="28"/>
          <w:szCs w:val="28"/>
          <w:highlight w:val="none"/>
          <w:lang w:val="en-US" w:eastAsia="zh-CN"/>
        </w:rPr>
        <w:t>0</w:t>
      </w:r>
      <w:r>
        <w:rPr>
          <w:rFonts w:hint="default" w:ascii="Times New Roman" w:hAnsi="Times New Roman" w:eastAsia="仿宋_GB2312" w:cs="Times New Roman"/>
          <w:color w:val="000000"/>
          <w:spacing w:val="8"/>
          <w:sz w:val="28"/>
          <w:szCs w:val="28"/>
          <w:highlight w:val="none"/>
        </w:rPr>
        <w:t>年）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》</w:t>
      </w:r>
      <w:r>
        <w:rPr>
          <w:rFonts w:hint="eastAsia" w:ascii="Times New Roman" w:hAnsi="Times New Roman" w:cs="Times New Roman"/>
          <w:color w:val="000000" w:themeColor="text1"/>
          <w:highlight w:val="non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Times New Roman" w:hAnsi="Times New Roman" w:eastAsia="仿宋_GB2312" w:cs="Times New Roman"/>
          <w:color w:val="000000"/>
          <w:spacing w:val="8"/>
          <w:sz w:val="28"/>
          <w:szCs w:val="28"/>
          <w:highlight w:val="none"/>
          <w:lang w:val="en-US" w:eastAsia="zh-CN"/>
        </w:rPr>
        <w:t>浮梁县湘湖镇</w:t>
      </w:r>
      <w:r>
        <w:rPr>
          <w:rFonts w:hint="default" w:ascii="Times New Roman" w:hAnsi="Times New Roman" w:eastAsia="仿宋_GB2312" w:cs="Times New Roman"/>
          <w:color w:val="000000"/>
          <w:spacing w:val="8"/>
          <w:sz w:val="28"/>
          <w:szCs w:val="28"/>
          <w:highlight w:val="none"/>
        </w:rPr>
        <w:t>总体规划（201</w:t>
      </w:r>
      <w:r>
        <w:rPr>
          <w:rFonts w:hint="eastAsia" w:ascii="Times New Roman" w:hAnsi="Times New Roman" w:eastAsia="仿宋_GB2312" w:cs="Times New Roman"/>
          <w:color w:val="000000"/>
          <w:spacing w:val="8"/>
          <w:sz w:val="28"/>
          <w:szCs w:val="28"/>
          <w:highlight w:val="none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color w:val="000000"/>
          <w:spacing w:val="8"/>
          <w:sz w:val="28"/>
          <w:szCs w:val="28"/>
          <w:highlight w:val="none"/>
        </w:rPr>
        <w:t>-20</w:t>
      </w:r>
      <w:r>
        <w:rPr>
          <w:rFonts w:hint="eastAsia" w:ascii="Times New Roman" w:hAnsi="Times New Roman" w:eastAsia="仿宋_GB2312" w:cs="Times New Roman"/>
          <w:color w:val="000000"/>
          <w:spacing w:val="8"/>
          <w:sz w:val="28"/>
          <w:szCs w:val="28"/>
          <w:highlight w:val="none"/>
          <w:lang w:val="en-US" w:eastAsia="zh-CN"/>
        </w:rPr>
        <w:t>30</w:t>
      </w:r>
      <w:r>
        <w:rPr>
          <w:rFonts w:hint="default" w:ascii="Times New Roman" w:hAnsi="Times New Roman" w:eastAsia="仿宋_GB2312" w:cs="Times New Roman"/>
          <w:color w:val="000000"/>
          <w:spacing w:val="8"/>
          <w:sz w:val="28"/>
          <w:szCs w:val="28"/>
          <w:highlight w:val="none"/>
        </w:rPr>
        <w:t>）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》</w:t>
      </w:r>
      <w:r>
        <w:rPr>
          <w:rFonts w:hint="eastAsia" w:ascii="Times New Roman" w:hAnsi="Times New Roman" w:cs="Times New Roman"/>
          <w:color w:val="000000" w:themeColor="text1"/>
          <w:highlight w:val="non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Times New Roman" w:hAnsi="Times New Roman" w:eastAsia="仿宋_GB2312" w:cs="Times New Roman"/>
          <w:color w:val="000000"/>
          <w:spacing w:val="8"/>
          <w:sz w:val="28"/>
          <w:szCs w:val="28"/>
          <w:highlight w:val="none"/>
          <w:lang w:val="en-US" w:eastAsia="zh-CN"/>
        </w:rPr>
        <w:t>浮梁县经公桥镇</w:t>
      </w:r>
      <w:r>
        <w:rPr>
          <w:rFonts w:hint="default" w:ascii="Times New Roman" w:hAnsi="Times New Roman" w:eastAsia="仿宋_GB2312" w:cs="Times New Roman"/>
          <w:color w:val="000000"/>
          <w:spacing w:val="8"/>
          <w:sz w:val="28"/>
          <w:szCs w:val="28"/>
          <w:highlight w:val="none"/>
        </w:rPr>
        <w:t>总体规划（201</w:t>
      </w:r>
      <w:r>
        <w:rPr>
          <w:rFonts w:hint="eastAsia" w:ascii="Times New Roman" w:hAnsi="Times New Roman" w:eastAsia="仿宋_GB2312" w:cs="Times New Roman"/>
          <w:color w:val="000000"/>
          <w:spacing w:val="8"/>
          <w:sz w:val="28"/>
          <w:szCs w:val="28"/>
          <w:highlight w:val="none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color w:val="000000"/>
          <w:spacing w:val="8"/>
          <w:sz w:val="28"/>
          <w:szCs w:val="28"/>
          <w:highlight w:val="none"/>
        </w:rPr>
        <w:t>-203</w:t>
      </w:r>
      <w:r>
        <w:rPr>
          <w:rFonts w:hint="eastAsia" w:ascii="Times New Roman" w:hAnsi="Times New Roman" w:eastAsia="仿宋_GB2312" w:cs="Times New Roman"/>
          <w:color w:val="000000"/>
          <w:spacing w:val="8"/>
          <w:sz w:val="28"/>
          <w:szCs w:val="28"/>
          <w:highlight w:val="none"/>
          <w:lang w:val="en-US" w:eastAsia="zh-CN"/>
        </w:rPr>
        <w:t>0</w:t>
      </w:r>
      <w:r>
        <w:rPr>
          <w:rFonts w:hint="default" w:ascii="Times New Roman" w:hAnsi="Times New Roman" w:eastAsia="仿宋_GB2312" w:cs="Times New Roman"/>
          <w:color w:val="000000"/>
          <w:spacing w:val="8"/>
          <w:sz w:val="28"/>
          <w:szCs w:val="28"/>
          <w:highlight w:val="none"/>
        </w:rPr>
        <w:t>年）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》等编制《</w:t>
      </w:r>
      <w:r>
        <w:rPr>
          <w:rFonts w:hint="eastAsia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浮梁县西湖乡等3个乡（镇）土地征收成片开发方案（2022年）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》。</w:t>
      </w:r>
    </w:p>
    <w:p>
      <w:pPr>
        <w:pStyle w:val="3"/>
        <w:bidi w:val="0"/>
        <w:ind w:firstLine="600" w:firstLineChars="200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二、基本情况</w:t>
      </w:r>
    </w:p>
    <w:p>
      <w:pPr>
        <w:bidi w:val="0"/>
        <w:ind w:firstLine="560" w:firstLineChars="200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本成片开发方案共涉及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个区片，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即西湖片区、湘湖片区和经公桥片区，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位于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西湖乡、湘湖镇和经公桥镇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，成片开发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范围32.9338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公顷（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494.007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亩）。</w:t>
      </w:r>
      <w:r>
        <w:rPr>
          <w:rFonts w:hint="eastAsia" w:ascii="Times New Roman" w:hAnsi="Times New Roman" w:cs="Times New Roman"/>
          <w:color w:val="000000" w:themeColor="text1"/>
          <w:highlight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成片开发范围以最终批复为准</w:t>
      </w:r>
      <w:r>
        <w:rPr>
          <w:rFonts w:hint="eastAsia" w:ascii="Times New Roman" w:hAnsi="Times New Roman" w:cs="Times New Roman"/>
          <w:color w:val="000000" w:themeColor="text1"/>
          <w:highlight w:val="none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pStyle w:val="3"/>
        <w:bidi w:val="0"/>
        <w:ind w:firstLine="600" w:firstLineChars="200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三、成片开发的必要性</w:t>
      </w:r>
    </w:p>
    <w:p>
      <w:pPr>
        <w:bidi w:val="0"/>
        <w:ind w:firstLine="560" w:firstLineChars="200"/>
        <w:rPr>
          <w:rFonts w:hint="default" w:ascii="Times New Roman" w:hAnsi="Times New Roman" w:cs="Times New Roman"/>
          <w:color w:val="000000" w:themeColor="text1"/>
          <w:highlight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“十四五”</w:t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时期，浮梁县继续实施乡村振兴战略，在产业转型升级上实现新突破，构建新型工农城乡关系，推动城乡融合发展。“十四五”时期，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浮梁县</w:t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重点推进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西湖荻湾乡村振兴、湘湖</w:t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陶瓷+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、文旅、教育等产业集群等</w:t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项目建设。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浮梁县</w:t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为做好与相关规划的协调衔接，优化国土空间开发格局，结合“十四五”规划重点建设项目和202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年工作计划，合理布局生产、生活、生态空间，为更好保障社会经济良好发展，确保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浮梁县</w:t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重大项目用地需求，完成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城镇</w:t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发展及产业用地转型升级，有必要依法依规启动土地征收成片开发方案编制工作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pStyle w:val="3"/>
        <w:bidi w:val="0"/>
        <w:ind w:firstLine="600" w:firstLineChars="200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四、土地用途分析</w:t>
      </w:r>
    </w:p>
    <w:p>
      <w:pPr>
        <w:bidi w:val="0"/>
        <w:ind w:firstLine="592" w:firstLineChars="200"/>
        <w:rPr>
          <w:rFonts w:hint="eastAsia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西湖片区</w:t>
      </w:r>
      <w:r>
        <w:rPr>
          <w:rFonts w:hint="default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安排</w:t>
      </w:r>
      <w:r>
        <w:rPr>
          <w:rFonts w:hint="eastAsia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文化产业</w:t>
      </w:r>
      <w:r>
        <w:rPr>
          <w:rFonts w:hint="default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个，面积</w:t>
      </w:r>
      <w:r>
        <w:rPr>
          <w:rFonts w:hint="eastAsia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2.5314</w:t>
      </w:r>
      <w:r>
        <w:rPr>
          <w:rFonts w:hint="default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公顷；</w:t>
      </w:r>
      <w:r>
        <w:rPr>
          <w:rFonts w:hint="eastAsia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住宅开发项目2个，面积14.0274公顷；公用设施项目1个，面积0.3423公顷。</w:t>
      </w:r>
    </w:p>
    <w:p>
      <w:pPr>
        <w:bidi w:val="0"/>
        <w:ind w:firstLine="592" w:firstLineChars="200"/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湘湖片区</w:t>
      </w:r>
      <w:r>
        <w:rPr>
          <w:rFonts w:hint="default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安排</w:t>
      </w:r>
      <w:r>
        <w:rPr>
          <w:rFonts w:hint="eastAsia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商业开发</w:t>
      </w:r>
      <w:r>
        <w:rPr>
          <w:rFonts w:hint="default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个，面积</w:t>
      </w:r>
      <w:r>
        <w:rPr>
          <w:rFonts w:hint="eastAsia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2.5883</w:t>
      </w:r>
      <w:r>
        <w:rPr>
          <w:rFonts w:hint="default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公顷</w:t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bidi w:val="0"/>
        <w:ind w:firstLine="592" w:firstLineChars="200"/>
        <w:rPr>
          <w:rFonts w:hint="default" w:ascii="Times New Roman" w:hAnsi="Times New Roman" w:cs="Times New Roman"/>
          <w:color w:val="0000FF"/>
          <w:highlight w:val="none"/>
        </w:rPr>
      </w:pPr>
      <w:r>
        <w:rPr>
          <w:rFonts w:hint="eastAsia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经公桥片区</w:t>
      </w:r>
      <w:r>
        <w:rPr>
          <w:rFonts w:hint="default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安排</w:t>
      </w:r>
      <w:r>
        <w:rPr>
          <w:rFonts w:hint="eastAsia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商业开发</w:t>
      </w:r>
      <w:r>
        <w:rPr>
          <w:rFonts w:hint="default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个，面积</w:t>
      </w:r>
      <w:r>
        <w:rPr>
          <w:rFonts w:hint="eastAsia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1.3377</w:t>
      </w:r>
      <w:r>
        <w:rPr>
          <w:rFonts w:hint="default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公顷</w:t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3"/>
        <w:bidi w:val="0"/>
        <w:ind w:firstLine="600" w:firstLineChars="200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五、公益性用地情况</w:t>
      </w:r>
    </w:p>
    <w:p>
      <w:pPr>
        <w:bidi w:val="0"/>
        <w:ind w:firstLine="560" w:firstLineChars="200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成片开发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范围内城镇社区服务设施用途、公共管理与公共服务用途、绿地与开敞空间用途、交通运输用途属于公益性用地，片区公益性占比详见下表，符合江西省人民政府办公厅《关于执行土地征收成片开发标准（试行）的指导意见》（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赣府厅发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〔202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〕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 xml:space="preserve"> 号）公益性用地占比要求。</w:t>
      </w:r>
    </w:p>
    <w:p>
      <w:pPr>
        <w:pStyle w:val="2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</w:p>
    <w:p>
      <w:pPr>
        <w:rPr>
          <w:rFonts w:hint="default"/>
        </w:rPr>
      </w:pPr>
      <w:r>
        <w:rPr>
          <w:rFonts w:hint="default"/>
        </w:rPr>
        <w:br w:type="page"/>
      </w:r>
    </w:p>
    <w:p>
      <w:pPr>
        <w:jc w:val="center"/>
        <w:rPr>
          <w:rFonts w:hint="default"/>
          <w:b/>
          <w:bCs/>
        </w:rPr>
      </w:pPr>
      <w:r>
        <w:rPr>
          <w:rFonts w:hint="default"/>
          <w:b/>
          <w:bCs/>
        </w:rPr>
        <w:t>成片开发范围内公益性用地比例情况表</w:t>
      </w:r>
    </w:p>
    <w:p>
      <w:pPr>
        <w:jc w:val="right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单位：公</w:t>
      </w:r>
      <w:r>
        <w:rPr>
          <w:rFonts w:hint="default" w:ascii="Times New Roman" w:hAnsi="Times New Roman" w:cs="Times New Roman"/>
          <w:sz w:val="24"/>
          <w:szCs w:val="24"/>
        </w:rPr>
        <w:t>顷（0.0000）</w:t>
      </w:r>
    </w:p>
    <w:tbl>
      <w:tblPr>
        <w:tblStyle w:val="6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3"/>
        <w:gridCol w:w="2447"/>
        <w:gridCol w:w="1439"/>
        <w:gridCol w:w="1439"/>
        <w:gridCol w:w="143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" w:hAnsi="仿宋" w:eastAsia="仿宋" w:cs="仿宋"/>
                <w:b/>
                <w:bCs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片区名称</w:t>
            </w:r>
          </w:p>
        </w:tc>
        <w:tc>
          <w:tcPr>
            <w:tcW w:w="1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公益类别</w:t>
            </w:r>
          </w:p>
        </w:tc>
        <w:tc>
          <w:tcPr>
            <w:tcW w:w="8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公益用地面积</w:t>
            </w:r>
          </w:p>
        </w:tc>
        <w:tc>
          <w:tcPr>
            <w:tcW w:w="8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片区开发面积</w:t>
            </w:r>
          </w:p>
        </w:tc>
        <w:tc>
          <w:tcPr>
            <w:tcW w:w="8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公益性用地占区片范围用地比例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2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西湖片区</w:t>
            </w:r>
          </w:p>
        </w:tc>
        <w:tc>
          <w:tcPr>
            <w:tcW w:w="1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文化用地</w:t>
            </w:r>
          </w:p>
        </w:tc>
        <w:tc>
          <w:tcPr>
            <w:tcW w:w="8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9.0596</w:t>
            </w:r>
          </w:p>
        </w:tc>
        <w:tc>
          <w:tcPr>
            <w:tcW w:w="84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24.9733</w:t>
            </w:r>
          </w:p>
        </w:tc>
        <w:tc>
          <w:tcPr>
            <w:tcW w:w="84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43.83%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医疗卫生用地</w:t>
            </w:r>
          </w:p>
        </w:tc>
        <w:tc>
          <w:tcPr>
            <w:tcW w:w="8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0.2554</w:t>
            </w:r>
          </w:p>
        </w:tc>
        <w:tc>
          <w:tcPr>
            <w:tcW w:w="84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防护绿地</w:t>
            </w:r>
          </w:p>
        </w:tc>
        <w:tc>
          <w:tcPr>
            <w:tcW w:w="8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0.4707</w:t>
            </w:r>
          </w:p>
        </w:tc>
        <w:tc>
          <w:tcPr>
            <w:tcW w:w="84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城镇道路用地</w:t>
            </w:r>
          </w:p>
        </w:tc>
        <w:tc>
          <w:tcPr>
            <w:tcW w:w="8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0.2239</w:t>
            </w:r>
          </w:p>
        </w:tc>
        <w:tc>
          <w:tcPr>
            <w:tcW w:w="84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供电用地</w:t>
            </w:r>
          </w:p>
        </w:tc>
        <w:tc>
          <w:tcPr>
            <w:tcW w:w="8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0.594</w:t>
            </w:r>
          </w:p>
        </w:tc>
        <w:tc>
          <w:tcPr>
            <w:tcW w:w="84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其他公用设施用地</w:t>
            </w:r>
          </w:p>
        </w:tc>
        <w:tc>
          <w:tcPr>
            <w:tcW w:w="8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0.3423</w:t>
            </w:r>
          </w:p>
        </w:tc>
        <w:tc>
          <w:tcPr>
            <w:tcW w:w="84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8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10.9459</w:t>
            </w:r>
          </w:p>
        </w:tc>
        <w:tc>
          <w:tcPr>
            <w:tcW w:w="84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2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湘湖片区</w:t>
            </w:r>
          </w:p>
        </w:tc>
        <w:tc>
          <w:tcPr>
            <w:tcW w:w="1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公路用地</w:t>
            </w:r>
          </w:p>
        </w:tc>
        <w:tc>
          <w:tcPr>
            <w:tcW w:w="8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1.749</w:t>
            </w:r>
          </w:p>
        </w:tc>
        <w:tc>
          <w:tcPr>
            <w:tcW w:w="84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4.3373</w:t>
            </w:r>
          </w:p>
        </w:tc>
        <w:tc>
          <w:tcPr>
            <w:tcW w:w="84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40.32%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8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1.749</w:t>
            </w:r>
          </w:p>
        </w:tc>
        <w:tc>
          <w:tcPr>
            <w:tcW w:w="84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2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经公桥片区</w:t>
            </w:r>
          </w:p>
        </w:tc>
        <w:tc>
          <w:tcPr>
            <w:tcW w:w="1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教育用地</w:t>
            </w:r>
          </w:p>
        </w:tc>
        <w:tc>
          <w:tcPr>
            <w:tcW w:w="8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2.2855</w:t>
            </w:r>
          </w:p>
        </w:tc>
        <w:tc>
          <w:tcPr>
            <w:tcW w:w="84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3.6232</w:t>
            </w:r>
          </w:p>
        </w:tc>
        <w:tc>
          <w:tcPr>
            <w:tcW w:w="84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63.08%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8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2.2855</w:t>
            </w:r>
          </w:p>
        </w:tc>
        <w:tc>
          <w:tcPr>
            <w:tcW w:w="84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46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8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14.9804</w:t>
            </w:r>
          </w:p>
        </w:tc>
        <w:tc>
          <w:tcPr>
            <w:tcW w:w="8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32.9338</w:t>
            </w:r>
          </w:p>
        </w:tc>
        <w:tc>
          <w:tcPr>
            <w:tcW w:w="8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45.49%</w:t>
            </w:r>
          </w:p>
        </w:tc>
      </w:tr>
    </w:tbl>
    <w:p>
      <w:pPr>
        <w:pStyle w:val="3"/>
        <w:bidi w:val="0"/>
        <w:ind w:firstLine="600" w:firstLineChars="200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六、规划符合情况</w:t>
      </w:r>
    </w:p>
    <w:p>
      <w:pPr>
        <w:bidi w:val="0"/>
        <w:ind w:firstLine="560" w:firstLineChars="200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本方案符合国民经济和社会发展规划的发展定位、要求，有利于完成规划目标、任务，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成片开发相关项目已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纳入国民经济和社会发展年度计划。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成片开发范围均位于土地利用总体规划确定的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允许建设区</w:t>
      </w:r>
      <w:r>
        <w:rPr>
          <w:rFonts w:hint="eastAsia" w:ascii="Times New Roman" w:hAnsi="Times New Roman" w:cs="Times New Roman"/>
          <w:color w:val="000000" w:themeColor="text1"/>
          <w:highlight w:val="non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上报的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城镇开发边界集中建设区内。</w:t>
      </w:r>
    </w:p>
    <w:p>
      <w:pPr>
        <w:pStyle w:val="3"/>
        <w:bidi w:val="0"/>
        <w:ind w:firstLine="600" w:firstLineChars="200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七、征地农民利益保障</w:t>
      </w:r>
    </w:p>
    <w:p>
      <w:pPr>
        <w:bidi w:val="0"/>
        <w:ind w:firstLine="560" w:firstLineChars="200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为维护被征地农民和农村集体经济组织的合法权益，规范征地补偿程序，根据《中华人民共和国土地管理法》、江西省人民政府《关于公布全省征地区片综合地价的通知》（赣府字〔2020〕9号）、参照江西省自然资源厅印发《关于执行土地征收成片开发标准的指导意见（试行）》（征求意见稿）等文件规定开展工作。</w:t>
      </w:r>
    </w:p>
    <w:p>
      <w:pPr>
        <w:pStyle w:val="3"/>
        <w:bidi w:val="0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pStyle w:val="3"/>
        <w:bidi w:val="0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八、结论</w:t>
      </w:r>
    </w:p>
    <w:p>
      <w:pPr>
        <w:bidi w:val="0"/>
        <w:ind w:firstLine="560" w:firstLineChars="200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Times New Roman" w:hAnsi="Times New Roman" w:cs="Times New Roman"/>
          <w:color w:val="000000" w:themeColor="text1"/>
          <w:highlight w:val="none"/>
          <w:lang w:eastAsia="zh-CN"/>
          <w14:textFill>
            <w14:solidFill>
              <w14:schemeClr w14:val="tx1"/>
            </w14:solidFill>
          </w14:textFill>
        </w:rPr>
        <w:t>浮梁县西湖乡等3个乡（镇）土地征收成片开发方案（2022年）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》符合自然资源部及江西省自然资源厅关于土地征收“成片开发”的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相关要求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pStyle w:val="3"/>
        <w:bidi w:val="0"/>
        <w:rPr>
          <w:rFonts w:hint="default" w:ascii="Times New Roman" w:hAnsi="Times New Roman" w:cs="Times New Roman"/>
          <w:b/>
          <w:bCs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附图</w:t>
      </w:r>
    </w:p>
    <w:p>
      <w:pPr>
        <w:rPr>
          <w:rFonts w:hint="eastAsia"/>
          <w:color w:val="000000" w:themeColor="text1"/>
          <w:highlight w:val="none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default" w:ascii="Times New Roman" w:hAnsi="Times New Roman" w:cs="Times New Roman"/>
          <w:b/>
          <w:bCs/>
          <w:color w:val="000000" w:themeColor="text1"/>
          <w:highlight w:val="none"/>
          <w14:textFill>
            <w14:solidFill>
              <w14:schemeClr w14:val="tx1"/>
            </w14:solidFill>
          </w14:textFill>
        </w:rPr>
        <w:br w:type="page"/>
      </w:r>
    </w:p>
    <w:p>
      <w:pPr>
        <w:pStyle w:val="2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0671175" cy="7550785"/>
            <wp:effectExtent l="0" t="0" r="15875" b="12065"/>
            <wp:docPr id="3" name="图片 3" descr="地块示意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地块示意图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71175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0671175" cy="7550785"/>
            <wp:effectExtent l="0" t="0" r="15875" b="12065"/>
            <wp:docPr id="2" name="图片 2" descr="地块示意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地块示意图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71175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0671175" cy="7550785"/>
            <wp:effectExtent l="0" t="0" r="15875" b="12065"/>
            <wp:docPr id="1" name="图片 1" descr="地块示意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地块示意图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71175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0" w:right="0" w:bottom="0" w:left="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1NzFiNDk2NzFmZDcwOTU2NmQwZDE0NDE2YjBlYmMifQ=="/>
  </w:docVars>
  <w:rsids>
    <w:rsidRoot w:val="24133F00"/>
    <w:rsid w:val="01804A4C"/>
    <w:rsid w:val="01954485"/>
    <w:rsid w:val="03FD4132"/>
    <w:rsid w:val="042F4508"/>
    <w:rsid w:val="066B7070"/>
    <w:rsid w:val="07B47158"/>
    <w:rsid w:val="0B780373"/>
    <w:rsid w:val="0C3923C8"/>
    <w:rsid w:val="0CBB7639"/>
    <w:rsid w:val="0E12547F"/>
    <w:rsid w:val="0FDE7D68"/>
    <w:rsid w:val="10936117"/>
    <w:rsid w:val="10F230B4"/>
    <w:rsid w:val="13D34EB0"/>
    <w:rsid w:val="152964C1"/>
    <w:rsid w:val="152E2B95"/>
    <w:rsid w:val="169A479C"/>
    <w:rsid w:val="173E6AE4"/>
    <w:rsid w:val="17E4224C"/>
    <w:rsid w:val="1A79495F"/>
    <w:rsid w:val="1AAE0ADE"/>
    <w:rsid w:val="1C4C2F55"/>
    <w:rsid w:val="1C78723E"/>
    <w:rsid w:val="1CFF6449"/>
    <w:rsid w:val="1D2A0A29"/>
    <w:rsid w:val="1DC81C1D"/>
    <w:rsid w:val="1FB36E3D"/>
    <w:rsid w:val="20505AC4"/>
    <w:rsid w:val="216F4A80"/>
    <w:rsid w:val="220B576F"/>
    <w:rsid w:val="22EF3DD6"/>
    <w:rsid w:val="240D11A8"/>
    <w:rsid w:val="24133F00"/>
    <w:rsid w:val="257A33DD"/>
    <w:rsid w:val="265B3A27"/>
    <w:rsid w:val="27456A02"/>
    <w:rsid w:val="27581443"/>
    <w:rsid w:val="28114B4B"/>
    <w:rsid w:val="28CE3855"/>
    <w:rsid w:val="28CF57EE"/>
    <w:rsid w:val="294A3F37"/>
    <w:rsid w:val="299F78B6"/>
    <w:rsid w:val="29F8727E"/>
    <w:rsid w:val="2B2D0EF2"/>
    <w:rsid w:val="2D7C3A6A"/>
    <w:rsid w:val="2DAA05D8"/>
    <w:rsid w:val="2E857661"/>
    <w:rsid w:val="2F98068A"/>
    <w:rsid w:val="2FA6569B"/>
    <w:rsid w:val="2FED3DE1"/>
    <w:rsid w:val="303D090E"/>
    <w:rsid w:val="31AB0719"/>
    <w:rsid w:val="32A221C5"/>
    <w:rsid w:val="33CD330B"/>
    <w:rsid w:val="34CB5B1B"/>
    <w:rsid w:val="353D22BD"/>
    <w:rsid w:val="36AC3612"/>
    <w:rsid w:val="387D33AA"/>
    <w:rsid w:val="3ADD73B5"/>
    <w:rsid w:val="3BC21632"/>
    <w:rsid w:val="3D332764"/>
    <w:rsid w:val="3D4E6757"/>
    <w:rsid w:val="3D930823"/>
    <w:rsid w:val="3D9357AE"/>
    <w:rsid w:val="3DBD15A4"/>
    <w:rsid w:val="3EC666D0"/>
    <w:rsid w:val="3EFE1E41"/>
    <w:rsid w:val="40A65860"/>
    <w:rsid w:val="41574CC1"/>
    <w:rsid w:val="43E943E6"/>
    <w:rsid w:val="43F50436"/>
    <w:rsid w:val="45A748E4"/>
    <w:rsid w:val="47464984"/>
    <w:rsid w:val="47525B10"/>
    <w:rsid w:val="486B6D16"/>
    <w:rsid w:val="489C320B"/>
    <w:rsid w:val="48EC7A5D"/>
    <w:rsid w:val="4C1C225D"/>
    <w:rsid w:val="4C276BC0"/>
    <w:rsid w:val="4D183358"/>
    <w:rsid w:val="4D3C7234"/>
    <w:rsid w:val="4DFB2056"/>
    <w:rsid w:val="4F326E51"/>
    <w:rsid w:val="50A37BAB"/>
    <w:rsid w:val="545310A8"/>
    <w:rsid w:val="54752A66"/>
    <w:rsid w:val="574D100E"/>
    <w:rsid w:val="5776049C"/>
    <w:rsid w:val="57890A05"/>
    <w:rsid w:val="59246BE1"/>
    <w:rsid w:val="592B28B5"/>
    <w:rsid w:val="5A3A15EA"/>
    <w:rsid w:val="5C832A46"/>
    <w:rsid w:val="5FD00309"/>
    <w:rsid w:val="603C3E6A"/>
    <w:rsid w:val="60C72C73"/>
    <w:rsid w:val="62264693"/>
    <w:rsid w:val="644840CB"/>
    <w:rsid w:val="64B9700F"/>
    <w:rsid w:val="67240E08"/>
    <w:rsid w:val="6F410095"/>
    <w:rsid w:val="6F6611EB"/>
    <w:rsid w:val="7187015B"/>
    <w:rsid w:val="730C4C97"/>
    <w:rsid w:val="735760D9"/>
    <w:rsid w:val="748A6806"/>
    <w:rsid w:val="74F60385"/>
    <w:rsid w:val="751C7A1A"/>
    <w:rsid w:val="7727130E"/>
    <w:rsid w:val="77C24A29"/>
    <w:rsid w:val="788B2295"/>
    <w:rsid w:val="7BD5403F"/>
    <w:rsid w:val="7DC60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仿宋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黑体" w:asciiTheme="minorAscii" w:hAnsiTheme="minorAscii"/>
      <w:sz w:val="30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仿宋"/>
      <w:b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unhideWhenUsed/>
    <w:qFormat/>
    <w:uiPriority w:val="99"/>
    <w:pPr>
      <w:spacing w:after="120"/>
    </w:p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paragraph" w:customStyle="1" w:styleId="10">
    <w:name w:val="p0"/>
    <w:basedOn w:val="1"/>
    <w:qFormat/>
    <w:uiPriority w:val="0"/>
    <w:pPr>
      <w:widowControl/>
      <w:spacing w:line="440" w:lineRule="atLeast"/>
      <w:ind w:firstLine="420"/>
    </w:pPr>
    <w:rPr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1293</Words>
  <Characters>1489</Characters>
  <Lines>0</Lines>
  <Paragraphs>0</Paragraphs>
  <TotalTime>1</TotalTime>
  <ScaleCrop>false</ScaleCrop>
  <LinksUpToDate>false</LinksUpToDate>
  <CharactersWithSpaces>1492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2021-07-22T09:50:00Z</dcterms:created>
  <dc:creator>Administrator</dc:creator>
  <cp:lastModifiedBy>Administrator</cp:lastModifiedBy>
  <dcterms:modified xsi:type="dcterms:W3CDTF">2022-10-08T08:48:25Z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  <property fmtid="{D5CDD505-2E9C-101B-9397-08002B2CF9AE}" pid="3" name="ICV">
    <vt:lpwstr>AB8F25506AD14763854FFAB98E39DC5D</vt:lpwstr>
  </property>
</Properties>
</file>