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仿宋_GB2312" w:eastAsia="仿宋_GB2312" w:cs="仿宋_GB2312"/>
          <w:sz w:val="40"/>
          <w:szCs w:val="40"/>
        </w:rPr>
      </w:pPr>
      <w:bookmarkStart w:id="0" w:name="_GoBack"/>
      <w:bookmarkEnd w:id="0"/>
      <w:r>
        <w:rPr>
          <w:rFonts w:ascii="仿宋_GB2312" w:hAnsi="仿宋_GB2312" w:eastAsia="仿宋_GB2312" w:cs="仿宋_GB2312"/>
          <w:sz w:val="40"/>
          <w:szCs w:val="40"/>
        </w:rPr>
        <w:t>临时建设工程规划许可（县级权限）</w:t>
      </w:r>
    </w:p>
    <w:p>
      <w:pPr>
        <w:jc w:val="center"/>
        <w:rPr>
          <w:rFonts w:ascii="仿宋_GB2312" w:hAnsi="仿宋_GB2312" w:eastAsia="仿宋_GB2312" w:cs="仿宋_GB2312"/>
          <w:sz w:val="40"/>
          <w:szCs w:val="40"/>
        </w:rPr>
      </w:pPr>
      <w:r>
        <w:rPr>
          <w:rFonts w:ascii="仿宋_GB2312" w:hAnsi="仿宋_GB2312" w:eastAsia="仿宋_GB2312" w:cs="仿宋_GB2312"/>
          <w:sz w:val="40"/>
          <w:szCs w:val="40"/>
        </w:rPr>
        <w:t>11360222014560340A4000115133006</w:t>
      </w:r>
    </w:p>
    <w:p>
      <w:pPr>
        <w:numPr>
          <w:ilvl w:val="0"/>
          <w:numId w:val="1"/>
        </w:numPr>
        <w:spacing w:line="540" w:lineRule="exact"/>
        <w:outlineLvl w:val="1"/>
        <w:rPr>
          <w:rFonts w:ascii="黑体" w:hAnsi="黑体" w:eastAsia="黑体" w:cs="黑体"/>
          <w:b/>
          <w:bCs/>
          <w:sz w:val="28"/>
          <w:szCs w:val="28"/>
        </w:rPr>
      </w:pPr>
      <w:r>
        <w:rPr>
          <w:rFonts w:hint="eastAsia" w:ascii="黑体" w:hAnsi="黑体" w:eastAsia="黑体" w:cs="黑体"/>
          <w:b/>
          <w:bCs/>
          <w:sz w:val="28"/>
          <w:szCs w:val="28"/>
        </w:rPr>
        <w:t>基本要素</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1.行政许可事项名称</w:t>
      </w:r>
    </w:p>
    <w:p>
      <w:pPr>
        <w:ind w:left="420" w:firstLine="420"/>
        <w:rPr>
          <w:rFonts w:ascii="仿宋_GB2312" w:hAnsi="仿宋_GB2312" w:eastAsia="仿宋_GB2312" w:cs="仿宋_GB2312"/>
          <w:sz w:val="28"/>
          <w:szCs w:val="28"/>
        </w:rPr>
      </w:pPr>
      <w:r>
        <w:rPr>
          <w:rFonts w:ascii="仿宋_GB2312" w:hAnsi="仿宋_GB2312" w:eastAsia="仿宋_GB2312" w:cs="仿宋_GB2312"/>
          <w:sz w:val="28"/>
          <w:szCs w:val="28"/>
        </w:rPr>
        <w:t>临时建设工程规划许可（县级权限）</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2.办事指南编码</w:t>
      </w:r>
    </w:p>
    <w:p>
      <w:pPr>
        <w:ind w:firstLine="560" w:firstLineChars="200"/>
        <w:rPr>
          <w:rFonts w:ascii="仿宋_GB2312" w:hAnsi="仿宋_GB2312" w:eastAsia="仿宋_GB2312" w:cs="仿宋_GB2312"/>
          <w:b/>
          <w:bCs/>
          <w:sz w:val="28"/>
          <w:szCs w:val="28"/>
        </w:rPr>
      </w:pPr>
      <w:r>
        <w:rPr>
          <w:rFonts w:ascii="仿宋_GB2312" w:hAnsi="仿宋_GB2312" w:eastAsia="仿宋_GB2312" w:cs="仿宋_GB2312"/>
          <w:sz w:val="28"/>
          <w:szCs w:val="28"/>
        </w:rPr>
        <w:t>11360222014560340A4000115133006</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3. 对应政务服务实施清单事项名称</w:t>
      </w:r>
    </w:p>
    <w:p>
      <w:pPr>
        <w:ind w:left="420" w:firstLine="420"/>
        <w:rPr>
          <w:rFonts w:ascii="仿宋_GB2312" w:hAnsi="仿宋_GB2312" w:eastAsia="仿宋_GB2312" w:cs="仿宋_GB2312"/>
          <w:sz w:val="28"/>
          <w:szCs w:val="28"/>
        </w:rPr>
      </w:pPr>
      <w:r>
        <w:rPr>
          <w:rFonts w:ascii="仿宋_GB2312" w:hAnsi="仿宋_GB2312" w:eastAsia="仿宋_GB2312" w:cs="仿宋_GB2312"/>
          <w:sz w:val="28"/>
          <w:szCs w:val="28"/>
        </w:rPr>
        <w:t>无对应政务服务事项</w:t>
      </w:r>
    </w:p>
    <w:p>
      <w:pPr>
        <w:spacing w:line="360" w:lineRule="auto"/>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4.设定依据</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(1). 《中华人民共和国城乡规划法》（第四十四条）：在城市、镇规划区内进行临时建设的，应当经城市、县人民政府城乡规划主管部门批准。临时建设影响近期建设规划或者控制性详细规划的实施以及交通、市容、安全等的，不得批准。
临时建设应当在批准的使用期限内自行拆除。
临时建设和临时用地规划管理的具体办法，由省、自治区、直辖市人民政府制定。</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(2). 《中华人民共和国城乡规划法》（第四十条）：在城市、镇规划区内进行建筑物、构筑物、道路、管线和其他工程建设的，建设单位或者个人应当向城市、县人民政府城乡规划主管部门或者省、自治区、直辖市人民政府确定的镇人民政府申请办理建设工程规划许可证。</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5.实施依据</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(1). 《中华人民共和国土地管理法》（第十八条）：国家建立国土空间规划体系。编制国土空间规划应当坚持生态优先，绿色、可持续发展，科学有序统筹安排生态、农业、城镇等功能空间，优化国土空间结构和布局，提升国土空间开发、保护的质量和效率。
经依法批准的国土空间规划是各类开发、保护、建设活动的基本依据。已经编制国土空间规划的，不再编制土地利用总体规划和城乡规划。</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(2). 《中华人民共和国土地管理法实施条例》（第二条）：国家建立国土空间规划体系。
土地开发、保护、建设活动应当坚持规划先行。经依法批准的国土空间规划是各类开发、保护、建设活动的基本依据。
已经编制国土空间规划的，不再编制土地利用总体规划和城乡规划。在编制国土空间规划前，经依法批准的土地利用总体规划和城乡规划继续执行。</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(3). 《中华人民共和国城乡规划法》（第四十条）：在城市、镇规划区内进行建筑物、构筑物、道路、管线和其他工程建设的，建设单位或者个人应当向城市、县人民政府城乡规划主管部门或者省、自治区、直辖市人民政府确定的镇人民政府申请办理建设工程规划许可证。
申请办理建设工程规划许可证，应当提交使用土地的有关证明文件、建设工程设计方案等材料。需要建设单位编制修建性详细规划的建设项目，还应当提交修建性详细规划。对符合控制性详细规划和规划条件的，由城市、县人民政府城乡规划主管部门或者省、自治区、直辖市人民政府确定的镇人民政府核发建设工程规划许可证。
城市、县人民政府城乡规划主管部门或者省、自治区、直辖市人民政府确定的镇人民政府应当依法将经审定的修建性详细规划、建设工程设计方案的总平面图予以公布。平面图予以公布。</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(4). 《中共中央 国务院关于建立国土空间规划体系并监督实施的若干意见》（1）：（十三）健全用途管制制度。以国土空间规划为依据，对所有国土空间分区分类实施用途管制。在城镇开发边界内的建设，实行“详细规划+规划许可”的管制方式；在城镇开发边界外的建设，按照主导用途分区，实行“详细规划+规划许可”和“约束指标+分区准入”的管制方式。对以国家公园为主体的自然保护地、重要海域和海岛、重要水源地、文物等实行特殊保护制度。因地制宜制定用途管制制度，为地方管理和创新活动留有空间。
（十五）推进“放管服”改革。以“多规合一”为基础，统筹规划、建设、管理三大环节，推动“多审合一”、“多证合一”。优化现行建设项目用地（海）预审、规划选址以及建设用地规划许可、建设工程规划许可等审批流程，提高审批效能和监管服务水平。</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(5). 《中华人民共和国长江保护法》（第二十条）：国家对长江流域国土空间实施用途管制。长江流域县级以上地方人民政府自然资源主管部门依照国土空间规划，对所辖长江流域国土空间实施分区、分类用途管制。
长江流域国土空间开发利用活动应当符合国土空间用途管制要求，并依法取得规划许可。对不符合国土空间用途管制要求的，县级以上人民政府自然资源主管部门不得办理规划许可。</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(6). 《中华人民共和国城乡规划法》（第四十四条）：在城市、镇规划区内进行临时建设的，应当经城市、县人民政府城乡规划主管部门批准。临时建设影响近期建设规划或者控制性详细规划的实施以及交通、市容、安全等的，不得批准。
临时建设应当在批准的使用期限内自行拆除。
临时建设和临时用地规划管理的具体办法，由省、自治区、直辖市人民政府制定。</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(7). 《中华人民共和国黄河保护法》（第二十五条）：国家对黄河流域国土空间严格实行用途管制。黄河流域县级以上地方人民政府自然资源主管部门依据国土空间规划，对本行政区域黄河流域国土空间实行分区、分类用途管制。
黄河流域国土空间开发利用活动应当符合国土空间用途管制要求，并依法取得规划许可。
......</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6.监管依据</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(1). 《中华人民共和国城乡规划法》（第五十三条）：县级以上人民政府城乡规划主管部门对城乡规划的实施情况进行监督检查，有权采取以下措施：
（一）要求有关单位和人员提供与监督事项有关的文件、资料，并进行复制；
（二）要求有关单位和人员就监督事项涉及的问题作出解释和说明，并根据需要进入现场进行勘测；
（三）责令有关单位和人员停止违反有关城乡规划的法律、法规的行为。
城乡规划主管部门的工作人员履行前款规定的监督检查职责，应当出示执法证件。被监督检查的单位和人员应当予以配合，不得妨碍和阻挠依法进行的监督检查活动。</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(2). 《中华人民共和国城乡规划法》（第五十一条）：县级以上人民政府及其城乡规划主管部门应当加强对城乡规划编制、审批、实施、修改的监督检查。</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(3). 《中华人民共和国城乡规划法》（第四十四条）：在城市、镇规划区内进行临时建设的，应当经城市、县人民政府城乡规划主管部门批准。临时建设影响近期建设规划或者控制性详细规划的实施以及交通、市容、安全等的，不得批准。
临时建设应当在批准的使用期限内自行拆除。
临时建设和临时用地规划管理的具体办法，由省、自治区、直辖市人民政府制定。</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(4). 《中华人民共和国城乡规划法》（第六十六条）：建设单位或者个人有下列行为之一的，由所在地城市、县人民政府城乡规划主管部门责令限期拆除，可以并处临时建设工程造价一倍以下的罚款：
（一）未经批准进行临时建设的；
（二）未按照批准内容进行临时建设的；
（三）临时建筑物、构筑物超过批准期限不拆除的。</w:t>
      </w:r>
    </w:p>
    <w:p>
      <w:pPr>
        <w:ind w:left="560"/>
        <w:rPr>
          <w:rFonts w:ascii="仿宋_GB2312" w:hAnsi="仿宋_GB2312" w:eastAsia="仿宋_GB2312" w:cs="仿宋_GB2312"/>
          <w:b/>
          <w:bCs/>
          <w:sz w:val="28"/>
          <w:szCs w:val="28"/>
        </w:rPr>
      </w:pPr>
      <w:r>
        <w:rPr>
          <w:rFonts w:ascii="仿宋_GB2312" w:hAnsi="仿宋_GB2312" w:eastAsia="仿宋_GB2312" w:cs="仿宋_GB2312"/>
          <w:b/>
          <w:bCs/>
          <w:sz w:val="28"/>
          <w:szCs w:val="28"/>
        </w:rPr>
        <w:t>7.权力来源：</w:t>
      </w:r>
      <w:r>
        <w:rPr>
          <w:rFonts w:ascii="仿宋_GB2312" w:hAnsi="仿宋_GB2312" w:eastAsia="仿宋_GB2312" w:cs="仿宋_GB2312"/>
          <w:sz w:val="28"/>
          <w:szCs w:val="28"/>
        </w:rPr>
        <w:t>法定本级行使</w:t>
      </w:r>
    </w:p>
    <w:p>
      <w:pPr>
        <w:ind w:left="560"/>
        <w:rPr>
          <w:rFonts w:ascii="仿宋_GB2312" w:hAnsi="仿宋_GB2312" w:eastAsia="仿宋_GB2312" w:cs="仿宋_GB2312"/>
          <w:b/>
          <w:bCs/>
          <w:sz w:val="28"/>
          <w:szCs w:val="28"/>
        </w:rPr>
      </w:pPr>
      <w:r>
        <w:rPr>
          <w:rFonts w:ascii="仿宋_GB2312" w:hAnsi="仿宋_GB2312" w:eastAsia="仿宋_GB2312" w:cs="仿宋_GB2312"/>
          <w:b/>
          <w:bCs/>
          <w:sz w:val="28"/>
          <w:szCs w:val="28"/>
        </w:rPr>
        <w:t>8.实施机关：</w:t>
      </w:r>
      <w:r>
        <w:rPr>
          <w:rFonts w:ascii="仿宋_GB2312" w:hAnsi="仿宋_GB2312" w:eastAsia="仿宋_GB2312" w:cs="仿宋_GB2312"/>
          <w:sz w:val="28"/>
          <w:szCs w:val="28"/>
        </w:rPr>
        <w:t>县级城乡规划部门</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9.实施主体：</w:t>
      </w:r>
      <w:r>
        <w:rPr>
          <w:rFonts w:ascii="仿宋_GB2312" w:hAnsi="仿宋_GB2312" w:eastAsia="仿宋_GB2312" w:cs="仿宋_GB2312"/>
          <w:sz w:val="28"/>
          <w:szCs w:val="28"/>
        </w:rPr>
        <w:t>浮梁县自然资源和规划局</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10.实施主体性质：</w:t>
      </w:r>
      <w:r>
        <w:rPr>
          <w:rFonts w:ascii="仿宋_GB2312" w:hAnsi="仿宋_GB2312" w:eastAsia="仿宋_GB2312" w:cs="仿宋_GB2312"/>
          <w:sz w:val="28"/>
          <w:szCs w:val="28"/>
        </w:rPr>
        <w:t>法定机关</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11.实施主体编码：</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12.审批层级：</w:t>
      </w:r>
      <w:r>
        <w:rPr>
          <w:rFonts w:ascii="仿宋_GB2312" w:hAnsi="仿宋_GB2312" w:eastAsia="仿宋_GB2312" w:cs="仿宋_GB2312"/>
          <w:sz w:val="28"/>
          <w:szCs w:val="28"/>
        </w:rPr>
        <w:t>县级</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13.行使层级：</w:t>
      </w:r>
      <w:r>
        <w:rPr>
          <w:rFonts w:ascii="仿宋_GB2312" w:hAnsi="仿宋_GB2312" w:eastAsia="仿宋_GB2312" w:cs="仿宋_GB2312"/>
          <w:sz w:val="28"/>
          <w:szCs w:val="28"/>
        </w:rPr>
        <w:t>县级</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14.是否由审批机关受理：</w:t>
      </w:r>
      <w:r>
        <w:rPr>
          <w:rFonts w:ascii="仿宋_GB2312" w:hAnsi="仿宋_GB2312" w:eastAsia="仿宋_GB2312" w:cs="仿宋_GB2312"/>
          <w:sz w:val="28"/>
          <w:szCs w:val="28"/>
        </w:rPr>
        <w:t>是</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15.受理层级：</w:t>
      </w:r>
      <w:r>
        <w:rPr>
          <w:rFonts w:ascii="仿宋_GB2312" w:hAnsi="仿宋_GB2312" w:eastAsia="仿宋_GB2312" w:cs="仿宋_GB2312"/>
          <w:sz w:val="28"/>
          <w:szCs w:val="28"/>
        </w:rPr>
        <w:t>县级</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16.是否存在初审环节：</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4"/>
          <w:szCs w:val="24"/>
        </w:rPr>
      </w:pPr>
      <w:r>
        <w:rPr>
          <w:rFonts w:ascii="仿宋_GB2312" w:hAnsi="仿宋_GB2312" w:eastAsia="仿宋_GB2312" w:cs="仿宋_GB2312"/>
          <w:b/>
          <w:bCs/>
          <w:sz w:val="28"/>
          <w:szCs w:val="28"/>
        </w:rPr>
        <w:t>17.初审层级：</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18.责任处（科）室 ：</w:t>
      </w:r>
      <w:r>
        <w:rPr>
          <w:rFonts w:ascii="仿宋_GB2312" w:hAnsi="仿宋_GB2312" w:eastAsia="仿宋_GB2312" w:cs="仿宋_GB2312"/>
          <w:sz w:val="28"/>
          <w:szCs w:val="28"/>
        </w:rPr>
        <w:t>市政和建筑规划管理股</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19.权限划分</w:t>
      </w:r>
    </w:p>
    <w:p>
      <w:pPr>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无</w:t>
      </w:r>
      <w:r>
        <w:rPr>
          <w:rFonts w:ascii="仿宋_GB2312" w:hAnsi="仿宋_GB2312" w:eastAsia="仿宋_GB2312" w:cs="仿宋_GB2312"/>
          <w:sz w:val="28"/>
          <w:szCs w:val="28"/>
        </w:rPr>
        <w:t>。</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20.行使内容：</w:t>
      </w:r>
      <w:r>
        <w:rPr>
          <w:rFonts w:ascii="仿宋_GB2312" w:hAnsi="仿宋_GB2312" w:eastAsia="仿宋_GB2312" w:cs="仿宋_GB2312"/>
          <w:sz w:val="28"/>
          <w:szCs w:val="28"/>
        </w:rPr>
        <w:t>临时建设工程规划许可证核发</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21.行政相对人权利</w:t>
      </w:r>
    </w:p>
    <w:p>
      <w:pPr>
        <w:spacing w:line="600" w:lineRule="exact"/>
        <w:ind w:firstLine="560" w:firstLineChars="200"/>
        <w:rPr>
          <w:rFonts w:ascii="仿宋_GB2312" w:hAnsi="仿宋_GB2312" w:eastAsia="仿宋_GB2312" w:cs="仿宋_GB2312"/>
          <w:b/>
          <w:bCs/>
          <w:sz w:val="28"/>
          <w:szCs w:val="28"/>
        </w:rPr>
      </w:pPr>
      <w:r>
        <w:rPr>
          <w:rFonts w:ascii="仿宋_GB2312" w:hAnsi="仿宋_GB2312" w:eastAsia="仿宋_GB2312" w:cs="仿宋_GB2312"/>
          <w:sz w:val="28"/>
          <w:szCs w:val="28"/>
        </w:rPr>
        <w:t>提交申请</w:t>
      </w:r>
      <w:r>
        <w:rPr>
          <w:rFonts w:ascii="仿宋_GB2312" w:hAnsi="仿宋_GB2312" w:eastAsia="仿宋_GB2312" w:cs="仿宋_GB2312"/>
          <w:sz w:val="28"/>
          <w:szCs w:val="28"/>
          <w:lang w:bidi="ar"/>
        </w:rPr>
        <w:t>。</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22.行政相对人义务</w:t>
      </w:r>
    </w:p>
    <w:p>
      <w:pPr>
        <w:spacing w:line="600" w:lineRule="exact"/>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 xml:space="preserve">    </w:t>
      </w:r>
      <w:r>
        <w:rPr>
          <w:rFonts w:ascii="仿宋_GB2312" w:hAnsi="仿宋_GB2312" w:eastAsia="仿宋_GB2312" w:cs="仿宋_GB2312"/>
          <w:sz w:val="28"/>
          <w:szCs w:val="28"/>
        </w:rPr>
        <w:t>提交材料</w:t>
      </w:r>
      <w:r>
        <w:rPr>
          <w:rFonts w:ascii="仿宋_GB2312" w:hAnsi="仿宋_GB2312" w:eastAsia="仿宋_GB2312" w:cs="仿宋_GB2312"/>
          <w:sz w:val="28"/>
          <w:szCs w:val="28"/>
          <w:lang w:bidi="ar"/>
        </w:rPr>
        <w:t>。</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行政许可事项类型</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lang w:bidi="ar"/>
        </w:rPr>
        <w:t>条件型</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行政许可条件</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1.准予行政许可的条件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 参照建设工程规划许可准予行政许可的条件</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2.规定行政许可条件的依据</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 （第四十四条）：在城市、镇规划区内进行临时建设的，应当经城市、县人民政府城乡规划主管部门批准。临时建设影响近期建设规划或者控制性详细规划的实施以及交通、市容、安全等的，不得批准。
临时建设应当在批准的使用期限内自行拆除。
临时建设和临时用地规划管理的具体办法，由省、自治区、直辖市人民政府制定。</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3.受理条件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资料齐全</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4.不予行政许可的情形</w:t>
      </w:r>
    </w:p>
    <w:p>
      <w:pPr>
        <w:spacing w:line="540" w:lineRule="exact"/>
        <w:ind w:firstLine="560" w:firstLineChars="200"/>
        <w:outlineLvl w:val="2"/>
        <w:rPr>
          <w:rFonts w:ascii="仿宋_GB2312" w:hAnsi="仿宋_GB2312" w:eastAsia="仿宋_GB2312" w:cs="仿宋_GB2312"/>
          <w:sz w:val="28"/>
          <w:szCs w:val="28"/>
        </w:rPr>
      </w:pP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行政许可服务对象类型与改革举措</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1.服务对象类型：</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2.面向自然人事项主题分类：</w:t>
      </w:r>
      <w:r>
        <w:rPr>
          <w:rFonts w:ascii="仿宋_GB2312" w:hAnsi="仿宋_GB2312" w:eastAsia="仿宋_GB2312" w:cs="仿宋_GB2312"/>
          <w:sz w:val="28"/>
          <w:szCs w:val="28"/>
        </w:rPr>
        <w:t>规划建设、证件办理</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3.面向法人事项主题分类：</w:t>
      </w:r>
      <w:r>
        <w:rPr>
          <w:rFonts w:ascii="仿宋_GB2312" w:hAnsi="仿宋_GB2312" w:eastAsia="仿宋_GB2312" w:cs="仿宋_GB2312"/>
          <w:sz w:val="28"/>
          <w:szCs w:val="28"/>
        </w:rPr>
        <w:t>国土和规划建设</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4.面向自然人地方特色主题分类：</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5.面向法人地方特色主题分类：</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6.是否为涉企许可事项：</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7.涉企经营许可事项名称：</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8.许可证件名称：</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9.改革方式：</w:t>
      </w:r>
      <w:r>
        <w:rPr>
          <w:rFonts w:ascii="仿宋_GB2312" w:hAnsi="仿宋_GB2312" w:eastAsia="仿宋_GB2312" w:cs="仿宋_GB2312"/>
          <w:sz w:val="28"/>
          <w:szCs w:val="28"/>
        </w:rPr>
        <w:t>1</w:t>
      </w:r>
    </w:p>
    <w:p>
      <w:pPr>
        <w:spacing w:line="54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10.具体改革举措</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54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11.加强事中事后监管措施</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做好公开公示，自觉接受群众监督。核发建设工程规划许可证前，应将建设工程设计方案的总平面图予以批前公示。经依法审定的建设工程设计方案的总平面图不得随意修改，确需修改的，应当采取听证会等形式，听取利害关系人的意见。地方自然资源主管部门应明确公示、听证要求，保障群众知情权，切实维护利害关系人利益。按照《自然资源领域基层政务公开标准指引》规定，作出许可决定7个工作日内，将建设工程规划许可证通过适当方式向社会公开。2.依法严格开展规划核实。进一步规范核实标准，自然资源主管部门依据建设单位提交的规划竣工实测报告，严格核实项目建设是否符合规划条件、建设工程规划许可要求，明确规划验收意见。推动自然资源主管部门负责的规划核实、土地核验、不动产测绘等合并为一个验收事项。3.推动许可管理数字化、智能化。建立完善全国国土空间用途管制监管系统，实现部、省、市、县四级系统对接，加强对建设项目用地预审与选址、建设用地规划许可、建设工程规划许可、乡村建设规划许可、规划核实等用途管制业务的全生命周期管理。依托用途管制监管系统，实现许可申请、审查、决定全程留痕可追溯，地方自然资源主管部门根据国土空间用途管制数据标准，完善建设工程规划许可相关数据。4.多方式强化事后监管。按照“谁审批、谁监管”的原则，完善监管制度，明确有关监管流程、内容和要求，规范监管工作。区分项目类型、重点领域等，开展“双随机、一公开”监管。结合国土空间规划体检评估，对建设单位实施许可、履行承诺事项进行动态监督检查。坚持日常监管与重点监管相结合，提升监管效能。发现违法违规行为的，依法严肃查处。加强信用监管，依法依规探索对失信主体开展失信惩戒。</w:t>
      </w:r>
    </w:p>
    <w:p>
      <w:pPr>
        <w:rPr>
          <w:rFonts w:ascii="仿宋_GB2312" w:hAnsi="仿宋_GB2312" w:eastAsia="仿宋_GB2312" w:cs="仿宋_GB2312"/>
          <w:sz w:val="28"/>
          <w:szCs w:val="28"/>
        </w:rPr>
      </w:pPr>
      <w:r>
        <w:rPr>
          <w:rFonts w:ascii="仿宋_GB2312" w:hAnsi="仿宋_GB2312" w:eastAsia="仿宋_GB2312" w:cs="仿宋_GB2312"/>
          <w:sz w:val="28"/>
          <w:szCs w:val="28"/>
        </w:rPr>
        <w:br w:type="page"/>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申请材料</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1.申请材料名称</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 参照建设工程规划许可申请材料：</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2.规定申请材料的依据</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 《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3.材料信息</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（1）申请材料名称：参照建设工程规划许可申请材料</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（2）材料类型：无</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（3）材料形式：无</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（4）材料必要性：必要</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（5）来源渠道：</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（6）来源渠道说明：</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（7）纸质材料份数：0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（8）纸质材料规格：</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（9）原件份数：0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（10）复印件份数：0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（11）填报须知：</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（12）受理标准：</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4.材料审查要点</w:t>
      </w:r>
    </w:p>
    <w:p>
      <w:pPr>
        <w:spacing w:line="540" w:lineRule="exact"/>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w:t>
      </w:r>
      <w:r>
        <w:rPr>
          <w:rFonts w:ascii="仿宋_GB2312" w:hAnsi="仿宋_GB2312" w:eastAsia="仿宋_GB2312" w:cs="仿宋_GB2312"/>
          <w:sz w:val="28"/>
          <w:szCs w:val="28"/>
        </w:rPr>
        <w:t>资料是否齐全</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5.申请提交方式：</w:t>
      </w:r>
      <w:r>
        <w:rPr>
          <w:rFonts w:ascii="仿宋_GB2312" w:hAnsi="仿宋_GB2312" w:eastAsia="仿宋_GB2312" w:cs="仿宋_GB2312"/>
          <w:sz w:val="28"/>
          <w:szCs w:val="28"/>
        </w:rPr>
        <w:t>窗口提交,网络提交</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6.接收申请的机构：</w:t>
      </w:r>
    </w:p>
    <w:p>
      <w:pPr>
        <w:spacing w:line="540" w:lineRule="exact"/>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7.接收地址：</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8.提交方式：</w:t>
      </w:r>
      <w:r>
        <w:rPr>
          <w:rFonts w:ascii="仿宋_GB2312" w:hAnsi="仿宋_GB2312" w:eastAsia="仿宋_GB2312" w:cs="仿宋_GB2312"/>
          <w:sz w:val="28"/>
          <w:szCs w:val="28"/>
        </w:rPr>
        <w:t>http://10.129.127.49/aplanmis-front/</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9.传真号码：</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10.是否需要实人认证：</w:t>
      </w:r>
      <w:r>
        <w:rPr>
          <w:rFonts w:ascii="仿宋_GB2312" w:hAnsi="仿宋_GB2312" w:eastAsia="仿宋_GB2312" w:cs="仿宋_GB2312"/>
          <w:sz w:val="28"/>
          <w:szCs w:val="28"/>
        </w:rPr>
        <w:t>否</w:t>
      </w:r>
    </w:p>
    <w:p>
      <w:pPr>
        <w:spacing w:line="540" w:lineRule="exact"/>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11.关于实人认证的说明：</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中介服务</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1.有无法定中介服务事项：</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2.中介服务事项名称：</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3.设定中介服务事项的依据</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4.提供中介服务的机构：</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5.中介服务事项的收费性质：</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6.中介服务机构资质要求：</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7.中介服务内容：</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审批程序</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1.办理行政许可的程序环节</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 1.申请人申请。 2.审批机构受理/不予受理。</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2. 审批机构审查。涉及需进行现场勘验、专家评审、听证、委托服务机构开展技术性服务的，按有关规定组织实施。</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3. 决定核发许可证/不予核发许可证。</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2.规定行政许可程序的依据</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 《中华人民共和国城乡规划法》（第四十四条）：在城市、镇规划区内进行临时建设的，应当经城市、县人民政府城乡规划主管部门批准。临时建设影响近期建设规划或者控制性详细规划的实施以及交通、市容、安全等的，不得批准。
临时建设应当在批准的使用期限内自行拆除。
临时建设和临时用地规划管理的具体办法，由省、自治区、直辖市人民政府制定。</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3.是否需要现场勘验：</w:t>
      </w:r>
      <w:r>
        <w:rPr>
          <w:rFonts w:ascii="仿宋_GB2312" w:hAnsi="仿宋_GB2312" w:eastAsia="仿宋_GB2312" w:cs="仿宋_GB2312"/>
          <w:sz w:val="28"/>
          <w:szCs w:val="28"/>
        </w:rPr>
        <w:t>部分情况下开展</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4.是否需要组织听证：</w:t>
      </w:r>
      <w:r>
        <w:rPr>
          <w:rFonts w:ascii="仿宋_GB2312" w:hAnsi="仿宋_GB2312" w:eastAsia="仿宋_GB2312" w:cs="仿宋_GB2312"/>
          <w:sz w:val="28"/>
          <w:szCs w:val="28"/>
        </w:rPr>
        <w:t>部分情况下开展</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5.是否需要招标、拍卖、挂牌交易：</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6.是否需要检验、检测、检疫：</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7.是否需要鉴定：</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8.是否需要专家评审：</w:t>
      </w:r>
      <w:r>
        <w:rPr>
          <w:rFonts w:ascii="仿宋_GB2312" w:hAnsi="仿宋_GB2312" w:eastAsia="仿宋_GB2312" w:cs="仿宋_GB2312"/>
          <w:sz w:val="28"/>
          <w:szCs w:val="28"/>
        </w:rPr>
        <w:t>部分情况下开展</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9.是否需要向社会公示：</w:t>
      </w:r>
      <w:r>
        <w:rPr>
          <w:rFonts w:ascii="仿宋_GB2312" w:hAnsi="仿宋_GB2312" w:eastAsia="仿宋_GB2312" w:cs="仿宋_GB2312"/>
          <w:sz w:val="28"/>
          <w:szCs w:val="28"/>
        </w:rPr>
        <w:t>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10.是否实行告知承诺办理：</w:t>
      </w:r>
      <w:r>
        <w:rPr>
          <w:rFonts w:ascii="仿宋_GB2312" w:hAnsi="仿宋_GB2312" w:eastAsia="仿宋_GB2312" w:cs="仿宋_GB2312"/>
          <w:sz w:val="28"/>
          <w:szCs w:val="28"/>
        </w:rPr>
        <w:t>部分情况下开展</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11.审批机关是否委托服务机构开展技术性服务：</w:t>
      </w:r>
      <w:r>
        <w:rPr>
          <w:rFonts w:ascii="仿宋_GB2312" w:hAnsi="仿宋_GB2312" w:eastAsia="仿宋_GB2312" w:cs="仿宋_GB2312"/>
          <w:sz w:val="28"/>
          <w:szCs w:val="28"/>
        </w:rPr>
        <w:t>部分情况下开展</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受理和审批时限</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1.承诺受理时限：</w:t>
      </w:r>
      <w:r>
        <w:rPr>
          <w:rFonts w:ascii="仿宋_GB2312" w:hAnsi="仿宋_GB2312" w:eastAsia="仿宋_GB2312" w:cs="仿宋_GB2312"/>
          <w:sz w:val="28"/>
          <w:szCs w:val="28"/>
        </w:rPr>
        <w:t>3个工作日</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2.法定审批时限：</w:t>
      </w:r>
      <w:r>
        <w:rPr>
          <w:rFonts w:ascii="仿宋_GB2312" w:hAnsi="仿宋_GB2312" w:eastAsia="仿宋_GB2312" w:cs="仿宋_GB2312"/>
          <w:sz w:val="28"/>
          <w:szCs w:val="28"/>
        </w:rPr>
        <w:t>20工作日</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3.规定法定审批时限依据</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 《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4.承诺审批时限：</w:t>
      </w:r>
      <w:r>
        <w:rPr>
          <w:rFonts w:ascii="仿宋_GB2312" w:hAnsi="仿宋_GB2312" w:eastAsia="仿宋_GB2312" w:cs="仿宋_GB2312"/>
          <w:sz w:val="28"/>
          <w:szCs w:val="28"/>
        </w:rPr>
        <w:t>20工作日</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5.办件类型：</w:t>
      </w:r>
      <w:r>
        <w:rPr>
          <w:rFonts w:ascii="仿宋_GB2312" w:hAnsi="仿宋_GB2312" w:eastAsia="仿宋_GB2312" w:cs="仿宋_GB2312"/>
          <w:sz w:val="28"/>
          <w:szCs w:val="28"/>
        </w:rPr>
        <w:t>承诺件</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收费</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1.办理行政许可是否收费：</w:t>
      </w:r>
      <w:r>
        <w:rPr>
          <w:rFonts w:ascii="仿宋_GB2312" w:hAnsi="仿宋_GB2312" w:eastAsia="仿宋_GB2312" w:cs="仿宋_GB2312"/>
          <w:sz w:val="28"/>
          <w:szCs w:val="28"/>
        </w:rPr>
        <w:t>否</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2.收费项目的名称、收费项目的标准、设定收费项目的依据、规定收费标准的依据</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3.是否允许减免：</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4.允许减免的依据：</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desc_explain \* MERGEFORMAT </w:instrText>
      </w:r>
      <w:r>
        <w:rPr>
          <w:rFonts w:ascii="仿宋_GB2312" w:hAnsi="仿宋_GB2312" w:eastAsia="仿宋_GB2312" w:cs="仿宋_GB2312"/>
          <w:sz w:val="28"/>
          <w:szCs w:val="28"/>
        </w:rPr>
        <w:fldChar w:fldCharType="end"/>
      </w:r>
    </w:p>
    <w:p>
      <w:pPr>
        <w:spacing w:line="600" w:lineRule="exact"/>
        <w:ind w:firstLine="560" w:firstLineChars="200"/>
        <w:rPr>
          <w:rFonts w:ascii="仿宋_GB2312" w:hAnsi="仿宋_GB2312" w:eastAsia="仿宋_GB2312" w:cs="仿宋_GB2312"/>
          <w:sz w:val="28"/>
          <w:szCs w:val="28"/>
        </w:rPr>
      </w:pP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5.减免收费的情形：</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行政许可证件</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1.审批结果类型：</w:t>
      </w:r>
      <w:r>
        <w:rPr>
          <w:rFonts w:ascii="仿宋_GB2312" w:hAnsi="仿宋_GB2312" w:eastAsia="仿宋_GB2312" w:cs="仿宋_GB2312"/>
          <w:sz w:val="28"/>
          <w:szCs w:val="28"/>
        </w:rPr>
        <w:t>证照</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2.行政许可证件名称：</w:t>
      </w:r>
      <w:r>
        <w:rPr>
          <w:rFonts w:ascii="仿宋_GB2312" w:hAnsi="仿宋_GB2312" w:eastAsia="仿宋_GB2312" w:cs="仿宋_GB2312"/>
          <w:sz w:val="28"/>
          <w:szCs w:val="28"/>
        </w:rPr>
        <w:t>建设工程规划许可证</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3.行政许可证件的有效期限：</w:t>
      </w:r>
      <w:r>
        <w:rPr>
          <w:rFonts w:ascii="仿宋_GB2312" w:hAnsi="仿宋_GB2312" w:eastAsia="仿宋_GB2312" w:cs="仿宋_GB2312"/>
          <w:sz w:val="28"/>
          <w:szCs w:val="28"/>
        </w:rPr>
        <w:t>0</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4.规定行政许可证件有效期限的依据：</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5.是否需要办理审批结果变更手续：</w:t>
      </w:r>
      <w:r>
        <w:rPr>
          <w:rFonts w:ascii="仿宋_GB2312" w:hAnsi="仿宋_GB2312" w:eastAsia="仿宋_GB2312" w:cs="仿宋_GB2312"/>
          <w:sz w:val="28"/>
          <w:szCs w:val="28"/>
        </w:rPr>
        <w:t>是</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6.办理审批结果变更手续的要求</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暂由各地区自行规定。^</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7.是否需要办理审批结果延续手续：</w:t>
      </w:r>
      <w:r>
        <w:rPr>
          <w:rFonts w:ascii="仿宋_GB2312" w:hAnsi="仿宋_GB2312" w:eastAsia="仿宋_GB2312" w:cs="仿宋_GB2312"/>
          <w:sz w:val="28"/>
          <w:szCs w:val="28"/>
        </w:rPr>
        <w:t>是</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8.办理审批结果延续手续的要求</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暂由各地区自行规定。^</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9.审批结果的有效地域范围</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本国
</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10.规定审批结果有效地域范围的依据</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行政许可数量限制</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1.有无行政许可数量限制：</w:t>
      </w:r>
      <w:r>
        <w:rPr>
          <w:rFonts w:ascii="仿宋_GB2312" w:hAnsi="仿宋_GB2312" w:eastAsia="仿宋_GB2312" w:cs="仿宋_GB2312"/>
          <w:sz w:val="28"/>
          <w:szCs w:val="28"/>
        </w:rPr>
        <w:t>否</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2.公布数量限制的方式：</w:t>
      </w:r>
      <w:r>
        <w:rPr>
          <w:rFonts w:ascii="仿宋_GB2312" w:hAnsi="仿宋_GB2312" w:eastAsia="仿宋_GB2312" w:cs="仿宋_GB2312"/>
          <w:sz w:val="28"/>
          <w:szCs w:val="28"/>
        </w:rPr>
        <w:t>无</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3.公布数量限制的周期：</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4.在数量限制条件下实施行政许可的方式：</w:t>
      </w:r>
      <w:r>
        <w:rPr>
          <w:rFonts w:ascii="仿宋_GB2312" w:hAnsi="仿宋_GB2312" w:eastAsia="仿宋_GB2312" w:cs="仿宋_GB2312"/>
          <w:sz w:val="28"/>
          <w:szCs w:val="28"/>
        </w:rPr>
        <w:t>无</w:t>
      </w:r>
    </w:p>
    <w:p>
      <w:pPr>
        <w:spacing w:line="600" w:lineRule="exact"/>
        <w:ind w:firstLine="562" w:firstLineChars="200"/>
        <w:jc w:val="left"/>
        <w:rPr>
          <w:rFonts w:ascii="仿宋_GB2312" w:hAnsi="仿宋_GB2312" w:eastAsia="仿宋_GB2312" w:cs="仿宋_GB2312"/>
          <w:b/>
          <w:bCs/>
          <w:sz w:val="28"/>
          <w:szCs w:val="28"/>
        </w:rPr>
      </w:pPr>
      <w:r>
        <w:rPr>
          <w:rFonts w:ascii="仿宋_GB2312" w:hAnsi="仿宋_GB2312" w:eastAsia="仿宋_GB2312" w:cs="仿宋_GB2312"/>
          <w:b/>
          <w:bCs/>
          <w:sz w:val="28"/>
          <w:szCs w:val="28"/>
        </w:rPr>
        <w:t>5.规定在数量限制条件下实施行政许可方式的依据</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行政许可后年检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1.有无年检要求：</w:t>
      </w:r>
      <w:r>
        <w:rPr>
          <w:rFonts w:ascii="仿宋_GB2312" w:hAnsi="仿宋_GB2312" w:eastAsia="仿宋_GB2312" w:cs="仿宋_GB2312"/>
          <w:sz w:val="28"/>
          <w:szCs w:val="28"/>
        </w:rPr>
        <w:t>否</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2.设定年检要求的依据</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3.年检周期：</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njzq \* MERGEFORMAT </w:instrTex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4.年检是否要求报送材料：</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5.年检报送材料名称：</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6.年检是否收费：</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7.年检收费项目的名称、年检收费项目的标准、设定年检收费项目的依据、规定年检项目收费标准的依据</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8.通过年检的证明或者标志：</w:t>
      </w:r>
      <w:r>
        <w:rPr>
          <w:rFonts w:ascii="仿宋_GB2312" w:hAnsi="仿宋_GB2312" w:eastAsia="仿宋_GB2312" w:cs="仿宋_GB2312"/>
          <w:sz w:val="28"/>
          <w:szCs w:val="28"/>
        </w:rPr>
        <w:t>无</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行政许可后年报</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1.有无年报要求：</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2.年报报送材料名称：</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3.设定年报要求的依据</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4.年报周期：</w:t>
      </w:r>
      <w:r>
        <w:rPr>
          <w:rFonts w:ascii="仿宋_GB2312" w:hAnsi="仿宋_GB2312" w:eastAsia="仿宋_GB2312" w:cs="仿宋_GB2312"/>
          <w:sz w:val="28"/>
          <w:szCs w:val="28"/>
        </w:rPr>
        <w:t>无</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监管主体</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县级自然资源主管部门</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业务办理信息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1.是否通办：</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2.通办业务模式：</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commonissuemode \* MERGEFORMAT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无</w:t>
      </w:r>
      <w:r>
        <w:rPr>
          <w:rFonts w:ascii="仿宋_GB2312" w:hAnsi="仿宋_GB2312" w:eastAsia="仿宋_GB2312" w:cs="仿宋_GB2312"/>
          <w:sz w:val="28"/>
          <w:szCs w:val="28"/>
        </w:rPr>
        <w:fldChar w:fldCharType="end"/>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3.跨省通办事项名称：</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4.是否是35号文中的跨省通办事项：</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5.应用场景：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6.联办机构：</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7.办理形式：</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8.是否网办：</w:t>
      </w:r>
      <w:r>
        <w:rPr>
          <w:rFonts w:ascii="仿宋_GB2312" w:hAnsi="仿宋_GB2312" w:eastAsia="仿宋_GB2312" w:cs="仿宋_GB2312"/>
          <w:sz w:val="28"/>
          <w:szCs w:val="28"/>
        </w:rPr>
        <w:t>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9.网上办理深度：</w:t>
      </w:r>
      <w:r>
        <w:rPr>
          <w:rFonts w:ascii="仿宋_GB2312" w:hAnsi="仿宋_GB2312" w:eastAsia="仿宋_GB2312" w:cs="仿宋_GB2312"/>
          <w:sz w:val="28"/>
          <w:szCs w:val="28"/>
        </w:rPr>
        <w:t>互联网咨询、互联网收件、互联网预审、互联网受理、互联网办理、互联网办理结果信息反馈、互联网电子证照反馈</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10.网办地址：</w:t>
      </w:r>
      <w:r>
        <w:rPr>
          <w:rFonts w:ascii="仿宋_GB2312" w:hAnsi="仿宋_GB2312" w:eastAsia="仿宋_GB2312" w:cs="仿宋_GB2312"/>
          <w:sz w:val="28"/>
          <w:szCs w:val="28"/>
        </w:rPr>
        <w:t>http://10.129.127.49/aplanmis-front/</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11.是否可在移动端办理：</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12.微信小程序办理地址：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13.支付宝小程序办理地址：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14.百度小程序办理地址：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15.APP办理地址：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16.其他办理地址：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17.计算机端是否对接单点登录：</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18.计算机端在线办理跳转地址：</w:t>
      </w:r>
      <w:r>
        <w:rPr>
          <w:rFonts w:ascii="仿宋_GB2312" w:hAnsi="仿宋_GB2312" w:eastAsia="仿宋_GB2312" w:cs="仿宋_GB2312"/>
          <w:sz w:val="28"/>
          <w:szCs w:val="28"/>
        </w:rPr>
        <w:t>江西省政务服务网工程建设项目审批系统</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19.到办事现场次数：</w:t>
      </w:r>
      <w:r>
        <w:rPr>
          <w:rFonts w:ascii="仿宋_GB2312" w:hAnsi="仿宋_GB2312" w:eastAsia="仿宋_GB2312" w:cs="仿宋_GB2312"/>
          <w:sz w:val="28"/>
          <w:szCs w:val="28"/>
        </w:rPr>
        <w:t>0</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20.必须现场办理原因说明：</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21.服务渠道：</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22.是否进驻政务大厅：</w:t>
      </w:r>
      <w:r>
        <w:rPr>
          <w:rFonts w:ascii="仿宋_GB2312" w:hAnsi="仿宋_GB2312" w:eastAsia="仿宋_GB2312" w:cs="仿宋_GB2312"/>
          <w:sz w:val="28"/>
          <w:szCs w:val="28"/>
        </w:rPr>
        <w:t>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23.办理地点：</w:t>
      </w:r>
      <w:r>
        <w:rPr>
          <w:rFonts w:ascii="仿宋_GB2312" w:hAnsi="仿宋_GB2312" w:eastAsia="仿宋_GB2312" w:cs="仿宋_GB2312"/>
          <w:sz w:val="28"/>
          <w:szCs w:val="28"/>
        </w:rPr>
        <w:t>浮梁县平安街199-200号行政服务中心窗口</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24.办理时间：</w:t>
      </w:r>
      <w:r>
        <w:rPr>
          <w:rFonts w:ascii="仿宋_GB2312" w:hAnsi="仿宋_GB2312" w:eastAsia="仿宋_GB2312" w:cs="仿宋_GB2312"/>
          <w:sz w:val="28"/>
          <w:szCs w:val="28"/>
        </w:rPr>
        <w:t>周一至周五
上午9:00-12:00  下午:14:00-17:30
周六
上午9:30-11:30  下午:14:00-17:00</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25.咨询方式：</w:t>
      </w:r>
      <w:r>
        <w:rPr>
          <w:rFonts w:ascii="仿宋_GB2312" w:hAnsi="仿宋_GB2312" w:eastAsia="仿宋_GB2312" w:cs="仿宋_GB2312"/>
          <w:sz w:val="28"/>
          <w:szCs w:val="28"/>
        </w:rPr>
        <w:t>通讯地址：   电话号码：13879829599</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26.咨询网址：</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27.政务微博网址：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28.监督投诉方式：</w:t>
      </w:r>
      <w:r>
        <w:rPr>
          <w:rFonts w:ascii="仿宋_GB2312" w:hAnsi="仿宋_GB2312" w:eastAsia="仿宋_GB2312" w:cs="仿宋_GB2312"/>
          <w:sz w:val="28"/>
          <w:szCs w:val="28"/>
        </w:rPr>
        <w:t>通讯地址：   监督投诉电话：0798-2625213</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29.投诉网址：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30.是否支持预约办理：</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31.是否支持网上支付：</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is_pay_online \* MERGEFORMAT </w:instrTex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32.是否支持物流快递：</w:t>
      </w:r>
      <w:r>
        <w:rPr>
          <w:rFonts w:ascii="仿宋_GB2312" w:hAnsi="仿宋_GB2312" w:eastAsia="仿宋_GB2312" w:cs="仿宋_GB2312"/>
          <w:sz w:val="28"/>
          <w:szCs w:val="28"/>
        </w:rPr>
        <w:t>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33.是否支持自助终端办理：</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is_handle_machine \* MERGEFORMAT </w:instrTex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34.所属业务分类：</w:t>
      </w:r>
      <w:r>
        <w:rPr>
          <w:rFonts w:ascii="仿宋_GB2312" w:hAnsi="仿宋_GB2312" w:eastAsia="仿宋_GB2312" w:cs="仿宋_GB2312"/>
          <w:sz w:val="28"/>
          <w:szCs w:val="28"/>
        </w:rPr>
        <w:t>就业创业</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35.业务办理系统：</w:t>
      </w:r>
      <w:r>
        <w:rPr>
          <w:rFonts w:ascii="仿宋_GB2312" w:hAnsi="仿宋_GB2312" w:eastAsia="仿宋_GB2312" w:cs="仿宋_GB2312"/>
          <w:sz w:val="28"/>
          <w:szCs w:val="28"/>
        </w:rPr>
        <w:t>江西省政务服务网工程建设项目审批系统</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36.网上支付方式：</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37.预约电话号码：</w:t>
      </w:r>
      <w:r>
        <w:rPr>
          <w:rFonts w:ascii="仿宋_GB2312" w:hAnsi="仿宋_GB2312" w:eastAsia="仿宋_GB2312" w:cs="仿宋_GB2312"/>
          <w:sz w:val="28"/>
          <w:szCs w:val="28"/>
        </w:rPr>
        <w:t>13879829599</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38.网络预约地址：</w:t>
      </w:r>
      <w:r>
        <w:rPr>
          <w:rFonts w:ascii="仿宋_GB2312" w:hAnsi="仿宋_GB2312" w:eastAsia="仿宋_GB2312" w:cs="仿宋_GB2312"/>
          <w:sz w:val="28"/>
          <w:szCs w:val="28"/>
        </w:rPr>
        <w:t>http://10.129.127.49/aplanmis-front/</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39.是否免申即享：</w:t>
      </w:r>
      <w:r>
        <w:rPr>
          <w:rFonts w:ascii="仿宋_GB2312" w:hAnsi="仿宋_GB2312" w:eastAsia="仿宋_GB2312" w:cs="仿宋_GB2312"/>
          <w:sz w:val="28"/>
          <w:szCs w:val="28"/>
        </w:rPr>
        <w:t>无</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40.是否涉及惠企政策：</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41.问题、解答</w:t>
      </w:r>
    </w:p>
    <w:p>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问题：</w:t>
      </w:r>
      <w:r>
        <w:rPr>
          <w:rFonts w:ascii="仿宋_GB2312" w:hAnsi="仿宋_GB2312" w:eastAsia="仿宋_GB2312" w:cs="仿宋_GB2312"/>
          <w:sz w:val="28"/>
          <w:szCs w:val="28"/>
        </w:rPr>
        <w:t>无</w:t>
      </w:r>
    </w:p>
    <w:p>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解答：</w:t>
      </w:r>
      <w:r>
        <w:rPr>
          <w:rFonts w:ascii="仿宋_GB2312" w:hAnsi="仿宋_GB2312" w:eastAsia="仿宋_GB2312" w:cs="仿宋_GB2312"/>
          <w:sz w:val="28"/>
          <w:szCs w:val="28"/>
        </w:rPr>
        <w:t>无</w:t>
      </w:r>
    </w:p>
    <w:p>
      <w:pPr>
        <w:rPr>
          <w:rFonts w:ascii="仿宋_GB2312" w:hAnsi="仿宋_GB2312" w:eastAsia="仿宋_GB2312" w:cs="仿宋_GB2312"/>
          <w:sz w:val="32"/>
          <w:szCs w:val="32"/>
        </w:rPr>
      </w:pPr>
      <w:r>
        <w:rPr>
          <w:rFonts w:ascii="仿宋_GB2312" w:hAnsi="仿宋_GB2312" w:eastAsia="仿宋_GB2312" w:cs="仿宋_GB2312"/>
          <w:sz w:val="32"/>
          <w:szCs w:val="32"/>
        </w:rPr>
        <w:br w:type="page"/>
      </w:r>
    </w:p>
    <w:p>
      <w:pPr>
        <w:numPr>
          <w:ilvl w:val="0"/>
          <w:numId w:val="1"/>
        </w:numPr>
        <w:spacing w:line="540" w:lineRule="exact"/>
        <w:outlineLvl w:val="1"/>
        <w:rPr>
          <w:rFonts w:ascii="黑体" w:hAnsi="黑体" w:eastAsia="黑体" w:cs="黑体"/>
          <w:b/>
          <w:bCs/>
          <w:sz w:val="28"/>
          <w:szCs w:val="28"/>
        </w:rPr>
      </w:pPr>
      <w:r>
        <w:rPr>
          <w:rFonts w:hint="eastAsia" w:ascii="黑体" w:hAnsi="黑体" w:eastAsia="黑体" w:cs="黑体"/>
          <w:b/>
          <w:bCs/>
          <w:sz w:val="28"/>
          <w:szCs w:val="28"/>
        </w:rPr>
        <w:t>办理流程说明</w:t>
      </w:r>
    </w:p>
    <w:p>
      <w:pPr>
        <w:spacing w:line="600" w:lineRule="exact"/>
        <w:rPr>
          <w:rFonts w:ascii="仿宋_GB2312" w:hAnsi="仿宋_GB2312" w:eastAsia="仿宋_GB2312" w:cs="仿宋_GB2312"/>
          <w:sz w:val="32"/>
          <w:szCs w:val="32"/>
        </w:rPr>
      </w:pPr>
      <w:r>
        <w:rPr>
          <w:rFonts w:ascii="仿宋_GB2312" w:hAnsi="仿宋_GB2312" w:eastAsia="仿宋_GB2312" w:cs="仿宋_GB2312"/>
          <w:sz w:val="32"/>
          <w:szCs w:val="32"/>
        </w:rPr>
        <w:t>1、</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（1）环节名称：申请</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（2）环节办理时限（工作日）：</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（3）办理单位 ：</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（4）办理岗位 ：</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（5）联系电话 ：</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（6）办理内容：窗口受理或网上申报递交材料</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（7）办理进程查询 ：</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（8）送达方式：</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（9）办理说明：</w:t>
      </w:r>
    </w:p>
    <w:p>
      <w:pPr>
        <w:spacing w:line="600" w:lineRule="exact"/>
        <w:rPr>
          <w:rFonts w:ascii="仿宋_GB2312" w:hAnsi="仿宋_GB2312" w:eastAsia="仿宋_GB2312" w:cs="仿宋_GB2312"/>
          <w:sz w:val="32"/>
          <w:szCs w:val="32"/>
        </w:rPr>
      </w:pPr>
      <w:r>
        <w:rPr>
          <w:rFonts w:ascii="仿宋_GB2312" w:hAnsi="仿宋_GB2312" w:eastAsia="仿宋_GB2312" w:cs="仿宋_GB2312"/>
          <w:sz w:val="32"/>
          <w:szCs w:val="32"/>
        </w:rPr>
        <w:t>2、</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（1）环节名称：办结</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（2）环节办理时限（工作日）：</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（3）办理单位 ：</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（4）办理岗位 ：</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（5）联系电话 ：</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（6）办理内容：窗口领证或网上领取电子证照，并告知申请人批后公示</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（7）办理进程查询 ：</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（8）送达方式：</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（9）办理说明：</w:t>
      </w:r>
    </w:p>
    <w:p>
      <w:pPr>
        <w:spacing w:line="600" w:lineRule="exact"/>
        <w:rPr>
          <w:rFonts w:ascii="仿宋_GB2312" w:hAnsi="仿宋_GB2312" w:eastAsia="仿宋_GB2312" w:cs="仿宋_GB2312"/>
          <w:sz w:val="32"/>
          <w:szCs w:val="32"/>
        </w:rPr>
      </w:pPr>
      <w:r>
        <w:rPr>
          <w:rFonts w:ascii="仿宋_GB2312" w:hAnsi="仿宋_GB2312" w:eastAsia="仿宋_GB2312" w:cs="仿宋_GB2312"/>
          <w:sz w:val="32"/>
          <w:szCs w:val="32"/>
        </w:rPr>
        <w:t>3、</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（1）环节名称：审查</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（2）环节办理时限（工作日）：</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（3）办理单位 ：</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（4）办理岗位 ：</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（5）联系电话 ：</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（6）办理内容：审查材料，告知是否通过，若不通过告知原因重新申报</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（7）办理进程查询 ：</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（8）送达方式：</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（9）办理说明：</w:t>
      </w:r>
    </w:p>
    <w:p>
      <w:pPr>
        <w:spacing w:line="600" w:lineRule="exact"/>
        <w:rPr>
          <w:rFonts w:ascii="仿宋_GB2312" w:hAnsi="仿宋_GB2312" w:eastAsia="仿宋_GB2312" w:cs="仿宋_GB2312"/>
          <w:sz w:val="32"/>
          <w:szCs w:val="32"/>
        </w:rPr>
      </w:pPr>
      <w:r>
        <w:rPr>
          <w:rFonts w:ascii="仿宋_GB2312" w:hAnsi="仿宋_GB2312" w:eastAsia="仿宋_GB2312" w:cs="仿宋_GB2312"/>
          <w:sz w:val="32"/>
          <w:szCs w:val="32"/>
        </w:rPr>
        <w:t>4、</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（1）环节名称：制证发证</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（2）环节办理时限（工作日）：</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（3）办理单位 ：</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（4）办理岗位 ：</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（5）联系电话 ：</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（6）办理内容：核发《建设工程规划许可证》</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（7）办理进程查询 ：</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（8）送达方式：</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（9）办理说明：</w:t>
      </w:r>
    </w:p>
    <w:p>
      <w:pPr>
        <w:rPr>
          <w:rFonts w:hint="eastAsia" w:ascii="仿宋_GB2312" w:hAnsi="仿宋_GB2312" w:eastAsia="仿宋_GB2312" w:cs="仿宋_GB231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仿宋_GB2312">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hN2M1NDcwNGNlNTM3OGVhZjI1OWM3ZWYyMWU3YTUifQ=="/>
  </w:docVars>
  <w:rsids>
    <w:rsidRoot w:val="00172A27"/>
    <w:rsid w:val="00172A27"/>
    <w:rsid w:val="00185FE5"/>
    <w:rsid w:val="003D2D91"/>
    <w:rsid w:val="004E446C"/>
    <w:rsid w:val="00AE036A"/>
    <w:rsid w:val="00DB76F2"/>
    <w:rsid w:val="01151752"/>
    <w:rsid w:val="0EFF988C"/>
    <w:rsid w:val="0FF5B05B"/>
    <w:rsid w:val="131807D1"/>
    <w:rsid w:val="167FA902"/>
    <w:rsid w:val="175A1DEE"/>
    <w:rsid w:val="1ACC4BCA"/>
    <w:rsid w:val="1DEEA0C1"/>
    <w:rsid w:val="2155746E"/>
    <w:rsid w:val="217E56B7"/>
    <w:rsid w:val="247D55FD"/>
    <w:rsid w:val="2CB33587"/>
    <w:rsid w:val="2DFF981E"/>
    <w:rsid w:val="32710328"/>
    <w:rsid w:val="33756E1A"/>
    <w:rsid w:val="342AAFD8"/>
    <w:rsid w:val="357D3A7C"/>
    <w:rsid w:val="36552BDC"/>
    <w:rsid w:val="37C93121"/>
    <w:rsid w:val="3B5FA043"/>
    <w:rsid w:val="3B7568E5"/>
    <w:rsid w:val="3D6C872E"/>
    <w:rsid w:val="3E579986"/>
    <w:rsid w:val="3EFE077A"/>
    <w:rsid w:val="3FC741EC"/>
    <w:rsid w:val="3FDF27BA"/>
    <w:rsid w:val="3FE92899"/>
    <w:rsid w:val="3FFD8053"/>
    <w:rsid w:val="45B87A97"/>
    <w:rsid w:val="461F3BB2"/>
    <w:rsid w:val="4BFDD4A7"/>
    <w:rsid w:val="4EFF37B8"/>
    <w:rsid w:val="4FFF6E3A"/>
    <w:rsid w:val="5329B011"/>
    <w:rsid w:val="547B1586"/>
    <w:rsid w:val="562F4375"/>
    <w:rsid w:val="57554D72"/>
    <w:rsid w:val="57FE12EE"/>
    <w:rsid w:val="588C28AF"/>
    <w:rsid w:val="5A1B4C89"/>
    <w:rsid w:val="5D7EE7A8"/>
    <w:rsid w:val="5D817714"/>
    <w:rsid w:val="5F28D586"/>
    <w:rsid w:val="5F5AB2E1"/>
    <w:rsid w:val="5FAEE9FE"/>
    <w:rsid w:val="5FDB1DD3"/>
    <w:rsid w:val="5FDF870E"/>
    <w:rsid w:val="5FE3555B"/>
    <w:rsid w:val="5FF1ADB6"/>
    <w:rsid w:val="5FFBD243"/>
    <w:rsid w:val="5FFE870C"/>
    <w:rsid w:val="60521813"/>
    <w:rsid w:val="6491168D"/>
    <w:rsid w:val="67E2591E"/>
    <w:rsid w:val="6925D4D9"/>
    <w:rsid w:val="6BFE277B"/>
    <w:rsid w:val="6BFFB058"/>
    <w:rsid w:val="6CF35923"/>
    <w:rsid w:val="6CFEBADE"/>
    <w:rsid w:val="6FB56779"/>
    <w:rsid w:val="6FB68E86"/>
    <w:rsid w:val="6FF7BC0E"/>
    <w:rsid w:val="6FFFBDA9"/>
    <w:rsid w:val="707F61EC"/>
    <w:rsid w:val="71360122"/>
    <w:rsid w:val="71E0639C"/>
    <w:rsid w:val="72FAAF54"/>
    <w:rsid w:val="736E23A8"/>
    <w:rsid w:val="748408CB"/>
    <w:rsid w:val="77B34DF8"/>
    <w:rsid w:val="7A7C7E12"/>
    <w:rsid w:val="7A7CB449"/>
    <w:rsid w:val="7A7FB49A"/>
    <w:rsid w:val="7AAA095D"/>
    <w:rsid w:val="7B2E7AF8"/>
    <w:rsid w:val="7B3FE62A"/>
    <w:rsid w:val="7BEB16C6"/>
    <w:rsid w:val="7BFFE790"/>
    <w:rsid w:val="7C6EBFBD"/>
    <w:rsid w:val="7CDE980B"/>
    <w:rsid w:val="7D56F4B9"/>
    <w:rsid w:val="7DBD5D20"/>
    <w:rsid w:val="7DDE7201"/>
    <w:rsid w:val="7DEFF5C5"/>
    <w:rsid w:val="7DF3425D"/>
    <w:rsid w:val="7DF70197"/>
    <w:rsid w:val="7DFEF4BD"/>
    <w:rsid w:val="7DFF2353"/>
    <w:rsid w:val="7E7F04D1"/>
    <w:rsid w:val="7EA7697B"/>
    <w:rsid w:val="7EBDB89A"/>
    <w:rsid w:val="7EBF4F06"/>
    <w:rsid w:val="7EFC2FAE"/>
    <w:rsid w:val="7F5B8450"/>
    <w:rsid w:val="7F7D9A1E"/>
    <w:rsid w:val="7FB1CC18"/>
    <w:rsid w:val="7FCD1AC0"/>
    <w:rsid w:val="7FD924CF"/>
    <w:rsid w:val="7FDA32CE"/>
    <w:rsid w:val="7FDF3D35"/>
    <w:rsid w:val="7FF31B79"/>
    <w:rsid w:val="7FF70A4B"/>
    <w:rsid w:val="7FFB6A9A"/>
    <w:rsid w:val="7FFDDA54"/>
    <w:rsid w:val="7FFE04AB"/>
    <w:rsid w:val="7FFE19BC"/>
    <w:rsid w:val="7FFE2BDA"/>
    <w:rsid w:val="7FFF01F8"/>
    <w:rsid w:val="879A37C8"/>
    <w:rsid w:val="9CCE5FD3"/>
    <w:rsid w:val="9D5B1897"/>
    <w:rsid w:val="9DFF28F5"/>
    <w:rsid w:val="9F4F1226"/>
    <w:rsid w:val="AB2FB604"/>
    <w:rsid w:val="ABBFFA32"/>
    <w:rsid w:val="ABFB760B"/>
    <w:rsid w:val="AC4DEDD2"/>
    <w:rsid w:val="ADD3D7CD"/>
    <w:rsid w:val="AF56E823"/>
    <w:rsid w:val="AF7BC3BB"/>
    <w:rsid w:val="AFFC86EE"/>
    <w:rsid w:val="AFFF990E"/>
    <w:rsid w:val="B3E71125"/>
    <w:rsid w:val="B757F6C4"/>
    <w:rsid w:val="B7FF7DA9"/>
    <w:rsid w:val="BB7E4DDC"/>
    <w:rsid w:val="BBD89DE9"/>
    <w:rsid w:val="BEEF4F81"/>
    <w:rsid w:val="BFAD5543"/>
    <w:rsid w:val="BFD6628C"/>
    <w:rsid w:val="BFFF68A6"/>
    <w:rsid w:val="BFFF82E1"/>
    <w:rsid w:val="BFFFBC19"/>
    <w:rsid w:val="C7AD6567"/>
    <w:rsid w:val="CEFB5F9D"/>
    <w:rsid w:val="CF7F0C62"/>
    <w:rsid w:val="CF8F4318"/>
    <w:rsid w:val="D3B8A194"/>
    <w:rsid w:val="D3D4BC06"/>
    <w:rsid w:val="D41B4527"/>
    <w:rsid w:val="D7E7419B"/>
    <w:rsid w:val="DD77D450"/>
    <w:rsid w:val="DDD61251"/>
    <w:rsid w:val="DEF79BCF"/>
    <w:rsid w:val="DFBD831F"/>
    <w:rsid w:val="E3DDADEE"/>
    <w:rsid w:val="E65F7EC7"/>
    <w:rsid w:val="E67F8ABB"/>
    <w:rsid w:val="EBDD2874"/>
    <w:rsid w:val="EDF750BF"/>
    <w:rsid w:val="EFD3744B"/>
    <w:rsid w:val="EFD59720"/>
    <w:rsid w:val="EFFB807D"/>
    <w:rsid w:val="F5CF3D21"/>
    <w:rsid w:val="F5EB7E18"/>
    <w:rsid w:val="F6F73699"/>
    <w:rsid w:val="F79BDBCB"/>
    <w:rsid w:val="F7B77423"/>
    <w:rsid w:val="F7BF11D3"/>
    <w:rsid w:val="F7DF5575"/>
    <w:rsid w:val="FAFF8287"/>
    <w:rsid w:val="FBBF9280"/>
    <w:rsid w:val="FBCD8624"/>
    <w:rsid w:val="FBFF6ECA"/>
    <w:rsid w:val="FCDF3A8B"/>
    <w:rsid w:val="FDFF8BA0"/>
    <w:rsid w:val="FE5F6028"/>
    <w:rsid w:val="FE7F1F13"/>
    <w:rsid w:val="FED56CC4"/>
    <w:rsid w:val="FF224A58"/>
    <w:rsid w:val="FF3F10EE"/>
    <w:rsid w:val="FF3F4106"/>
    <w:rsid w:val="FF6AB64F"/>
    <w:rsid w:val="FF6D0035"/>
    <w:rsid w:val="FF7F63D3"/>
    <w:rsid w:val="FFB75438"/>
    <w:rsid w:val="FFDBBA94"/>
    <w:rsid w:val="FFDD8FE0"/>
    <w:rsid w:val="FFDE31EA"/>
    <w:rsid w:val="FFF9E60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4"/>
    <w:basedOn w:val="1"/>
    <w:next w:val="1"/>
    <w:semiHidden/>
    <w:unhideWhenUsed/>
    <w:qFormat/>
    <w:uiPriority w:val="0"/>
    <w:pPr>
      <w:spacing w:beforeAutospacing="1" w:afterAutospacing="1"/>
      <w:jc w:val="left"/>
      <w:outlineLvl w:val="3"/>
    </w:pPr>
    <w:rPr>
      <w:rFonts w:hint="eastAsia" w:ascii="宋体" w:hAnsi="宋体" w:eastAsia="宋体"/>
      <w:b/>
      <w:bCs/>
      <w:kern w:val="0"/>
      <w:sz w:val="24"/>
      <w:szCs w:val="24"/>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annotation text"/>
    <w:basedOn w:val="1"/>
    <w:uiPriority w:val="0"/>
    <w:pPr>
      <w:jc w:val="left"/>
    </w:pPr>
  </w:style>
  <w:style w:type="paragraph" w:styleId="4">
    <w:name w:val="footnote text"/>
    <w:basedOn w:val="1"/>
    <w:link w:val="8"/>
    <w:uiPriority w:val="0"/>
    <w:pPr>
      <w:snapToGrid w:val="0"/>
      <w:jc w:val="left"/>
    </w:pPr>
    <w:rPr>
      <w:sz w:val="18"/>
    </w:rPr>
  </w:style>
  <w:style w:type="paragraph" w:styleId="7">
    <w:name w:val="List Paragraph"/>
    <w:basedOn w:val="1"/>
    <w:qFormat/>
    <w:uiPriority w:val="34"/>
    <w:pPr>
      <w:ind w:firstLine="420" w:firstLineChars="200"/>
    </w:pPr>
  </w:style>
  <w:style w:type="character" w:customStyle="1" w:styleId="8">
    <w:name w:val="脚注文本 字符"/>
    <w:basedOn w:val="6"/>
    <w:link w:val="4"/>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718</Words>
  <Characters>4094</Characters>
  <Lines>34</Lines>
  <Paragraphs>9</Paragraphs>
  <TotalTime>6</TotalTime>
  <ScaleCrop>false</ScaleCrop>
  <LinksUpToDate>false</LinksUpToDate>
  <CharactersWithSpaces>4803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2023-06-15T05:57:00Z</dcterms:created>
  <dc:creator>祁寒</dc:creator>
  <cp:lastModifiedBy>祁寒</cp:lastModifiedBy>
  <dcterms:modified xsi:type="dcterms:W3CDTF">2023-10-10T07:32:47Z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45FBFAD311C144F98741D5FCF7F327DF_13</vt:lpwstr>
  </property>
  <property fmtid="{D5CDD505-2E9C-101B-9397-08002B2CF9AE}" pid="4" name="5B77E7CEEC58BC6AFAE8886BEB80DBEB">
    <vt:lpwstr>
                        otCYQxs9Dbw2bUEn/Soxv9pYAoWsCRIsU8+gIbxzzmNcJN13+qHIPyWmbF9hFzPHyi2m8DLwi54E5OVVM5pJ0yGmgAiYTaR6oYUdYZxdjep6I9xviFUFZ9aTScfBW9OGu25myuxBYRg8Wkoezan2T4WqS2a7iuzuu0noEPRZ5CpwdJ3KvXNsrlN3j4NO4coBcpIV/yP/42qAwzKy86uMisLCmEKqBj82WeUSr2xiXCJUXL6j+GVUAwmyFnPHSgv
                    </vt:lpwstr>
  </property>
</Properties>
</file>