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中华人民共和国耕地保护法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5"/>
          <w:rFonts w:hint="default" w:ascii="Arial" w:hAnsi="Arial" w:cs="Arial"/>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Arial" w:hAnsi="Arial" w:cs="Arial"/>
          <w:i w:val="0"/>
          <w:caps w:val="0"/>
          <w:color w:val="333333"/>
          <w:spacing w:val="0"/>
          <w:sz w:val="24"/>
          <w:szCs w:val="24"/>
        </w:rPr>
      </w:pPr>
      <w:bookmarkStart w:id="0" w:name="_GoBack"/>
      <w:bookmarkEnd w:id="0"/>
      <w:r>
        <w:rPr>
          <w:rStyle w:val="5"/>
          <w:rFonts w:hint="default" w:ascii="Arial" w:hAnsi="Arial" w:cs="Arial"/>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第一条为了对基本农田实行特殊保护，促进农业生产和社会经济的可持续发展，根据《中华人民共和国</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"http://www.64365.com/fagui/article-647647.aspx" \o "农业法"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农业法</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》和《中华人民共和国土地管理法》，制定本条例。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第二条国家实行基本农田保护制度。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本条例所称基本农田，是指按照一定时期人口和社会经济发展对农产品的需求，依据土地利用总体规划确定的不得占用的耕地。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本条例所称基本农田保护区，是指为对基本农田实行特殊保护而依据土地利用总体规划和依照法定程序确定的特定保护区域。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第三条基本农田保护实行全面规划、合理利用、用养结合、严格保护的方针。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第四条县级以上地方各级人民政府应当将基本农田保护工作纳入国民经济和社会发展计划，作为政府领导任期目标责任制的一项内容，并由上一级人民政府监督实施。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第五条任何单位和个人都有保护基本农田的义务，并有权检举、控告侵占、破坏基本农田和其他违反本条例的行为。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第六条国务院土地行政主管部门和农业行政主管部门按照国务院规定的职责分工，依照本条例负责全国的基本农田保护管理工作。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县级以上地方各级人民政府土地行政主管部门和农业行政主管部门按照本级人民政府规定的职责分工，依照本条例负责本行政区域内的基本农田保护管理工作。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乡（镇）人民政府负责本行政区域内的基本农田保护管理工作。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第七条国家对在基本农田保护工作中取得显著成绩的单位和个人，给予奖励。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第二章 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第八条各级人民政府在编制土地利用总体规划时，应当将基本农田保护作为规划的一项内容，明确基本农田保护的布局安排、数量指标和质量要求。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县级和乡（镇）土地利用总体规划应当确定基本农田保护区。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第九条省、自治区、直辖市划定的基本农田应当占本行政区域内耕地总面积的80%以上，具体数量指标根据全国土地利用总体规划逐级分解下达。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第十条下列耕地应当划入基本农田保护区，严格管理：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（一）经国务院有关主管部门或者县级以上地方人民政府批准确定的粮、棉、油生产基地内的耕地；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（二）有良好的水利与水土保持设施的耕地，正在实施改造计划以及可以改造的中、低产田；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（三）蔬菜生产基地；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（四）农业科研、教学试验田。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根据土地利用总体规划，铁路、公路等交通沿线，城市和村庄、集镇建设用地区周边的耕地，应当优先划入基本农田保护区；需要退耕还林、还牧、还湖的耕地，不应当划入基本农田保护区。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第十一条基本农田保护区以乡（镇）为单位划区定界，由县级人民政府土地行政主管部门会同同级农业行政主管部门组织实施。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划定的基本农田保护区，由县级人民政府设立保护标志，予以公告，由县级人民政府土地行政主管部门建立档案，并抄送同级农业行政主管部门。任何单位和个人不得破坏或者擅自改变基本农田保护区的保护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基本农田划区定界后，由省、自治区、直辖市人民政府组织土地行政主管部门和农业行政主管部门验收确认，或者由省、自治区人民政府授权设区的市、自治州人民政府组织土地行政主管部门和农业行政主管部门验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第十二条划定基本农田保护区时，不得改变</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"http://www.64365.com/baike/tdcb/" \o "土地承包"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土地承包</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者的承包经营权。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第十三条划定基本农田保护区的技术规程，由国务院土地行政主管部门会同国务院农业行政主管部门制定。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第三章 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第十四条地方各级人民政府应当采取措施，确保土地利用总体规划确定的本行政区域内基本农田的数量不减少。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五条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六条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新的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占用基本农田的单位应当按照县级以上地方人民政府的要求，将所占用基本农田耕作层的土壤用于新开垦耕地、劣质地或者其他耕地的土壤改良。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第十七条禁止任何单位和个人在基本农田保护区内建窑、建房、建坟、挖砂、采石、采矿、取土、堆放固体废弃物或者进行其他破坏基本农田的活动。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禁止任何单位和个人占用基本农田发展林果业和挖塘养鱼。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八条禁止任何单位和个人闲置、荒芜基本农田。经国务院批准的重点建设项目占用基本农田的，满1年不使用而又可以耕种并收获的，应当由原耕种该幅基本农田的集体或者个人恢复耕种，也可以由用地单位组织耕种；1年以上未动工建设的，应当按照省、自治区、直辖市的规定缴纳闲置费；连续2年未使用的，经国务院批准，由县级以上人民政府无偿收回用地单位的</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"http://www.64365.com/baike/tdsyq/" \o "土地使用权"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土地使用权</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；该幅土地原为农民集体所有的，应当交由原农村集体经济组织恢复耕种，重新划入基本农田保护区。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承包经营基本农田的单位或者个人连续2年弃耕抛荒的，原发包单位应当终止</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"http://www.64365.com/contract/cbht/" \o "承包合同"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承包合同</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，收回发包的基本农田。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第十九条国家提倡和鼓励农业生产者对其经营的基本农田施用有机肥料，合理施用化肥和农药。利用基本农田从事农业生产的单位和个人应当保持和培肥地力。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第二十条县级人民政府应当根据当地实际情况制定基本农田地力分等定级办法，由农业行政主管部门会同土地行政主管部门组织实施，对基本农田地力分等定级，并建立档案。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第二十一条农村集体经济组织或者村民委员会应当定期评定基本农田地力等级。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二条县级以上地方各级人民政府农业行政主管部门应当逐步建立基本农田地力与施肥效益长期定位监测网点，定期向本级人民政府提出基本农田地力变化状况报告以及相应的地力保护措施，并为农业生产者提供施肥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第二十三条县级以上人民政府农业行政主管部门应当会同同级环境保护行政主管部门对基本农田</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"http://www.64365.com/baike/hjwr1/" \o "环境污染"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环境污染</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进行监测和评价，并定期向本级人民政府提出环境质量与发展趋势的报告。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第二十四条经国务院批准占用基本农田兴建国家重点建设项目的，必须遵守国家有关建设项目环境保护管理的规定。在建设项目环境影响报告书中，应当有基本农田环境保护方案。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第二十五条向基本农田保护区提供肥料和作为肥料的城市垃圾、污泥的，应当符合国家有关标准。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第二十六条因发生事故或者其他突然性事件，造成或者可能造成基本农田环境污染事故的，当事人必须立即采取措施处理，并向当地环境保护行政主管部门和农业行政主管部门报告，接受调查处理。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第二十七条在建立基本农田保护区的地方，县级以上地方人民政府应当与下一级人民政府签订基本农田保护</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"http://www.64365.com/baike/zrs/" \o "责任书"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责任书</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；乡（镇）人民政府应当根据与县级人民政府签订的基本农田保护责任书的要求，与农村集体经济组织或者村民委员会签订基本农田保护责任书。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基本农田保护责任书应当包括下列内容：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（一）基本农田的范围、面积、地块；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（二）基本农田的地力等级；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（四）当事人的权利与义务；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（五）奖励与处罚。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第二十九条县级以上地方人民政府土地行政主管部门、农业行政主管部门对本行政区域内发生的破坏基本农田的行为，有权责令纠正。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第三十条违反本条例规定，有下列行为之一的，依照《中华人民共和国土地管理法》和《中华人民共和国土地管理法实施条例》的有关规定，从重给予处罚：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（一）未经批准或者采取欺骗手段骗取批准，非法占用基本农田的；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（二）超过批准数量，非法占用基本农田的；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（三）非法批准占用基本农田的；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（四）买卖或者以其他形式非法转让基本农田的。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第三十一条违反本条例规定，应当将耕地划入基本农田保护区而不划入的，由上一级人民政府责令限期改正；拒不改正的，对直接负责的主管人员和其他直接责任人员依法给予行政处分或者纪律处分。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第三十二条违反本条例规定，破坏或者擅自改变基本农田保护区标志的，由县级以上地方人民政府土地行政主管部门或者农业行政主管部门责令恢复原状，可以处1000元以下罚款。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第三十四条侵占、挪用基本农田的耕地开垦费，构成犯罪的，依法追究刑事责任；尚不构成犯罪的，依法给予行政处分或者纪律处分。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default" w:ascii="Arial" w:hAnsi="Arial" w:cs="Arial"/>
          <w:i w:val="0"/>
          <w:caps w:val="0"/>
          <w:color w:val="333333"/>
          <w:spacing w:val="0"/>
          <w:sz w:val="24"/>
          <w:szCs w:val="24"/>
        </w:rPr>
      </w:pPr>
      <w:r>
        <w:rPr>
          <w:rStyle w:val="5"/>
          <w:rFonts w:hint="default" w:ascii="Arial" w:hAnsi="Arial" w:cs="Arial"/>
          <w:i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第三十五条省、自治区、直辖市人民政府可以根据当地实际情况，将其他农业生产用地划为保护区。保护区内的其他农业生产用地的保护和管理，可以参照本条例执行。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第三十六条本条例自1999年1月1日起施行。1994年8月18日国务院发布的《基本农田保护条例》同时废止。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其中明确提出了政府是耕地保护的主要部门，应该依法履行职责。同时，对基本农田进行了划分，严格控制耕地向非耕地转变。对于擅自改变土地用途，占用耕地进行非农生产的，行政机构要给予责任方</w:t>
      </w:r>
      <w:r>
        <w:rPr>
          <w:rFonts w:hint="default" w:ascii="Arial" w:hAnsi="Arial" w:cs="Arial"/>
          <w:i w:val="0"/>
          <w:caps w:val="0"/>
          <w:color w:val="01AF63"/>
          <w:spacing w:val="0"/>
          <w:sz w:val="24"/>
          <w:szCs w:val="24"/>
          <w:u w:val="none"/>
          <w:bdr w:val="none" w:color="auto" w:sz="0" w:space="0"/>
          <w:shd w:val="clear" w:fill="FFFFFF"/>
        </w:rPr>
        <w:fldChar w:fldCharType="begin"/>
      </w:r>
      <w:r>
        <w:rPr>
          <w:rFonts w:hint="default" w:ascii="Arial" w:hAnsi="Arial" w:cs="Arial"/>
          <w:i w:val="0"/>
          <w:caps w:val="0"/>
          <w:color w:val="01AF63"/>
          <w:spacing w:val="0"/>
          <w:sz w:val="24"/>
          <w:szCs w:val="24"/>
          <w:u w:val="none"/>
          <w:bdr w:val="none" w:color="auto" w:sz="0" w:space="0"/>
          <w:shd w:val="clear" w:fill="FFFFFF"/>
        </w:rPr>
        <w:instrText xml:space="preserve"> HYPERLINK "http://www.64365.com/baike/xzcf/" \o "行政处罚" \t "http://www.64365.com/zs/_blank" </w:instrText>
      </w:r>
      <w:r>
        <w:rPr>
          <w:rFonts w:hint="default" w:ascii="Arial" w:hAnsi="Arial" w:cs="Arial"/>
          <w:i w:val="0"/>
          <w:caps w:val="0"/>
          <w:color w:val="01AF63"/>
          <w:spacing w:val="0"/>
          <w:sz w:val="24"/>
          <w:szCs w:val="24"/>
          <w:u w:val="none"/>
          <w:bdr w:val="none" w:color="auto" w:sz="0" w:space="0"/>
          <w:shd w:val="clear" w:fill="FFFFFF"/>
        </w:rPr>
        <w:fldChar w:fldCharType="separate"/>
      </w:r>
      <w:r>
        <w:rPr>
          <w:rStyle w:val="6"/>
          <w:rFonts w:hint="default" w:ascii="Arial" w:hAnsi="Arial" w:cs="Arial"/>
          <w:i w:val="0"/>
          <w:caps w:val="0"/>
          <w:color w:val="01AF63"/>
          <w:spacing w:val="0"/>
          <w:sz w:val="24"/>
          <w:szCs w:val="24"/>
          <w:u w:val="none"/>
          <w:bdr w:val="none" w:color="auto" w:sz="0" w:space="0"/>
          <w:shd w:val="clear" w:fill="FFFFFF"/>
        </w:rPr>
        <w:t>行政处罚</w:t>
      </w:r>
      <w:r>
        <w:rPr>
          <w:rFonts w:hint="default" w:ascii="Arial" w:hAnsi="Arial" w:cs="Arial"/>
          <w:i w:val="0"/>
          <w:caps w:val="0"/>
          <w:color w:val="01AF63"/>
          <w:spacing w:val="0"/>
          <w:sz w:val="24"/>
          <w:szCs w:val="24"/>
          <w:u w:val="none"/>
          <w:bdr w:val="none" w:color="auto" w:sz="0" w:space="0"/>
          <w:shd w:val="clear" w:fill="FFFFFF"/>
        </w:rPr>
        <w:fldChar w:fldCharType="end"/>
      </w:r>
      <w:r>
        <w:rPr>
          <w:rFonts w:hint="default" w:ascii="Arial" w:hAnsi="Arial" w:cs="Arial"/>
          <w:i w:val="0"/>
          <w:caps w:val="0"/>
          <w:color w:val="333333"/>
          <w:spacing w:val="0"/>
          <w:sz w:val="24"/>
          <w:szCs w:val="24"/>
          <w:bdr w:val="none" w:color="auto" w:sz="0" w:space="0"/>
          <w:shd w:val="clear" w:fill="FFFFFF"/>
        </w:rPr>
        <w:t>。如果情节严重，构成犯罪，还应该移送司法机关。</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5C12"/>
    <w:rsid w:val="0FD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2020-05-06T05:54:00Z</dcterms:created>
  <dc:creator>Administrator</dc:creator>
  <cp:lastModifiedBy>Administrator</cp:lastModifiedBy>
  <dcterms:modified xsi:type="dcterms:W3CDTF">2020-05-06T05:55:54Z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