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spacing w:before="104" w:line="224" w:lineRule="auto"/>
        <w:ind w:left="20"/>
        <w:rPr>
          <w:rFonts w:ascii="黑体" w:hAnsi="黑体" w:eastAsia="黑体" w:cs="黑体"/>
          <w:sz w:val="32"/>
          <w:szCs w:val="32"/>
        </w:rPr>
      </w:pPr>
      <w:r>
        <w:rPr>
          <w:rFonts w:ascii="黑体" w:hAnsi="黑体" w:eastAsia="黑体" w:cs="黑体"/>
          <w:spacing w:val="16"/>
          <w:sz w:val="32"/>
          <w:szCs w:val="32"/>
        </w:rPr>
        <w:t>附件2</w:t>
      </w:r>
    </w:p>
    <w:p>
      <w:pPr>
        <w:spacing w:before="184" w:line="221" w:lineRule="auto"/>
        <w:rPr>
          <w:rFonts w:ascii="黑体" w:hAnsi="黑体" w:eastAsia="黑体" w:cs="黑体"/>
          <w:sz w:val="32"/>
          <w:szCs w:val="32"/>
        </w:rPr>
      </w:pPr>
      <w:r>
        <w:rPr>
          <w:rFonts w:ascii="黑体" w:hAnsi="黑体" w:eastAsia="黑体" w:cs="黑体"/>
          <w:spacing w:val="-2"/>
          <w:sz w:val="32"/>
          <w:szCs w:val="32"/>
        </w:rPr>
        <w:t>2022年度</w:t>
      </w:r>
      <w:r>
        <w:rPr>
          <w:rFonts w:hint="eastAsia" w:ascii="黑体" w:hAnsi="黑体" w:eastAsia="黑体" w:cs="黑体"/>
          <w:spacing w:val="-2"/>
          <w:sz w:val="32"/>
          <w:szCs w:val="32"/>
          <w:lang w:eastAsia="zh-CN"/>
        </w:rPr>
        <w:t>县</w:t>
      </w:r>
      <w:r>
        <w:rPr>
          <w:rFonts w:ascii="黑体" w:hAnsi="黑体" w:eastAsia="黑体" w:cs="黑体"/>
          <w:spacing w:val="-2"/>
          <w:sz w:val="32"/>
          <w:szCs w:val="32"/>
        </w:rPr>
        <w:t>级单位决算公开格式：</w:t>
      </w:r>
    </w:p>
    <w:p>
      <w:pPr>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val="en-US" w:eastAsia="en-US" w:bidi="ar-SA"/>
        </w:rPr>
      </w:pPr>
    </w:p>
    <w:p>
      <w:pPr>
        <w:spacing w:before="146" w:line="219" w:lineRule="auto"/>
        <w:ind w:left="2176"/>
        <w:jc w:val="center"/>
        <w:rPr>
          <w:rFonts w:ascii="宋体" w:hAnsi="宋体" w:eastAsia="宋体" w:cs="宋体"/>
          <w:sz w:val="45"/>
          <w:szCs w:val="45"/>
        </w:rPr>
      </w:pPr>
      <w:r>
        <w:rPr>
          <w:rFonts w:hint="eastAsia" w:ascii="宋体" w:hAnsi="宋体" w:eastAsia="宋体" w:cs="宋体"/>
          <w:b/>
          <w:bCs/>
          <w:spacing w:val="-8"/>
          <w:sz w:val="45"/>
          <w:szCs w:val="45"/>
          <w:lang w:eastAsia="zh-CN"/>
        </w:rPr>
        <w:t>浮梁县自然资源和规划局本级</w:t>
      </w:r>
      <w:r>
        <w:rPr>
          <w:rFonts w:ascii="宋体" w:hAnsi="宋体" w:eastAsia="宋体" w:cs="宋体"/>
          <w:b/>
          <w:bCs/>
          <w:spacing w:val="-8"/>
          <w:sz w:val="45"/>
          <w:szCs w:val="45"/>
        </w:rPr>
        <w:t>单位2022年度决算</w:t>
      </w:r>
    </w:p>
    <w:p>
      <w:pPr>
        <w:kinsoku w:val="0"/>
        <w:autoSpaceDE w:val="0"/>
        <w:autoSpaceDN w:val="0"/>
        <w:adjustRightInd w:val="0"/>
        <w:snapToGrid w:val="0"/>
        <w:spacing w:line="33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331" w:lineRule="auto"/>
        <w:jc w:val="left"/>
        <w:textAlignment w:val="baseline"/>
        <w:rPr>
          <w:rFonts w:ascii="Arial" w:hAnsi="Arial" w:eastAsia="Arial" w:cs="Arial"/>
          <w:snapToGrid w:val="0"/>
          <w:color w:val="000000"/>
          <w:kern w:val="0"/>
          <w:sz w:val="21"/>
          <w:szCs w:val="21"/>
          <w:lang w:val="en-US" w:eastAsia="en-US" w:bidi="ar-SA"/>
        </w:rPr>
      </w:pPr>
    </w:p>
    <w:p>
      <w:pPr>
        <w:spacing w:before="104" w:line="222" w:lineRule="auto"/>
        <w:ind w:left="3754"/>
        <w:rPr>
          <w:rFonts w:ascii="黑体" w:hAnsi="黑体" w:eastAsia="黑体" w:cs="黑体"/>
          <w:sz w:val="32"/>
          <w:szCs w:val="32"/>
        </w:rPr>
      </w:pPr>
      <w:r>
        <w:rPr>
          <w:rFonts w:ascii="黑体" w:hAnsi="黑体" w:eastAsia="黑体" w:cs="黑体"/>
          <w:b/>
          <w:bCs/>
          <w:spacing w:val="-30"/>
          <w:sz w:val="32"/>
          <w:szCs w:val="32"/>
        </w:rPr>
        <w:t>目</w:t>
      </w:r>
      <w:r>
        <w:rPr>
          <w:rFonts w:ascii="黑体" w:hAnsi="黑体" w:eastAsia="黑体" w:cs="黑体"/>
          <w:sz w:val="32"/>
          <w:szCs w:val="32"/>
        </w:rPr>
        <w:t xml:space="preserve">    </w:t>
      </w:r>
      <w:r>
        <w:rPr>
          <w:rFonts w:ascii="黑体" w:hAnsi="黑体" w:eastAsia="黑体" w:cs="黑体"/>
          <w:b/>
          <w:bCs/>
          <w:spacing w:val="-30"/>
          <w:sz w:val="32"/>
          <w:szCs w:val="32"/>
        </w:rPr>
        <w:t>录</w:t>
      </w:r>
    </w:p>
    <w:p>
      <w:pPr>
        <w:kinsoku w:val="0"/>
        <w:autoSpaceDE w:val="0"/>
        <w:autoSpaceDN w:val="0"/>
        <w:adjustRightInd w:val="0"/>
        <w:snapToGrid w:val="0"/>
        <w:spacing w:line="357"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358" w:lineRule="auto"/>
        <w:jc w:val="left"/>
        <w:textAlignment w:val="baseline"/>
        <w:rPr>
          <w:rFonts w:ascii="Arial" w:hAnsi="Arial" w:eastAsia="Arial" w:cs="Arial"/>
          <w:snapToGrid w:val="0"/>
          <w:color w:val="000000"/>
          <w:kern w:val="0"/>
          <w:sz w:val="21"/>
          <w:szCs w:val="21"/>
          <w:lang w:val="en-US" w:eastAsia="en-US" w:bidi="ar-SA"/>
        </w:rPr>
      </w:pPr>
    </w:p>
    <w:p>
      <w:pPr>
        <w:spacing w:before="105" w:line="221" w:lineRule="auto"/>
        <w:ind w:left="664"/>
        <w:rPr>
          <w:rFonts w:ascii="黑体" w:hAnsi="黑体" w:eastAsia="黑体" w:cs="黑体"/>
          <w:sz w:val="32"/>
          <w:szCs w:val="32"/>
        </w:rPr>
      </w:pPr>
      <w:r>
        <w:rPr>
          <w:rFonts w:ascii="黑体" w:hAnsi="黑体" w:eastAsia="黑体" w:cs="黑体"/>
          <w:b/>
          <w:bCs/>
          <w:spacing w:val="-8"/>
          <w:sz w:val="32"/>
          <w:szCs w:val="32"/>
        </w:rPr>
        <w:t>第一部分</w:t>
      </w:r>
      <w:r>
        <w:rPr>
          <w:rFonts w:ascii="黑体" w:hAnsi="黑体" w:eastAsia="黑体" w:cs="黑体"/>
          <w:spacing w:val="154"/>
          <w:sz w:val="32"/>
          <w:szCs w:val="32"/>
        </w:rPr>
        <w:t xml:space="preserve"> </w:t>
      </w:r>
      <w:r>
        <w:rPr>
          <w:rFonts w:hint="eastAsia" w:ascii="黑体" w:hAnsi="黑体" w:eastAsia="黑体" w:cs="黑体"/>
          <w:b/>
          <w:bCs/>
          <w:spacing w:val="-8"/>
          <w:sz w:val="32"/>
          <w:szCs w:val="32"/>
          <w:lang w:eastAsia="zh-CN"/>
        </w:rPr>
        <w:t>浮梁县自然资源和规划局本级</w:t>
      </w:r>
      <w:r>
        <w:rPr>
          <w:rFonts w:ascii="黑体" w:hAnsi="黑体" w:eastAsia="黑体" w:cs="黑体"/>
          <w:b/>
          <w:bCs/>
          <w:spacing w:val="-8"/>
          <w:sz w:val="32"/>
          <w:szCs w:val="32"/>
        </w:rPr>
        <w:t>单位概况</w:t>
      </w:r>
    </w:p>
    <w:p>
      <w:pPr>
        <w:spacing w:before="219" w:line="610" w:lineRule="exact"/>
        <w:ind w:left="1289"/>
        <w:rPr>
          <w:rFonts w:ascii="仿宋" w:hAnsi="仿宋" w:eastAsia="仿宋" w:cs="仿宋"/>
          <w:sz w:val="32"/>
          <w:szCs w:val="32"/>
        </w:rPr>
      </w:pPr>
      <w:r>
        <w:rPr>
          <w:rFonts w:ascii="仿宋" w:hAnsi="仿宋" w:eastAsia="仿宋" w:cs="仿宋"/>
          <w:spacing w:val="-7"/>
          <w:position w:val="21"/>
          <w:sz w:val="32"/>
          <w:szCs w:val="32"/>
        </w:rPr>
        <w:t>一、单位主要职责</w:t>
      </w:r>
    </w:p>
    <w:p>
      <w:pPr>
        <w:spacing w:before="1" w:line="220" w:lineRule="auto"/>
        <w:ind w:left="1289"/>
        <w:rPr>
          <w:rFonts w:ascii="仿宋" w:hAnsi="仿宋" w:eastAsia="仿宋" w:cs="仿宋"/>
          <w:sz w:val="32"/>
          <w:szCs w:val="32"/>
        </w:rPr>
      </w:pPr>
      <w:r>
        <w:rPr>
          <w:rFonts w:ascii="仿宋" w:hAnsi="仿宋" w:eastAsia="仿宋" w:cs="仿宋"/>
          <w:spacing w:val="-5"/>
          <w:sz w:val="32"/>
          <w:szCs w:val="32"/>
        </w:rPr>
        <w:t>二、单位基本情况</w:t>
      </w:r>
    </w:p>
    <w:p>
      <w:pPr>
        <w:spacing w:before="196" w:line="222" w:lineRule="auto"/>
        <w:ind w:left="674"/>
        <w:rPr>
          <w:rFonts w:ascii="黑体" w:hAnsi="黑体" w:eastAsia="黑体" w:cs="黑体"/>
          <w:sz w:val="32"/>
          <w:szCs w:val="32"/>
        </w:rPr>
      </w:pPr>
      <w:r>
        <w:rPr>
          <w:rFonts w:ascii="黑体" w:hAnsi="黑体" w:eastAsia="黑体" w:cs="黑体"/>
          <w:b/>
          <w:bCs/>
          <w:spacing w:val="-2"/>
          <w:sz w:val="32"/>
          <w:szCs w:val="32"/>
        </w:rPr>
        <w:t>第二部分</w:t>
      </w:r>
      <w:r>
        <w:rPr>
          <w:rFonts w:ascii="黑体" w:hAnsi="黑体" w:eastAsia="黑体" w:cs="黑体"/>
          <w:spacing w:val="162"/>
          <w:sz w:val="32"/>
          <w:szCs w:val="32"/>
        </w:rPr>
        <w:t xml:space="preserve"> </w:t>
      </w:r>
      <w:r>
        <w:rPr>
          <w:rFonts w:ascii="黑体" w:hAnsi="黑体" w:eastAsia="黑体" w:cs="黑体"/>
          <w:b/>
          <w:bCs/>
          <w:spacing w:val="-2"/>
          <w:sz w:val="32"/>
          <w:szCs w:val="32"/>
        </w:rPr>
        <w:t>2022年度单位决算表</w:t>
      </w:r>
    </w:p>
    <w:p>
      <w:pPr>
        <w:spacing w:before="248" w:line="590" w:lineRule="exact"/>
        <w:ind w:left="1289"/>
        <w:rPr>
          <w:rFonts w:ascii="仿宋" w:hAnsi="仿宋" w:eastAsia="仿宋" w:cs="仿宋"/>
          <w:sz w:val="32"/>
          <w:szCs w:val="32"/>
        </w:rPr>
      </w:pPr>
      <w:r>
        <w:rPr>
          <w:rFonts w:ascii="仿宋" w:hAnsi="仿宋" w:eastAsia="仿宋" w:cs="仿宋"/>
          <w:spacing w:val="-6"/>
          <w:position w:val="19"/>
          <w:sz w:val="32"/>
          <w:szCs w:val="32"/>
        </w:rPr>
        <w:t>一、收入支出决算总表</w:t>
      </w:r>
    </w:p>
    <w:p>
      <w:pPr>
        <w:spacing w:before="1" w:line="221" w:lineRule="auto"/>
        <w:ind w:left="1289"/>
        <w:rPr>
          <w:rFonts w:ascii="仿宋" w:hAnsi="仿宋" w:eastAsia="仿宋" w:cs="仿宋"/>
          <w:sz w:val="32"/>
          <w:szCs w:val="32"/>
        </w:rPr>
      </w:pPr>
      <w:r>
        <w:rPr>
          <w:rFonts w:ascii="仿宋" w:hAnsi="仿宋" w:eastAsia="仿宋" w:cs="仿宋"/>
          <w:spacing w:val="-19"/>
          <w:sz w:val="32"/>
          <w:szCs w:val="32"/>
        </w:rPr>
        <w:t>二、</w:t>
      </w:r>
      <w:r>
        <w:rPr>
          <w:rFonts w:ascii="仿宋" w:hAnsi="仿宋" w:eastAsia="仿宋" w:cs="仿宋"/>
          <w:spacing w:val="-69"/>
          <w:sz w:val="32"/>
          <w:szCs w:val="32"/>
        </w:rPr>
        <w:t xml:space="preserve"> </w:t>
      </w:r>
      <w:r>
        <w:rPr>
          <w:rFonts w:ascii="仿宋" w:hAnsi="仿宋" w:eastAsia="仿宋" w:cs="仿宋"/>
          <w:spacing w:val="-19"/>
          <w:sz w:val="32"/>
          <w:szCs w:val="32"/>
        </w:rPr>
        <w:t>收入决算表</w:t>
      </w:r>
    </w:p>
    <w:p>
      <w:pPr>
        <w:spacing w:before="215" w:line="222" w:lineRule="auto"/>
        <w:ind w:left="1289"/>
        <w:rPr>
          <w:rFonts w:ascii="仿宋" w:hAnsi="仿宋" w:eastAsia="仿宋" w:cs="仿宋"/>
          <w:sz w:val="32"/>
          <w:szCs w:val="32"/>
        </w:rPr>
      </w:pPr>
      <w:r>
        <w:rPr>
          <w:rFonts w:ascii="仿宋" w:hAnsi="仿宋" w:eastAsia="仿宋" w:cs="仿宋"/>
          <w:spacing w:val="-20"/>
          <w:sz w:val="32"/>
          <w:szCs w:val="32"/>
        </w:rPr>
        <w:t>三、</w:t>
      </w:r>
      <w:r>
        <w:rPr>
          <w:rFonts w:ascii="仿宋" w:hAnsi="仿宋" w:eastAsia="仿宋" w:cs="仿宋"/>
          <w:spacing w:val="-78"/>
          <w:sz w:val="32"/>
          <w:szCs w:val="32"/>
        </w:rPr>
        <w:t xml:space="preserve"> </w:t>
      </w:r>
      <w:r>
        <w:rPr>
          <w:rFonts w:ascii="仿宋" w:hAnsi="仿宋" w:eastAsia="仿宋" w:cs="仿宋"/>
          <w:spacing w:val="-20"/>
          <w:sz w:val="32"/>
          <w:szCs w:val="32"/>
        </w:rPr>
        <w:t>支出决算表</w:t>
      </w:r>
    </w:p>
    <w:p>
      <w:pPr>
        <w:spacing w:before="225" w:line="222" w:lineRule="auto"/>
        <w:ind w:left="1289"/>
        <w:rPr>
          <w:rFonts w:ascii="仿宋" w:hAnsi="仿宋" w:eastAsia="仿宋" w:cs="仿宋"/>
          <w:sz w:val="32"/>
          <w:szCs w:val="32"/>
        </w:rPr>
      </w:pPr>
      <w:r>
        <w:rPr>
          <w:rFonts w:ascii="仿宋" w:hAnsi="仿宋" w:eastAsia="仿宋" w:cs="仿宋"/>
          <w:spacing w:val="-7"/>
          <w:sz w:val="32"/>
          <w:szCs w:val="32"/>
        </w:rPr>
        <w:t>四、财政拨款收入支出决算总表</w:t>
      </w:r>
    </w:p>
    <w:p>
      <w:pPr>
        <w:spacing w:before="216" w:line="222" w:lineRule="auto"/>
        <w:ind w:left="1289"/>
        <w:rPr>
          <w:rFonts w:ascii="仿宋" w:hAnsi="仿宋" w:eastAsia="仿宋" w:cs="仿宋"/>
          <w:sz w:val="32"/>
          <w:szCs w:val="32"/>
        </w:rPr>
      </w:pPr>
      <w:r>
        <w:rPr>
          <w:rFonts w:ascii="仿宋" w:hAnsi="仿宋" w:eastAsia="仿宋" w:cs="仿宋"/>
          <w:spacing w:val="-11"/>
          <w:sz w:val="32"/>
          <w:szCs w:val="32"/>
        </w:rPr>
        <w:t>五、</w:t>
      </w:r>
      <w:r>
        <w:rPr>
          <w:rFonts w:ascii="仿宋" w:hAnsi="仿宋" w:eastAsia="仿宋" w:cs="仿宋"/>
          <w:spacing w:val="-57"/>
          <w:sz w:val="32"/>
          <w:szCs w:val="32"/>
        </w:rPr>
        <w:t xml:space="preserve"> </w:t>
      </w:r>
      <w:r>
        <w:rPr>
          <w:rFonts w:ascii="仿宋" w:hAnsi="仿宋" w:eastAsia="仿宋" w:cs="仿宋"/>
          <w:spacing w:val="-11"/>
          <w:sz w:val="32"/>
          <w:szCs w:val="32"/>
        </w:rPr>
        <w:t>一般公共预算财政拨款支出决算表</w:t>
      </w:r>
    </w:p>
    <w:p>
      <w:pPr>
        <w:spacing w:before="235" w:line="222" w:lineRule="auto"/>
        <w:ind w:left="1289"/>
        <w:rPr>
          <w:rFonts w:ascii="仿宋" w:hAnsi="仿宋" w:eastAsia="仿宋" w:cs="仿宋"/>
          <w:sz w:val="32"/>
          <w:szCs w:val="32"/>
        </w:rPr>
      </w:pPr>
      <w:r>
        <w:rPr>
          <w:rFonts w:ascii="仿宋" w:hAnsi="仿宋" w:eastAsia="仿宋" w:cs="仿宋"/>
          <w:spacing w:val="-9"/>
          <w:sz w:val="32"/>
          <w:szCs w:val="32"/>
        </w:rPr>
        <w:t>六</w:t>
      </w:r>
      <w:r>
        <w:rPr>
          <w:rFonts w:ascii="仿宋" w:hAnsi="仿宋" w:eastAsia="仿宋" w:cs="仿宋"/>
          <w:spacing w:val="-57"/>
          <w:sz w:val="32"/>
          <w:szCs w:val="32"/>
        </w:rPr>
        <w:t xml:space="preserve"> </w:t>
      </w:r>
      <w:r>
        <w:rPr>
          <w:rFonts w:ascii="仿宋" w:hAnsi="仿宋" w:eastAsia="仿宋" w:cs="仿宋"/>
          <w:spacing w:val="-9"/>
          <w:sz w:val="32"/>
          <w:szCs w:val="32"/>
        </w:rPr>
        <w:t>、一般公共预算财政拨款基本支出决算表</w:t>
      </w:r>
    </w:p>
    <w:p>
      <w:pPr>
        <w:spacing w:before="193" w:line="220" w:lineRule="auto"/>
        <w:ind w:left="1289"/>
        <w:rPr>
          <w:rFonts w:ascii="仿宋" w:hAnsi="仿宋" w:eastAsia="仿宋" w:cs="仿宋"/>
          <w:sz w:val="32"/>
          <w:szCs w:val="32"/>
        </w:rPr>
      </w:pPr>
      <w:r>
        <w:rPr>
          <w:rFonts w:ascii="仿宋" w:hAnsi="仿宋" w:eastAsia="仿宋" w:cs="仿宋"/>
          <w:spacing w:val="-4"/>
          <w:sz w:val="32"/>
          <w:szCs w:val="32"/>
        </w:rPr>
        <w:t>七、政府性基金预算财政拨款收入支出决算表</w:t>
      </w:r>
    </w:p>
    <w:p>
      <w:pPr>
        <w:spacing w:before="241" w:line="590" w:lineRule="exact"/>
        <w:ind w:left="1289"/>
        <w:rPr>
          <w:rFonts w:ascii="仿宋" w:hAnsi="仿宋" w:eastAsia="仿宋" w:cs="仿宋"/>
          <w:sz w:val="32"/>
          <w:szCs w:val="32"/>
        </w:rPr>
      </w:pPr>
      <w:r>
        <w:rPr>
          <w:rFonts w:ascii="仿宋" w:hAnsi="仿宋" w:eastAsia="仿宋" w:cs="仿宋"/>
          <w:spacing w:val="-8"/>
          <w:position w:val="19"/>
          <w:sz w:val="32"/>
          <w:szCs w:val="32"/>
        </w:rPr>
        <w:t>八、</w:t>
      </w:r>
      <w:r>
        <w:rPr>
          <w:rFonts w:ascii="仿宋" w:hAnsi="仿宋" w:eastAsia="仿宋" w:cs="仿宋"/>
          <w:spacing w:val="-71"/>
          <w:position w:val="19"/>
          <w:sz w:val="32"/>
          <w:szCs w:val="32"/>
        </w:rPr>
        <w:t xml:space="preserve"> </w:t>
      </w:r>
      <w:r>
        <w:rPr>
          <w:rFonts w:ascii="仿宋" w:hAnsi="仿宋" w:eastAsia="仿宋" w:cs="仿宋"/>
          <w:spacing w:val="-8"/>
          <w:position w:val="19"/>
          <w:sz w:val="32"/>
          <w:szCs w:val="32"/>
        </w:rPr>
        <w:t>国有资本经营预算财政拨款支出决算表</w:t>
      </w:r>
    </w:p>
    <w:p>
      <w:pPr>
        <w:spacing w:before="1" w:line="221" w:lineRule="auto"/>
        <w:ind w:left="1289"/>
        <w:rPr>
          <w:rFonts w:ascii="仿宋" w:hAnsi="仿宋" w:eastAsia="仿宋" w:cs="仿宋"/>
          <w:sz w:val="32"/>
          <w:szCs w:val="32"/>
        </w:rPr>
      </w:pPr>
      <w:r>
        <w:rPr>
          <w:rFonts w:ascii="仿宋" w:hAnsi="仿宋" w:eastAsia="仿宋" w:cs="仿宋"/>
          <w:spacing w:val="-3"/>
          <w:sz w:val="32"/>
          <w:szCs w:val="32"/>
        </w:rPr>
        <w:t>九、财政拨款“三公”经费支出决算表</w:t>
      </w:r>
    </w:p>
    <w:p>
      <w:pPr>
        <w:spacing w:before="208" w:line="222" w:lineRule="auto"/>
        <w:ind w:left="1289"/>
        <w:rPr>
          <w:rFonts w:ascii="仿宋" w:hAnsi="仿宋" w:eastAsia="仿宋" w:cs="仿宋"/>
          <w:sz w:val="32"/>
          <w:szCs w:val="32"/>
        </w:rPr>
      </w:pPr>
      <w:r>
        <w:rPr>
          <w:rFonts w:ascii="仿宋" w:hAnsi="仿宋" w:eastAsia="仿宋" w:cs="仿宋"/>
          <w:spacing w:val="-13"/>
          <w:sz w:val="32"/>
          <w:szCs w:val="32"/>
        </w:rPr>
        <w:t>十、 国有资产占用情况表</w:t>
      </w:r>
    </w:p>
    <w:p>
      <w:pPr>
        <w:spacing w:line="222" w:lineRule="auto"/>
        <w:rPr>
          <w:rFonts w:ascii="仿宋" w:hAnsi="仿宋" w:eastAsia="仿宋" w:cs="仿宋"/>
          <w:sz w:val="32"/>
          <w:szCs w:val="32"/>
        </w:rPr>
        <w:sectPr>
          <w:headerReference r:id="rId5" w:type="default"/>
          <w:pgSz w:w="11840" w:h="16780"/>
          <w:pgMar w:top="400" w:right="1482" w:bottom="1635" w:left="1610" w:header="0" w:footer="1317" w:gutter="0"/>
          <w:cols w:space="720" w:num="1"/>
        </w:sectPr>
      </w:pPr>
    </w:p>
    <w:p>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val="en-US" w:eastAsia="en-US" w:bidi="ar-SA"/>
        </w:rPr>
      </w:pPr>
    </w:p>
    <w:p>
      <w:pPr>
        <w:spacing w:before="101" w:line="221" w:lineRule="auto"/>
        <w:ind w:left="644"/>
        <w:rPr>
          <w:rFonts w:ascii="黑体" w:hAnsi="黑体" w:eastAsia="黑体" w:cs="黑体"/>
          <w:sz w:val="31"/>
          <w:szCs w:val="31"/>
        </w:rPr>
      </w:pPr>
      <w:r>
        <w:rPr>
          <w:rFonts w:ascii="黑体" w:hAnsi="黑体" w:eastAsia="黑体" w:cs="黑体"/>
          <w:b/>
          <w:bCs/>
          <w:spacing w:val="6"/>
          <w:sz w:val="31"/>
          <w:szCs w:val="31"/>
        </w:rPr>
        <w:t>第三部分</w:t>
      </w:r>
      <w:r>
        <w:rPr>
          <w:rFonts w:ascii="黑体" w:hAnsi="黑体" w:eastAsia="黑体" w:cs="黑体"/>
          <w:spacing w:val="1"/>
          <w:sz w:val="31"/>
          <w:szCs w:val="31"/>
        </w:rPr>
        <w:t xml:space="preserve">  </w:t>
      </w:r>
      <w:r>
        <w:rPr>
          <w:rFonts w:ascii="黑体" w:hAnsi="黑体" w:eastAsia="黑体" w:cs="黑体"/>
          <w:b/>
          <w:bCs/>
          <w:spacing w:val="6"/>
          <w:sz w:val="31"/>
          <w:szCs w:val="31"/>
        </w:rPr>
        <w:t>2022年度单位决算情况说明</w:t>
      </w:r>
    </w:p>
    <w:p>
      <w:pPr>
        <w:spacing w:before="232" w:line="620" w:lineRule="exact"/>
        <w:ind w:left="1269"/>
        <w:rPr>
          <w:rFonts w:ascii="仿宋" w:hAnsi="仿宋" w:eastAsia="仿宋" w:cs="仿宋"/>
          <w:sz w:val="31"/>
          <w:szCs w:val="31"/>
        </w:rPr>
      </w:pPr>
      <w:r>
        <w:rPr>
          <w:rFonts w:ascii="仿宋" w:hAnsi="仿宋" w:eastAsia="仿宋" w:cs="仿宋"/>
          <w:spacing w:val="3"/>
          <w:position w:val="23"/>
          <w:sz w:val="31"/>
          <w:szCs w:val="31"/>
        </w:rPr>
        <w:t>一、收入决算情况说明</w:t>
      </w:r>
    </w:p>
    <w:p>
      <w:pPr>
        <w:spacing w:before="1" w:line="221" w:lineRule="auto"/>
        <w:ind w:left="1269"/>
        <w:rPr>
          <w:rFonts w:ascii="仿宋" w:hAnsi="仿宋" w:eastAsia="仿宋" w:cs="仿宋"/>
          <w:sz w:val="31"/>
          <w:szCs w:val="31"/>
        </w:rPr>
      </w:pPr>
      <w:r>
        <w:rPr>
          <w:rFonts w:ascii="仿宋" w:hAnsi="仿宋" w:eastAsia="仿宋" w:cs="仿宋"/>
          <w:spacing w:val="-10"/>
          <w:sz w:val="31"/>
          <w:szCs w:val="31"/>
        </w:rPr>
        <w:t>二 、支出决算情况说明</w:t>
      </w:r>
    </w:p>
    <w:p>
      <w:pPr>
        <w:spacing w:before="217" w:line="222" w:lineRule="auto"/>
        <w:ind w:left="1269"/>
        <w:rPr>
          <w:rFonts w:ascii="仿宋" w:hAnsi="仿宋" w:eastAsia="仿宋" w:cs="仿宋"/>
          <w:sz w:val="31"/>
          <w:szCs w:val="31"/>
        </w:rPr>
      </w:pPr>
      <w:r>
        <w:rPr>
          <w:rFonts w:ascii="仿宋" w:hAnsi="仿宋" w:eastAsia="仿宋" w:cs="仿宋"/>
          <w:spacing w:val="-4"/>
          <w:sz w:val="31"/>
          <w:szCs w:val="31"/>
        </w:rPr>
        <w:t>三</w:t>
      </w:r>
      <w:r>
        <w:rPr>
          <w:rFonts w:ascii="仿宋" w:hAnsi="仿宋" w:eastAsia="仿宋" w:cs="仿宋"/>
          <w:spacing w:val="-49"/>
          <w:sz w:val="31"/>
          <w:szCs w:val="31"/>
        </w:rPr>
        <w:t xml:space="preserve"> </w:t>
      </w:r>
      <w:r>
        <w:rPr>
          <w:rFonts w:ascii="仿宋" w:hAnsi="仿宋" w:eastAsia="仿宋" w:cs="仿宋"/>
          <w:spacing w:val="-4"/>
          <w:sz w:val="31"/>
          <w:szCs w:val="31"/>
        </w:rPr>
        <w:t>、财政拨款支出决算情况说明</w:t>
      </w:r>
    </w:p>
    <w:p>
      <w:pPr>
        <w:spacing w:before="227" w:line="600" w:lineRule="exact"/>
        <w:ind w:left="1269"/>
        <w:rPr>
          <w:rFonts w:ascii="仿宋" w:hAnsi="仿宋" w:eastAsia="仿宋" w:cs="仿宋"/>
          <w:sz w:val="31"/>
          <w:szCs w:val="31"/>
        </w:rPr>
      </w:pPr>
      <w:r>
        <w:rPr>
          <w:rFonts w:ascii="仿宋" w:hAnsi="仿宋" w:eastAsia="仿宋" w:cs="仿宋"/>
          <w:spacing w:val="-2"/>
          <w:position w:val="21"/>
          <w:sz w:val="31"/>
          <w:szCs w:val="31"/>
        </w:rPr>
        <w:t>四 、一般公共预算财政拨款基本支出决算情况说明</w:t>
      </w:r>
    </w:p>
    <w:p>
      <w:pPr>
        <w:spacing w:before="1" w:line="221" w:lineRule="auto"/>
        <w:ind w:left="1269"/>
        <w:rPr>
          <w:rFonts w:ascii="仿宋" w:hAnsi="仿宋" w:eastAsia="仿宋" w:cs="仿宋"/>
          <w:sz w:val="31"/>
          <w:szCs w:val="31"/>
        </w:rPr>
      </w:pPr>
      <w:r>
        <w:rPr>
          <w:rFonts w:ascii="仿宋" w:hAnsi="仿宋" w:eastAsia="仿宋" w:cs="仿宋"/>
          <w:spacing w:val="5"/>
          <w:sz w:val="31"/>
          <w:szCs w:val="31"/>
        </w:rPr>
        <w:t>五、财政拨款“三公”经费支出决算情况说明</w:t>
      </w:r>
    </w:p>
    <w:p>
      <w:pPr>
        <w:spacing w:before="236" w:line="221" w:lineRule="auto"/>
        <w:ind w:left="1269"/>
        <w:rPr>
          <w:rFonts w:ascii="仿宋" w:hAnsi="仿宋" w:eastAsia="仿宋" w:cs="仿宋"/>
          <w:sz w:val="31"/>
          <w:szCs w:val="31"/>
        </w:rPr>
      </w:pPr>
      <w:r>
        <w:rPr>
          <w:rFonts w:ascii="仿宋" w:hAnsi="仿宋" w:eastAsia="仿宋" w:cs="仿宋"/>
          <w:spacing w:val="3"/>
          <w:sz w:val="31"/>
          <w:szCs w:val="31"/>
        </w:rPr>
        <w:t>六、机关运行经费支出情况说明</w:t>
      </w:r>
    </w:p>
    <w:p>
      <w:pPr>
        <w:spacing w:before="232" w:line="600" w:lineRule="exact"/>
        <w:ind w:left="1269"/>
        <w:rPr>
          <w:rFonts w:ascii="仿宋" w:hAnsi="仿宋" w:eastAsia="仿宋" w:cs="仿宋"/>
          <w:sz w:val="31"/>
          <w:szCs w:val="31"/>
        </w:rPr>
      </w:pPr>
      <w:r>
        <w:rPr>
          <w:rFonts w:ascii="仿宋" w:hAnsi="仿宋" w:eastAsia="仿宋" w:cs="仿宋"/>
          <w:spacing w:val="3"/>
          <w:position w:val="21"/>
          <w:sz w:val="31"/>
          <w:szCs w:val="31"/>
        </w:rPr>
        <w:t>七、政府采购支出情况说明</w:t>
      </w:r>
    </w:p>
    <w:p>
      <w:pPr>
        <w:spacing w:line="222" w:lineRule="auto"/>
        <w:ind w:left="1269"/>
        <w:rPr>
          <w:rFonts w:ascii="仿宋" w:hAnsi="仿宋" w:eastAsia="仿宋" w:cs="仿宋"/>
          <w:sz w:val="31"/>
          <w:szCs w:val="31"/>
        </w:rPr>
      </w:pPr>
      <w:r>
        <w:rPr>
          <w:rFonts w:ascii="仿宋" w:hAnsi="仿宋" w:eastAsia="仿宋" w:cs="仿宋"/>
          <w:spacing w:val="-4"/>
          <w:sz w:val="31"/>
          <w:szCs w:val="31"/>
        </w:rPr>
        <w:t>八</w:t>
      </w:r>
      <w:r>
        <w:rPr>
          <w:rFonts w:ascii="仿宋" w:hAnsi="仿宋" w:eastAsia="仿宋" w:cs="仿宋"/>
          <w:spacing w:val="-27"/>
          <w:sz w:val="31"/>
          <w:szCs w:val="31"/>
        </w:rPr>
        <w:t xml:space="preserve"> </w:t>
      </w:r>
      <w:r>
        <w:rPr>
          <w:rFonts w:ascii="仿宋" w:hAnsi="仿宋" w:eastAsia="仿宋" w:cs="仿宋"/>
          <w:spacing w:val="-4"/>
          <w:sz w:val="31"/>
          <w:szCs w:val="31"/>
        </w:rPr>
        <w:t>、国有资产占用情况说明</w:t>
      </w:r>
    </w:p>
    <w:p>
      <w:pPr>
        <w:spacing w:before="225" w:line="222" w:lineRule="auto"/>
        <w:ind w:left="1269"/>
        <w:rPr>
          <w:rFonts w:ascii="仿宋" w:hAnsi="仿宋" w:eastAsia="仿宋" w:cs="仿宋"/>
          <w:sz w:val="31"/>
          <w:szCs w:val="31"/>
        </w:rPr>
      </w:pPr>
      <w:r>
        <w:rPr>
          <w:rFonts w:ascii="仿宋" w:hAnsi="仿宋" w:eastAsia="仿宋" w:cs="仿宋"/>
          <w:spacing w:val="-5"/>
          <w:sz w:val="31"/>
          <w:szCs w:val="31"/>
        </w:rPr>
        <w:t>九、</w:t>
      </w:r>
      <w:r>
        <w:rPr>
          <w:rFonts w:ascii="仿宋" w:hAnsi="仿宋" w:eastAsia="仿宋" w:cs="仿宋"/>
          <w:spacing w:val="-55"/>
          <w:sz w:val="31"/>
          <w:szCs w:val="31"/>
        </w:rPr>
        <w:t xml:space="preserve"> </w:t>
      </w:r>
      <w:r>
        <w:rPr>
          <w:rFonts w:ascii="仿宋" w:hAnsi="仿宋" w:eastAsia="仿宋" w:cs="仿宋"/>
          <w:spacing w:val="-5"/>
          <w:sz w:val="31"/>
          <w:szCs w:val="31"/>
        </w:rPr>
        <w:t>预算绩效情况说明</w:t>
      </w:r>
    </w:p>
    <w:p>
      <w:pPr>
        <w:spacing w:before="225" w:line="222" w:lineRule="auto"/>
        <w:ind w:left="654"/>
        <w:rPr>
          <w:rFonts w:ascii="黑体" w:hAnsi="黑体" w:eastAsia="黑体" w:cs="黑体"/>
          <w:sz w:val="31"/>
          <w:szCs w:val="31"/>
        </w:rPr>
      </w:pPr>
      <w:r>
        <w:rPr>
          <w:rFonts w:ascii="黑体" w:hAnsi="黑体" w:eastAsia="黑体" w:cs="黑体"/>
          <w:b/>
          <w:bCs/>
          <w:sz w:val="31"/>
          <w:szCs w:val="31"/>
        </w:rPr>
        <w:t>第四部分</w:t>
      </w:r>
      <w:r>
        <w:rPr>
          <w:rFonts w:ascii="黑体" w:hAnsi="黑体" w:eastAsia="黑体" w:cs="黑体"/>
          <w:spacing w:val="3"/>
          <w:sz w:val="31"/>
          <w:szCs w:val="31"/>
        </w:rPr>
        <w:t xml:space="preserve">  </w:t>
      </w:r>
      <w:r>
        <w:rPr>
          <w:rFonts w:ascii="黑体" w:hAnsi="黑体" w:eastAsia="黑体" w:cs="黑体"/>
          <w:b/>
          <w:bCs/>
          <w:sz w:val="31"/>
          <w:szCs w:val="31"/>
        </w:rPr>
        <w:t>名词解释</w:t>
      </w:r>
    </w:p>
    <w:p>
      <w:pPr>
        <w:spacing w:line="222" w:lineRule="auto"/>
        <w:rPr>
          <w:rFonts w:ascii="黑体" w:hAnsi="黑体" w:eastAsia="黑体" w:cs="黑体"/>
          <w:sz w:val="31"/>
          <w:szCs w:val="31"/>
        </w:rPr>
        <w:sectPr>
          <w:footerReference r:id="rId6" w:type="default"/>
          <w:pgSz w:w="11840" w:h="16800"/>
          <w:pgMar w:top="400" w:right="1776" w:bottom="1607" w:left="1630" w:header="0" w:footer="1300" w:gutter="0"/>
          <w:cols w:space="720" w:num="1"/>
        </w:sectPr>
      </w:pPr>
    </w:p>
    <w:p>
      <w:pPr>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val="en-US" w:eastAsia="en-US" w:bidi="ar-SA"/>
        </w:rPr>
      </w:pPr>
    </w:p>
    <w:p>
      <w:pPr>
        <w:spacing w:before="140" w:line="219" w:lineRule="auto"/>
        <w:ind w:left="1956"/>
        <w:jc w:val="center"/>
        <w:rPr>
          <w:rFonts w:ascii="宋体" w:hAnsi="宋体" w:eastAsia="宋体" w:cs="宋体"/>
          <w:sz w:val="43"/>
          <w:szCs w:val="43"/>
        </w:rPr>
      </w:pPr>
      <w:r>
        <w:rPr>
          <w:rFonts w:ascii="宋体" w:hAnsi="宋体" w:eastAsia="宋体" w:cs="宋体"/>
          <w:b/>
          <w:bCs/>
          <w:spacing w:val="-10"/>
          <w:sz w:val="43"/>
          <w:szCs w:val="43"/>
        </w:rPr>
        <w:t>第一部分</w:t>
      </w:r>
      <w:r>
        <w:rPr>
          <w:rFonts w:ascii="宋体" w:hAnsi="宋体" w:eastAsia="宋体" w:cs="宋体"/>
          <w:spacing w:val="43"/>
          <w:sz w:val="43"/>
          <w:szCs w:val="43"/>
        </w:rPr>
        <w:t xml:space="preserve">  </w:t>
      </w:r>
      <w:r>
        <w:rPr>
          <w:rFonts w:hint="eastAsia" w:ascii="宋体" w:hAnsi="宋体" w:eastAsia="宋体" w:cs="宋体"/>
          <w:b/>
          <w:bCs/>
          <w:spacing w:val="-10"/>
          <w:sz w:val="43"/>
          <w:szCs w:val="43"/>
          <w:lang w:eastAsia="zh-CN"/>
        </w:rPr>
        <w:t>浮梁县自然资源和规划局本级</w:t>
      </w:r>
      <w:r>
        <w:rPr>
          <w:rFonts w:ascii="宋体" w:hAnsi="宋体" w:eastAsia="宋体" w:cs="宋体"/>
          <w:b/>
          <w:bCs/>
          <w:spacing w:val="-10"/>
          <w:sz w:val="43"/>
          <w:szCs w:val="43"/>
        </w:rPr>
        <w:t>单位概况</w:t>
      </w:r>
    </w:p>
    <w:p>
      <w:pPr>
        <w:kinsoku w:val="0"/>
        <w:autoSpaceDE w:val="0"/>
        <w:autoSpaceDN w:val="0"/>
        <w:adjustRightInd w:val="0"/>
        <w:snapToGrid w:val="0"/>
        <w:spacing w:line="331" w:lineRule="auto"/>
        <w:jc w:val="center"/>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331" w:lineRule="auto"/>
        <w:jc w:val="left"/>
        <w:textAlignment w:val="baseline"/>
        <w:rPr>
          <w:rFonts w:ascii="Arial" w:hAnsi="Arial" w:eastAsia="Arial" w:cs="Arial"/>
          <w:snapToGrid w:val="0"/>
          <w:color w:val="000000"/>
          <w:kern w:val="0"/>
          <w:sz w:val="21"/>
          <w:szCs w:val="21"/>
          <w:lang w:val="en-US" w:eastAsia="en-US" w:bidi="ar-SA"/>
        </w:rPr>
      </w:pPr>
    </w:p>
    <w:p>
      <w:pPr>
        <w:spacing w:before="107" w:line="221" w:lineRule="auto"/>
        <w:ind w:left="604"/>
        <w:outlineLvl w:val="0"/>
        <w:rPr>
          <w:rFonts w:ascii="黑体" w:hAnsi="黑体" w:eastAsia="黑体" w:cs="黑体"/>
          <w:sz w:val="33"/>
          <w:szCs w:val="33"/>
        </w:rPr>
      </w:pPr>
      <w:r>
        <w:rPr>
          <w:rFonts w:ascii="黑体" w:hAnsi="黑体" w:eastAsia="黑体" w:cs="黑体"/>
          <w:b/>
          <w:bCs/>
          <w:spacing w:val="-19"/>
          <w:sz w:val="33"/>
          <w:szCs w:val="33"/>
        </w:rPr>
        <w:t>一、单位主要职责</w:t>
      </w:r>
    </w:p>
    <w:p>
      <w:pPr>
        <w:spacing w:before="183" w:line="336" w:lineRule="auto"/>
        <w:ind w:right="7" w:firstLine="599"/>
        <w:rPr>
          <w:rFonts w:hint="eastAsia" w:ascii="仿宋" w:hAnsi="仿宋" w:eastAsia="仿宋" w:cs="仿宋"/>
          <w:spacing w:val="-8"/>
          <w:sz w:val="33"/>
          <w:szCs w:val="33"/>
          <w:lang w:val="en-US" w:eastAsia="zh-CN"/>
        </w:rPr>
      </w:pPr>
      <w:r>
        <w:rPr>
          <w:rFonts w:hint="eastAsia" w:ascii="仿宋" w:hAnsi="仿宋" w:eastAsia="仿宋" w:cs="仿宋"/>
          <w:spacing w:val="-8"/>
          <w:sz w:val="33"/>
          <w:szCs w:val="33"/>
        </w:rPr>
        <w:t>（一）</w:t>
      </w:r>
      <w:r>
        <w:rPr>
          <w:rFonts w:hint="eastAsia" w:ascii="仿宋" w:hAnsi="仿宋" w:eastAsia="仿宋" w:cs="仿宋"/>
          <w:spacing w:val="-8"/>
          <w:sz w:val="33"/>
          <w:szCs w:val="33"/>
          <w:lang w:val="en-US" w:eastAsia="zh-CN"/>
        </w:rPr>
        <w:t>贯彻执行国家和省、市有关土地、矿产、测绘的方针、政策和法律、法规，拟订本县有关的行政规章并组织实施和监督检查。</w:t>
      </w:r>
    </w:p>
    <w:p>
      <w:pPr>
        <w:spacing w:before="183" w:line="336" w:lineRule="auto"/>
        <w:ind w:right="7" w:firstLine="599"/>
        <w:rPr>
          <w:rFonts w:hint="eastAsia" w:ascii="仿宋" w:hAnsi="仿宋" w:eastAsia="仿宋" w:cs="仿宋"/>
          <w:spacing w:val="-8"/>
          <w:sz w:val="33"/>
          <w:szCs w:val="33"/>
          <w:lang w:val="en-US" w:eastAsia="zh-CN"/>
        </w:rPr>
      </w:pPr>
      <w:r>
        <w:rPr>
          <w:rFonts w:hint="eastAsia" w:ascii="仿宋" w:hAnsi="仿宋" w:eastAsia="仿宋" w:cs="仿宋"/>
          <w:spacing w:val="-8"/>
          <w:sz w:val="33"/>
          <w:szCs w:val="33"/>
          <w:lang w:eastAsia="zh-CN"/>
        </w:rPr>
        <w:t>（二）</w:t>
      </w:r>
      <w:r>
        <w:rPr>
          <w:rFonts w:hint="eastAsia" w:ascii="仿宋" w:hAnsi="仿宋" w:eastAsia="仿宋" w:cs="仿宋"/>
          <w:spacing w:val="-8"/>
          <w:sz w:val="33"/>
          <w:szCs w:val="33"/>
          <w:lang w:val="en-US" w:eastAsia="zh-CN"/>
        </w:rPr>
        <w:t>编制和实施国土规划、土地和矿产资源保护与合理利用规划、地质勘查规划；参与城市总体规划的审核、指导和审核各镇(场)土地利用总体规划、矿产资源开发利用、地质勘查规划。</w:t>
      </w:r>
    </w:p>
    <w:p>
      <w:pPr>
        <w:spacing w:before="183" w:line="336" w:lineRule="auto"/>
        <w:ind w:right="7" w:firstLine="599"/>
        <w:rPr>
          <w:rFonts w:hint="eastAsia" w:ascii="仿宋" w:hAnsi="仿宋" w:eastAsia="仿宋" w:cs="仿宋"/>
          <w:spacing w:val="-8"/>
          <w:sz w:val="33"/>
          <w:szCs w:val="33"/>
          <w:lang w:val="en-US" w:eastAsia="zh-CN"/>
        </w:rPr>
      </w:pPr>
      <w:r>
        <w:rPr>
          <w:rFonts w:hint="eastAsia" w:ascii="仿宋" w:hAnsi="仿宋" w:eastAsia="仿宋" w:cs="仿宋"/>
          <w:spacing w:val="-8"/>
          <w:sz w:val="33"/>
          <w:szCs w:val="33"/>
          <w:lang w:eastAsia="zh-CN"/>
        </w:rPr>
        <w:t>（三）</w:t>
      </w:r>
      <w:r>
        <w:rPr>
          <w:rFonts w:hint="eastAsia" w:ascii="仿宋" w:hAnsi="仿宋" w:eastAsia="仿宋" w:cs="仿宋"/>
          <w:spacing w:val="-8"/>
          <w:sz w:val="33"/>
          <w:szCs w:val="33"/>
          <w:lang w:val="en-US" w:eastAsia="zh-CN"/>
        </w:rPr>
        <w:t>统筹、协调国土整治活动；依法保护土地、矿产资源所有者和使用者的合法权益，承办并调处权属纠纷，查处违法案件。</w:t>
      </w:r>
    </w:p>
    <w:p>
      <w:pPr>
        <w:spacing w:before="183" w:line="336" w:lineRule="auto"/>
        <w:ind w:right="7" w:firstLine="599"/>
        <w:rPr>
          <w:rFonts w:hint="eastAsia" w:ascii="仿宋" w:hAnsi="仿宋" w:eastAsia="仿宋" w:cs="仿宋"/>
          <w:spacing w:val="-8"/>
          <w:sz w:val="33"/>
          <w:szCs w:val="33"/>
          <w:lang w:val="en-US" w:eastAsia="zh-CN"/>
        </w:rPr>
      </w:pPr>
      <w:r>
        <w:rPr>
          <w:rFonts w:hint="eastAsia" w:ascii="仿宋" w:hAnsi="仿宋" w:eastAsia="仿宋" w:cs="仿宋"/>
          <w:spacing w:val="-8"/>
          <w:sz w:val="33"/>
          <w:szCs w:val="33"/>
          <w:lang w:eastAsia="zh-CN"/>
        </w:rPr>
        <w:t>（四）</w:t>
      </w:r>
      <w:r>
        <w:rPr>
          <w:rFonts w:hint="eastAsia" w:ascii="仿宋" w:hAnsi="仿宋" w:eastAsia="仿宋" w:cs="仿宋"/>
          <w:spacing w:val="-8"/>
          <w:sz w:val="33"/>
          <w:szCs w:val="33"/>
          <w:lang w:val="en-US" w:eastAsia="zh-CN"/>
        </w:rPr>
        <w:t>实施农地用途管制，组织落实基本农田保护制度；拟订未利用土地开发、土地整理、土地复垦和开发耕地政策并进行监督实施，确保耕地面积占补动态平衡。</w:t>
      </w:r>
    </w:p>
    <w:p>
      <w:pPr>
        <w:spacing w:before="183" w:line="336" w:lineRule="auto"/>
        <w:ind w:right="7" w:firstLine="599"/>
        <w:rPr>
          <w:rFonts w:hint="eastAsia" w:ascii="仿宋" w:hAnsi="仿宋" w:eastAsia="仿宋" w:cs="仿宋"/>
          <w:spacing w:val="-8"/>
          <w:sz w:val="33"/>
          <w:szCs w:val="33"/>
          <w:lang w:val="en-US" w:eastAsia="zh-CN"/>
        </w:rPr>
      </w:pPr>
      <w:r>
        <w:rPr>
          <w:rFonts w:hint="eastAsia" w:ascii="仿宋" w:hAnsi="仿宋" w:eastAsia="仿宋" w:cs="仿宋"/>
          <w:spacing w:val="-8"/>
          <w:sz w:val="33"/>
          <w:szCs w:val="33"/>
          <w:lang w:eastAsia="zh-CN"/>
        </w:rPr>
        <w:t>（五）</w:t>
      </w:r>
      <w:r>
        <w:rPr>
          <w:rFonts w:hint="eastAsia" w:ascii="仿宋" w:hAnsi="仿宋" w:eastAsia="仿宋" w:cs="仿宋"/>
          <w:spacing w:val="-8"/>
          <w:sz w:val="33"/>
          <w:szCs w:val="33"/>
          <w:lang w:val="en-US" w:eastAsia="zh-CN"/>
        </w:rPr>
        <w:t>统一管理城乡地籍；组织土地资源调查、地籍调查、土地统计和动态监测；负责土地确权登记、发证、城乡地籍管理工作。</w:t>
      </w:r>
    </w:p>
    <w:p>
      <w:pPr>
        <w:spacing w:before="183" w:line="336" w:lineRule="auto"/>
        <w:ind w:right="7" w:firstLine="599"/>
        <w:rPr>
          <w:rFonts w:hint="eastAsia" w:ascii="仿宋" w:hAnsi="仿宋" w:eastAsia="仿宋" w:cs="仿宋"/>
          <w:spacing w:val="-8"/>
          <w:sz w:val="33"/>
          <w:szCs w:val="33"/>
          <w:lang w:val="en-US" w:eastAsia="zh-CN"/>
        </w:rPr>
      </w:pPr>
      <w:r>
        <w:rPr>
          <w:rFonts w:hint="eastAsia" w:ascii="仿宋" w:hAnsi="仿宋" w:eastAsia="仿宋" w:cs="仿宋"/>
          <w:spacing w:val="-8"/>
          <w:sz w:val="33"/>
          <w:szCs w:val="33"/>
          <w:lang w:eastAsia="zh-CN"/>
        </w:rPr>
        <w:t>（六）</w:t>
      </w:r>
      <w:r>
        <w:rPr>
          <w:rFonts w:hint="eastAsia" w:ascii="仿宋" w:hAnsi="仿宋" w:eastAsia="仿宋" w:cs="仿宋"/>
          <w:spacing w:val="-8"/>
          <w:sz w:val="33"/>
          <w:szCs w:val="33"/>
          <w:lang w:val="en-US" w:eastAsia="zh-CN"/>
        </w:rPr>
        <w:t>负责对土地、租赁、作价出资、转让、交易进行管理和监督检查；负责政府土地收购工作；负责农村集体非农土地使用权的流转管理；负责组织土地定级、基准地价、标定地价的制定与公布；审核土地评估机构资格，确认土地使用权价格；承担报省、市人民政府审批的各类用地的审查、报批工作。</w:t>
      </w:r>
    </w:p>
    <w:p>
      <w:pPr>
        <w:spacing w:before="183" w:line="336" w:lineRule="auto"/>
        <w:ind w:right="7" w:firstLine="599"/>
        <w:rPr>
          <w:rFonts w:hint="eastAsia" w:ascii="仿宋" w:hAnsi="仿宋" w:eastAsia="仿宋" w:cs="仿宋"/>
          <w:spacing w:val="-8"/>
          <w:sz w:val="33"/>
          <w:szCs w:val="33"/>
          <w:lang w:val="en-US" w:eastAsia="zh-CN"/>
        </w:rPr>
      </w:pPr>
      <w:r>
        <w:rPr>
          <w:rFonts w:hint="eastAsia" w:ascii="仿宋" w:hAnsi="仿宋" w:eastAsia="仿宋" w:cs="仿宋"/>
          <w:spacing w:val="-8"/>
          <w:sz w:val="33"/>
          <w:szCs w:val="33"/>
          <w:lang w:eastAsia="zh-CN"/>
        </w:rPr>
        <w:t>（七）</w:t>
      </w:r>
      <w:r>
        <w:rPr>
          <w:rFonts w:hint="eastAsia" w:ascii="仿宋" w:hAnsi="仿宋" w:eastAsia="仿宋" w:cs="仿宋"/>
          <w:spacing w:val="-8"/>
          <w:sz w:val="33"/>
          <w:szCs w:val="33"/>
          <w:lang w:val="en-US" w:eastAsia="zh-CN"/>
        </w:rPr>
        <w:t>负责采矿许可证审核登记发证和转让审批登记管理工作；组织矿产资源调查，负责矿产资源储量管理和地质资料汇交管理工作；依法实施地质勘查行业管理，核准地质勘查单位的资格；管理地质勘查成果；组织征收矿产资源补偿费。</w:t>
      </w:r>
    </w:p>
    <w:p>
      <w:pPr>
        <w:spacing w:before="183" w:line="336" w:lineRule="auto"/>
        <w:ind w:right="7" w:firstLine="599"/>
        <w:rPr>
          <w:rFonts w:hint="eastAsia" w:ascii="仿宋" w:hAnsi="仿宋" w:eastAsia="仿宋" w:cs="仿宋"/>
          <w:spacing w:val="-8"/>
          <w:sz w:val="33"/>
          <w:szCs w:val="33"/>
          <w:lang w:val="en-US" w:eastAsia="zh-CN"/>
        </w:rPr>
      </w:pPr>
      <w:r>
        <w:rPr>
          <w:rFonts w:hint="eastAsia" w:ascii="仿宋" w:hAnsi="仿宋" w:eastAsia="仿宋" w:cs="仿宋"/>
          <w:spacing w:val="-8"/>
          <w:sz w:val="33"/>
          <w:szCs w:val="33"/>
          <w:lang w:eastAsia="zh-CN"/>
        </w:rPr>
        <w:t>（八）</w:t>
      </w:r>
      <w:r>
        <w:rPr>
          <w:rFonts w:hint="eastAsia" w:ascii="仿宋" w:hAnsi="仿宋" w:eastAsia="仿宋" w:cs="仿宋"/>
          <w:spacing w:val="-8"/>
          <w:sz w:val="33"/>
          <w:szCs w:val="33"/>
          <w:lang w:val="en-US" w:eastAsia="zh-CN"/>
        </w:rPr>
        <w:t>组织监测、防治地质灾害和保护地质遗迹，管理水文地质、工程地质、环境地质勘查和评价工作，监测、监督防止地下水的过量开采与污染，保护地质环境。</w:t>
      </w:r>
    </w:p>
    <w:p>
      <w:pPr>
        <w:spacing w:before="183" w:line="336" w:lineRule="auto"/>
        <w:ind w:right="7" w:firstLine="599"/>
        <w:rPr>
          <w:rFonts w:hint="eastAsia" w:ascii="仿宋" w:hAnsi="仿宋" w:eastAsia="仿宋" w:cs="仿宋"/>
          <w:spacing w:val="-8"/>
          <w:sz w:val="33"/>
          <w:szCs w:val="33"/>
          <w:lang w:val="en-US" w:eastAsia="zh-CN"/>
        </w:rPr>
      </w:pPr>
      <w:r>
        <w:rPr>
          <w:rFonts w:hint="eastAsia" w:ascii="仿宋" w:hAnsi="仿宋" w:eastAsia="仿宋" w:cs="仿宋"/>
          <w:spacing w:val="-8"/>
          <w:sz w:val="33"/>
          <w:szCs w:val="33"/>
          <w:lang w:eastAsia="zh-CN"/>
        </w:rPr>
        <w:t>（九）</w:t>
      </w:r>
      <w:r>
        <w:rPr>
          <w:rFonts w:hint="eastAsia" w:ascii="仿宋" w:hAnsi="仿宋" w:eastAsia="仿宋" w:cs="仿宋"/>
          <w:spacing w:val="-8"/>
          <w:sz w:val="33"/>
          <w:szCs w:val="33"/>
          <w:lang w:val="en-US" w:eastAsia="zh-CN"/>
        </w:rPr>
        <w:t>制订测绘工作规划、计划和技术标准；组织并管理基础测绘、行政区域界线测绘、地籍测绘和其他有关测绘项目；依法实施测绘行业管理，负责测绘单位资格审核报批；负责测绘任务登记；管理测绘成果质量和地图编制工作；管理大地测量控制系统，管理、审核、发布基础地理信息数据；指导和监督测量标志的保护工作。</w:t>
      </w:r>
    </w:p>
    <w:p>
      <w:pPr>
        <w:spacing w:before="183" w:line="336" w:lineRule="auto"/>
        <w:ind w:right="7" w:firstLine="599"/>
        <w:rPr>
          <w:rFonts w:hint="eastAsia" w:ascii="仿宋" w:hAnsi="仿宋" w:eastAsia="仿宋" w:cs="仿宋"/>
          <w:spacing w:val="-8"/>
          <w:sz w:val="33"/>
          <w:szCs w:val="33"/>
          <w:lang w:val="en-US" w:eastAsia="zh-CN"/>
        </w:rPr>
      </w:pPr>
      <w:r>
        <w:rPr>
          <w:rFonts w:hint="eastAsia" w:ascii="仿宋" w:hAnsi="仿宋" w:eastAsia="仿宋" w:cs="仿宋"/>
          <w:spacing w:val="-8"/>
          <w:sz w:val="33"/>
          <w:szCs w:val="33"/>
          <w:lang w:eastAsia="zh-CN"/>
        </w:rPr>
        <w:t>（十）</w:t>
      </w:r>
      <w:r>
        <w:rPr>
          <w:rFonts w:hint="eastAsia" w:ascii="仿宋" w:hAnsi="仿宋" w:eastAsia="仿宋" w:cs="仿宋"/>
          <w:spacing w:val="-8"/>
          <w:sz w:val="33"/>
          <w:szCs w:val="33"/>
          <w:lang w:val="en-US" w:eastAsia="zh-CN"/>
        </w:rPr>
        <w:t>负责土地资源、矿产资源、测绘事业的对外合作与交流。</w:t>
      </w:r>
    </w:p>
    <w:p>
      <w:pPr>
        <w:spacing w:before="183" w:line="336" w:lineRule="auto"/>
        <w:ind w:right="7" w:firstLine="599"/>
        <w:rPr>
          <w:rFonts w:hint="eastAsia" w:ascii="仿宋" w:hAnsi="仿宋" w:eastAsia="仿宋" w:cs="仿宋"/>
          <w:spacing w:val="-8"/>
          <w:sz w:val="33"/>
          <w:szCs w:val="33"/>
          <w:lang w:val="en-US" w:eastAsia="zh-CN"/>
        </w:rPr>
      </w:pPr>
      <w:r>
        <w:rPr>
          <w:rFonts w:hint="eastAsia" w:ascii="仿宋" w:hAnsi="仿宋" w:eastAsia="仿宋" w:cs="仿宋"/>
          <w:spacing w:val="-8"/>
          <w:sz w:val="33"/>
          <w:szCs w:val="33"/>
          <w:lang w:eastAsia="zh-CN"/>
        </w:rPr>
        <w:t>（十一）</w:t>
      </w:r>
      <w:r>
        <w:rPr>
          <w:rFonts w:hint="eastAsia" w:ascii="仿宋" w:hAnsi="仿宋" w:eastAsia="仿宋" w:cs="仿宋"/>
          <w:spacing w:val="-8"/>
          <w:sz w:val="33"/>
          <w:szCs w:val="33"/>
          <w:lang w:val="en-US" w:eastAsia="zh-CN"/>
        </w:rPr>
        <w:t>管理派出机构和直属单位。</w:t>
      </w:r>
    </w:p>
    <w:p>
      <w:pPr>
        <w:spacing w:before="183" w:line="336" w:lineRule="auto"/>
        <w:ind w:right="7" w:firstLine="599"/>
        <w:rPr>
          <w:rFonts w:hint="eastAsia" w:ascii="仿宋" w:hAnsi="仿宋" w:eastAsia="仿宋" w:cs="仿宋"/>
          <w:spacing w:val="-8"/>
          <w:sz w:val="33"/>
          <w:szCs w:val="33"/>
        </w:rPr>
      </w:pPr>
      <w:r>
        <w:rPr>
          <w:rFonts w:hint="eastAsia" w:ascii="仿宋" w:hAnsi="仿宋" w:eastAsia="仿宋" w:cs="仿宋"/>
          <w:spacing w:val="-8"/>
          <w:sz w:val="33"/>
          <w:szCs w:val="33"/>
          <w:lang w:eastAsia="zh-CN"/>
        </w:rPr>
        <w:t>（十二）</w:t>
      </w:r>
      <w:r>
        <w:rPr>
          <w:rFonts w:hint="eastAsia" w:ascii="仿宋" w:hAnsi="仿宋" w:eastAsia="仿宋" w:cs="仿宋"/>
          <w:spacing w:val="-8"/>
          <w:sz w:val="33"/>
          <w:szCs w:val="33"/>
          <w:lang w:val="en-US" w:eastAsia="zh-CN"/>
        </w:rPr>
        <w:t>承办县委、县政府和上级职能部门交办的其他事项。</w:t>
      </w:r>
    </w:p>
    <w:p>
      <w:pPr>
        <w:spacing w:before="296" w:line="222" w:lineRule="auto"/>
        <w:ind w:left="604"/>
        <w:outlineLvl w:val="0"/>
        <w:rPr>
          <w:rFonts w:ascii="黑体" w:hAnsi="黑体" w:eastAsia="黑体" w:cs="黑体"/>
          <w:sz w:val="33"/>
          <w:szCs w:val="33"/>
        </w:rPr>
      </w:pPr>
      <w:r>
        <w:rPr>
          <w:rFonts w:ascii="黑体" w:hAnsi="黑体" w:eastAsia="黑体" w:cs="黑体"/>
          <w:b/>
          <w:bCs/>
          <w:spacing w:val="-19"/>
          <w:sz w:val="33"/>
          <w:szCs w:val="33"/>
        </w:rPr>
        <w:t>二、单位基本情况</w:t>
      </w:r>
    </w:p>
    <w:p>
      <w:pPr>
        <w:spacing w:before="183" w:line="336" w:lineRule="auto"/>
        <w:ind w:right="7" w:firstLine="599"/>
        <w:rPr>
          <w:rFonts w:hint="eastAsia" w:ascii="仿宋" w:hAnsi="仿宋" w:eastAsia="仿宋" w:cs="仿宋"/>
          <w:spacing w:val="-8"/>
          <w:sz w:val="33"/>
          <w:szCs w:val="33"/>
          <w:lang w:val="en-US" w:eastAsia="zh-CN"/>
        </w:rPr>
      </w:pPr>
      <w:r>
        <w:rPr>
          <w:rFonts w:hint="eastAsia" w:ascii="仿宋" w:hAnsi="仿宋" w:eastAsia="仿宋" w:cs="仿宋"/>
          <w:spacing w:val="-8"/>
          <w:sz w:val="33"/>
          <w:szCs w:val="33"/>
          <w:lang w:val="en-US" w:eastAsia="zh-CN"/>
        </w:rPr>
        <w:t>本单位设立 23个内设机构，分别是综合办公室、财审股、法规信访股（政务服务股、综治办）、调查监测股、确权登记股、开发利用股（所有者权益股）、国土空间规划股（测绘地地理信息管理股）、国土空间用途管制股、市政和建筑规划管理股、耕地保护监督股（国土空间生态修复股）、矿产资源管理股、土地储备中心、执法监察大队、不动产登记中心、编制研究室、非河道砂石管理所、地质灾害防治中心、测绘队、土地整理中心、工会、国土资源交易中心、综合档案室、驻县行政服务大厅窗口、自然资源和规划事务服务中心。</w:t>
      </w:r>
    </w:p>
    <w:p>
      <w:pPr>
        <w:spacing w:before="183" w:line="336" w:lineRule="auto"/>
        <w:ind w:right="7" w:firstLine="599"/>
        <w:rPr>
          <w:rFonts w:hint="eastAsia" w:ascii="仿宋" w:hAnsi="仿宋" w:eastAsia="仿宋" w:cs="仿宋"/>
          <w:spacing w:val="-8"/>
          <w:sz w:val="33"/>
          <w:szCs w:val="33"/>
          <w:lang w:val="en-US" w:eastAsia="en-US"/>
        </w:rPr>
      </w:pPr>
      <w:r>
        <w:rPr>
          <w:rFonts w:hint="eastAsia" w:ascii="仿宋" w:hAnsi="仿宋" w:eastAsia="仿宋" w:cs="仿宋"/>
          <w:spacing w:val="-8"/>
          <w:sz w:val="33"/>
          <w:szCs w:val="33"/>
          <w:lang w:val="en-US" w:eastAsia="zh-CN"/>
        </w:rPr>
        <w:t>本单位2022年年末实有人数 121人，其中在职人员93人，离休人员0人，退休人员0人（不含由养老保险基金发放养老金的离退休人员）；年末其他人员0人；年末学生人数 0人；由养老保险基金发放养老金的离退休人员 28人。</w:t>
      </w:r>
    </w:p>
    <w:p>
      <w:pPr>
        <w:spacing w:before="183" w:line="336" w:lineRule="auto"/>
        <w:ind w:right="7" w:firstLine="599"/>
        <w:rPr>
          <w:rFonts w:hint="eastAsia" w:ascii="仿宋" w:hAnsi="仿宋" w:eastAsia="仿宋" w:cs="仿宋"/>
          <w:spacing w:val="-8"/>
          <w:sz w:val="33"/>
          <w:szCs w:val="33"/>
          <w:lang w:val="en-US" w:eastAsia="en-US"/>
        </w:rPr>
      </w:pPr>
    </w:p>
    <w:p>
      <w:pPr>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val="en-US" w:eastAsia="en-US" w:bidi="ar-SA"/>
        </w:rPr>
      </w:pPr>
    </w:p>
    <w:p>
      <w:pPr>
        <w:pStyle w:val="2"/>
        <w:rPr>
          <w:rFonts w:ascii="Arial" w:hAnsi="Arial" w:eastAsia="Arial" w:cs="Arial"/>
          <w:snapToGrid w:val="0"/>
          <w:color w:val="000000"/>
          <w:kern w:val="0"/>
          <w:sz w:val="21"/>
          <w:szCs w:val="21"/>
          <w:lang w:val="en-US" w:eastAsia="en-US" w:bidi="ar-SA"/>
        </w:rPr>
      </w:pPr>
    </w:p>
    <w:p>
      <w:pPr>
        <w:rPr>
          <w:rFonts w:ascii="Arial" w:hAnsi="Arial" w:eastAsia="Arial" w:cs="Arial"/>
          <w:snapToGrid w:val="0"/>
          <w:color w:val="000000"/>
          <w:kern w:val="0"/>
          <w:sz w:val="21"/>
          <w:szCs w:val="21"/>
          <w:lang w:val="en-US" w:eastAsia="en-US" w:bidi="ar-SA"/>
        </w:rPr>
      </w:pPr>
    </w:p>
    <w:p>
      <w:pPr>
        <w:pStyle w:val="2"/>
        <w:rPr>
          <w:rFonts w:ascii="Arial" w:hAnsi="Arial" w:eastAsia="Arial" w:cs="Arial"/>
          <w:snapToGrid w:val="0"/>
          <w:color w:val="000000"/>
          <w:kern w:val="0"/>
          <w:sz w:val="21"/>
          <w:szCs w:val="21"/>
          <w:lang w:val="en-US" w:eastAsia="en-US" w:bidi="ar-SA"/>
        </w:rPr>
      </w:pPr>
    </w:p>
    <w:p>
      <w:pPr>
        <w:rPr>
          <w:rFonts w:ascii="Arial" w:hAnsi="Arial" w:eastAsia="Arial" w:cs="Arial"/>
          <w:snapToGrid w:val="0"/>
          <w:color w:val="000000"/>
          <w:kern w:val="0"/>
          <w:sz w:val="21"/>
          <w:szCs w:val="21"/>
          <w:lang w:val="en-US" w:eastAsia="en-US" w:bidi="ar-SA"/>
        </w:rPr>
      </w:pPr>
    </w:p>
    <w:p>
      <w:pPr>
        <w:pStyle w:val="2"/>
        <w:rPr>
          <w:rFonts w:ascii="Arial" w:hAnsi="Arial" w:eastAsia="Arial" w:cs="Arial"/>
          <w:snapToGrid w:val="0"/>
          <w:color w:val="000000"/>
          <w:kern w:val="0"/>
          <w:sz w:val="21"/>
          <w:szCs w:val="21"/>
          <w:lang w:val="en-US" w:eastAsia="en-US" w:bidi="ar-SA"/>
        </w:rPr>
      </w:pPr>
    </w:p>
    <w:p>
      <w:pPr>
        <w:rPr>
          <w:rFonts w:ascii="Arial" w:hAnsi="Arial" w:eastAsia="Arial" w:cs="Arial"/>
          <w:snapToGrid w:val="0"/>
          <w:color w:val="000000"/>
          <w:kern w:val="0"/>
          <w:sz w:val="21"/>
          <w:szCs w:val="21"/>
          <w:lang w:val="en-US" w:eastAsia="en-US" w:bidi="ar-SA"/>
        </w:rPr>
      </w:pPr>
    </w:p>
    <w:p>
      <w:pPr>
        <w:pStyle w:val="2"/>
        <w:rPr>
          <w:lang w:val="en-US" w:eastAsia="en-US"/>
        </w:rPr>
      </w:pPr>
    </w:p>
    <w:p>
      <w:pPr>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val="en-US" w:eastAsia="en-US" w:bidi="ar-SA"/>
        </w:rPr>
      </w:pPr>
    </w:p>
    <w:p>
      <w:pPr>
        <w:spacing w:before="140" w:line="219" w:lineRule="auto"/>
        <w:ind w:left="1585"/>
        <w:rPr>
          <w:rFonts w:ascii="宋体" w:hAnsi="宋体" w:eastAsia="宋体" w:cs="宋体"/>
          <w:sz w:val="43"/>
          <w:szCs w:val="43"/>
        </w:rPr>
      </w:pPr>
      <w:r>
        <w:rPr>
          <w:rFonts w:ascii="宋体" w:hAnsi="宋体" w:eastAsia="宋体" w:cs="宋体"/>
          <w:b/>
          <w:bCs/>
          <w:spacing w:val="4"/>
          <w:sz w:val="43"/>
          <w:szCs w:val="43"/>
        </w:rPr>
        <w:t>第二部分</w:t>
      </w:r>
      <w:r>
        <w:rPr>
          <w:rFonts w:ascii="宋体" w:hAnsi="宋体" w:eastAsia="宋体" w:cs="宋体"/>
          <w:spacing w:val="214"/>
          <w:sz w:val="43"/>
          <w:szCs w:val="43"/>
        </w:rPr>
        <w:t xml:space="preserve"> </w:t>
      </w:r>
      <w:r>
        <w:rPr>
          <w:rFonts w:ascii="宋体" w:hAnsi="宋体" w:eastAsia="宋体" w:cs="宋体"/>
          <w:b/>
          <w:bCs/>
          <w:spacing w:val="4"/>
          <w:sz w:val="43"/>
          <w:szCs w:val="43"/>
        </w:rPr>
        <w:t>2022年度单位决算表</w:t>
      </w:r>
    </w:p>
    <w:p>
      <w:pPr>
        <w:spacing w:before="20"/>
      </w:pPr>
    </w:p>
    <w:p>
      <w:pPr>
        <w:spacing w:before="20"/>
      </w:pPr>
    </w:p>
    <w:tbl>
      <w:tblPr>
        <w:tblStyle w:val="7"/>
        <w:tblW w:w="862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469"/>
        <w:gridCol w:w="1269"/>
        <w:gridCol w:w="2457"/>
        <w:gridCol w:w="469"/>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629" w:type="dxa"/>
            <w:gridSpan w:val="6"/>
            <w:vAlign w:val="top"/>
          </w:tcPr>
          <w:p>
            <w:pPr>
              <w:pStyle w:val="6"/>
              <w:spacing w:before="56" w:line="202" w:lineRule="auto"/>
              <w:ind w:left="3114"/>
              <w:rPr>
                <w:sz w:val="29"/>
                <w:szCs w:val="29"/>
              </w:rPr>
            </w:pPr>
            <w:r>
              <w:rPr>
                <w:spacing w:val="1"/>
                <w:sz w:val="29"/>
                <w:szCs w:val="29"/>
              </w:rPr>
              <w:t>收入支出决算总表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722" w:type="dxa"/>
            <w:vAlign w:val="top"/>
          </w:tcPr>
          <w:p>
            <w:pPr>
              <w:spacing w:line="160" w:lineRule="exact"/>
              <w:rPr>
                <w:rFonts w:ascii="Arial"/>
                <w:sz w:val="13"/>
              </w:rPr>
            </w:pPr>
          </w:p>
        </w:tc>
        <w:tc>
          <w:tcPr>
            <w:tcW w:w="469" w:type="dxa"/>
            <w:vAlign w:val="top"/>
          </w:tcPr>
          <w:p>
            <w:pPr>
              <w:spacing w:line="160" w:lineRule="exact"/>
              <w:rPr>
                <w:rFonts w:ascii="Arial"/>
                <w:sz w:val="13"/>
              </w:rPr>
            </w:pPr>
          </w:p>
        </w:tc>
        <w:tc>
          <w:tcPr>
            <w:tcW w:w="1269" w:type="dxa"/>
            <w:vAlign w:val="top"/>
          </w:tcPr>
          <w:p>
            <w:pPr>
              <w:spacing w:line="160" w:lineRule="exact"/>
              <w:rPr>
                <w:rFonts w:ascii="Arial"/>
                <w:sz w:val="13"/>
              </w:rPr>
            </w:pPr>
          </w:p>
        </w:tc>
        <w:tc>
          <w:tcPr>
            <w:tcW w:w="2457" w:type="dxa"/>
            <w:vAlign w:val="top"/>
          </w:tcPr>
          <w:p>
            <w:pPr>
              <w:spacing w:line="160" w:lineRule="exact"/>
              <w:rPr>
                <w:rFonts w:ascii="Arial"/>
                <w:sz w:val="13"/>
              </w:rPr>
            </w:pPr>
          </w:p>
        </w:tc>
        <w:tc>
          <w:tcPr>
            <w:tcW w:w="469" w:type="dxa"/>
            <w:vAlign w:val="top"/>
          </w:tcPr>
          <w:p>
            <w:pPr>
              <w:spacing w:line="160" w:lineRule="exact"/>
              <w:rPr>
                <w:rFonts w:ascii="Arial"/>
                <w:sz w:val="13"/>
              </w:rPr>
            </w:pPr>
          </w:p>
        </w:tc>
        <w:tc>
          <w:tcPr>
            <w:tcW w:w="1243" w:type="dxa"/>
            <w:vAlign w:val="top"/>
          </w:tcPr>
          <w:p>
            <w:pPr>
              <w:pStyle w:val="6"/>
              <w:spacing w:before="8" w:line="164" w:lineRule="auto"/>
              <w:ind w:right="2"/>
              <w:jc w:val="right"/>
            </w:pPr>
            <w:r>
              <w:rPr>
                <w:spacing w:val="-2"/>
              </w:rPr>
              <w:t>公开01表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2722" w:type="dxa"/>
            <w:vAlign w:val="top"/>
          </w:tcPr>
          <w:p>
            <w:pPr>
              <w:pStyle w:val="6"/>
              <w:spacing w:before="18" w:line="165" w:lineRule="auto"/>
              <w:ind w:left="15"/>
            </w:pPr>
            <w:r>
              <w:rPr>
                <w:spacing w:val="-1"/>
              </w:rPr>
              <w:t>编制单位：</w:t>
            </w:r>
          </w:p>
        </w:tc>
        <w:tc>
          <w:tcPr>
            <w:tcW w:w="469" w:type="dxa"/>
            <w:vAlign w:val="top"/>
          </w:tcPr>
          <w:p>
            <w:pPr>
              <w:spacing w:line="170" w:lineRule="exact"/>
              <w:rPr>
                <w:rFonts w:ascii="Arial"/>
                <w:sz w:val="14"/>
              </w:rPr>
            </w:pPr>
          </w:p>
        </w:tc>
        <w:tc>
          <w:tcPr>
            <w:tcW w:w="1269" w:type="dxa"/>
            <w:vAlign w:val="top"/>
          </w:tcPr>
          <w:p>
            <w:pPr>
              <w:pStyle w:val="6"/>
              <w:spacing w:before="18" w:line="165" w:lineRule="auto"/>
              <w:ind w:left="284"/>
            </w:pPr>
            <w:r>
              <w:rPr>
                <w:spacing w:val="-2"/>
              </w:rPr>
              <w:t>2022年度</w:t>
            </w:r>
          </w:p>
        </w:tc>
        <w:tc>
          <w:tcPr>
            <w:tcW w:w="2457" w:type="dxa"/>
            <w:vAlign w:val="top"/>
          </w:tcPr>
          <w:p>
            <w:pPr>
              <w:spacing w:line="170" w:lineRule="exact"/>
              <w:rPr>
                <w:rFonts w:ascii="Arial"/>
                <w:sz w:val="14"/>
              </w:rPr>
            </w:pPr>
          </w:p>
        </w:tc>
        <w:tc>
          <w:tcPr>
            <w:tcW w:w="469" w:type="dxa"/>
            <w:vAlign w:val="top"/>
          </w:tcPr>
          <w:p>
            <w:pPr>
              <w:spacing w:line="170" w:lineRule="exact"/>
              <w:rPr>
                <w:rFonts w:ascii="Arial"/>
                <w:sz w:val="14"/>
              </w:rPr>
            </w:pPr>
          </w:p>
        </w:tc>
        <w:tc>
          <w:tcPr>
            <w:tcW w:w="1243" w:type="dxa"/>
            <w:vAlign w:val="top"/>
          </w:tcPr>
          <w:p>
            <w:pPr>
              <w:pStyle w:val="6"/>
              <w:spacing w:before="18" w:line="165" w:lineRule="auto"/>
              <w:jc w:val="right"/>
            </w:pPr>
            <w:r>
              <w:rPr>
                <w:spacing w:val="-1"/>
              </w:rPr>
              <w:t>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4460" w:type="dxa"/>
            <w:gridSpan w:val="3"/>
            <w:vAlign w:val="top"/>
          </w:tcPr>
          <w:p>
            <w:pPr>
              <w:pStyle w:val="6"/>
              <w:spacing w:before="18" w:line="165" w:lineRule="auto"/>
              <w:ind w:left="1824"/>
            </w:pPr>
            <w:r>
              <w:rPr>
                <w:spacing w:val="-7"/>
              </w:rPr>
              <w:t>收</w:t>
            </w:r>
            <w:r>
              <w:rPr>
                <w:spacing w:val="12"/>
              </w:rPr>
              <w:t xml:space="preserve">     </w:t>
            </w:r>
            <w:r>
              <w:rPr>
                <w:spacing w:val="-7"/>
              </w:rPr>
              <w:t>入</w:t>
            </w:r>
          </w:p>
        </w:tc>
        <w:tc>
          <w:tcPr>
            <w:tcW w:w="4169" w:type="dxa"/>
            <w:gridSpan w:val="3"/>
            <w:vAlign w:val="top"/>
          </w:tcPr>
          <w:p>
            <w:pPr>
              <w:pStyle w:val="6"/>
              <w:spacing w:before="18" w:line="164" w:lineRule="auto"/>
              <w:ind w:left="1674"/>
            </w:pPr>
            <w:r>
              <w:rPr>
                <w:spacing w:val="-4"/>
              </w:rPr>
              <w:t>支</w:t>
            </w:r>
            <w:r>
              <w:rPr>
                <w:spacing w:val="12"/>
              </w:rPr>
              <w:t xml:space="preserve">     </w:t>
            </w:r>
            <w:r>
              <w:rPr>
                <w:spacing w:val="-4"/>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2722" w:type="dxa"/>
            <w:vAlign w:val="top"/>
          </w:tcPr>
          <w:p>
            <w:pPr>
              <w:pStyle w:val="6"/>
              <w:spacing w:before="18" w:line="185" w:lineRule="auto"/>
              <w:ind w:left="1015"/>
            </w:pPr>
            <w:r>
              <w:rPr>
                <w:spacing w:val="-5"/>
              </w:rPr>
              <w:t>项</w:t>
            </w:r>
            <w:r>
              <w:rPr>
                <w:spacing w:val="7"/>
              </w:rPr>
              <w:t xml:space="preserve">     </w:t>
            </w:r>
            <w:r>
              <w:rPr>
                <w:spacing w:val="-5"/>
              </w:rPr>
              <w:t>目</w:t>
            </w:r>
          </w:p>
        </w:tc>
        <w:tc>
          <w:tcPr>
            <w:tcW w:w="469" w:type="dxa"/>
            <w:vAlign w:val="top"/>
          </w:tcPr>
          <w:p>
            <w:pPr>
              <w:pStyle w:val="6"/>
              <w:spacing w:before="17" w:line="186" w:lineRule="auto"/>
              <w:ind w:left="53"/>
            </w:pPr>
            <w:r>
              <w:rPr>
                <w:spacing w:val="-3"/>
              </w:rPr>
              <w:t>行次</w:t>
            </w:r>
          </w:p>
        </w:tc>
        <w:tc>
          <w:tcPr>
            <w:tcW w:w="1269" w:type="dxa"/>
            <w:vAlign w:val="top"/>
          </w:tcPr>
          <w:p>
            <w:pPr>
              <w:pStyle w:val="6"/>
              <w:spacing w:before="17" w:line="186" w:lineRule="auto"/>
              <w:ind w:left="373"/>
            </w:pPr>
            <w:r>
              <w:rPr>
                <w:spacing w:val="-3"/>
              </w:rPr>
              <w:t>决算数</w:t>
            </w:r>
          </w:p>
        </w:tc>
        <w:tc>
          <w:tcPr>
            <w:tcW w:w="2457" w:type="dxa"/>
            <w:vAlign w:val="top"/>
          </w:tcPr>
          <w:p>
            <w:pPr>
              <w:pStyle w:val="6"/>
              <w:spacing w:before="17" w:line="186" w:lineRule="auto"/>
              <w:ind w:left="495"/>
            </w:pPr>
            <w:r>
              <w:rPr>
                <w:spacing w:val="4"/>
              </w:rPr>
              <w:t>项目(按功能分类)</w:t>
            </w:r>
          </w:p>
        </w:tc>
        <w:tc>
          <w:tcPr>
            <w:tcW w:w="469" w:type="dxa"/>
            <w:vAlign w:val="top"/>
          </w:tcPr>
          <w:p>
            <w:pPr>
              <w:pStyle w:val="6"/>
              <w:spacing w:before="17" w:line="186" w:lineRule="auto"/>
              <w:ind w:left="58"/>
            </w:pPr>
            <w:r>
              <w:rPr>
                <w:spacing w:val="-3"/>
              </w:rPr>
              <w:t>行次</w:t>
            </w:r>
          </w:p>
        </w:tc>
        <w:tc>
          <w:tcPr>
            <w:tcW w:w="1243" w:type="dxa"/>
            <w:vAlign w:val="top"/>
          </w:tcPr>
          <w:p>
            <w:pPr>
              <w:pStyle w:val="6"/>
              <w:spacing w:before="17" w:line="186" w:lineRule="auto"/>
              <w:ind w:left="379"/>
            </w:pPr>
            <w:r>
              <w:rPr>
                <w:spacing w:val="-3"/>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2722" w:type="dxa"/>
            <w:vAlign w:val="top"/>
          </w:tcPr>
          <w:p>
            <w:pPr>
              <w:pStyle w:val="6"/>
              <w:spacing w:before="18" w:line="186" w:lineRule="auto"/>
              <w:ind w:left="1024"/>
            </w:pPr>
            <w:r>
              <w:rPr>
                <w:spacing w:val="-4"/>
              </w:rPr>
              <w:t>栏</w:t>
            </w:r>
            <w:r>
              <w:rPr>
                <w:spacing w:val="6"/>
              </w:rPr>
              <w:t xml:space="preserve">    </w:t>
            </w:r>
            <w:r>
              <w:rPr>
                <w:spacing w:val="-4"/>
              </w:rPr>
              <w:t>次</w:t>
            </w:r>
          </w:p>
        </w:tc>
        <w:tc>
          <w:tcPr>
            <w:tcW w:w="469" w:type="dxa"/>
            <w:vAlign w:val="top"/>
          </w:tcPr>
          <w:p>
            <w:pPr>
              <w:spacing w:line="190" w:lineRule="exact"/>
              <w:rPr>
                <w:rFonts w:ascii="Arial"/>
                <w:sz w:val="16"/>
              </w:rPr>
            </w:pPr>
          </w:p>
        </w:tc>
        <w:tc>
          <w:tcPr>
            <w:tcW w:w="1269" w:type="dxa"/>
            <w:vAlign w:val="top"/>
          </w:tcPr>
          <w:p>
            <w:pPr>
              <w:pStyle w:val="6"/>
              <w:spacing w:before="62" w:line="128" w:lineRule="exact"/>
              <w:ind w:left="583"/>
            </w:pPr>
            <w:r>
              <w:rPr>
                <w:position w:val="-2"/>
              </w:rPr>
              <w:t>1</w:t>
            </w:r>
          </w:p>
        </w:tc>
        <w:tc>
          <w:tcPr>
            <w:tcW w:w="2457" w:type="dxa"/>
            <w:vAlign w:val="top"/>
          </w:tcPr>
          <w:p>
            <w:pPr>
              <w:pStyle w:val="6"/>
              <w:spacing w:before="18" w:line="186" w:lineRule="auto"/>
              <w:ind w:left="885"/>
            </w:pPr>
            <w:r>
              <w:rPr>
                <w:spacing w:val="-4"/>
              </w:rPr>
              <w:t>栏</w:t>
            </w:r>
            <w:r>
              <w:rPr>
                <w:spacing w:val="16"/>
              </w:rPr>
              <w:t xml:space="preserve">    </w:t>
            </w:r>
            <w:r>
              <w:rPr>
                <w:spacing w:val="-4"/>
              </w:rPr>
              <w:t>次</w:t>
            </w:r>
          </w:p>
        </w:tc>
        <w:tc>
          <w:tcPr>
            <w:tcW w:w="469" w:type="dxa"/>
            <w:vAlign w:val="top"/>
          </w:tcPr>
          <w:p>
            <w:pPr>
              <w:spacing w:line="190" w:lineRule="exact"/>
              <w:rPr>
                <w:rFonts w:ascii="Arial"/>
                <w:sz w:val="16"/>
              </w:rPr>
            </w:pPr>
          </w:p>
        </w:tc>
        <w:tc>
          <w:tcPr>
            <w:tcW w:w="1243" w:type="dxa"/>
            <w:vAlign w:val="top"/>
          </w:tcPr>
          <w:p>
            <w:pPr>
              <w:pStyle w:val="6"/>
              <w:spacing w:before="62" w:line="128" w:lineRule="exact"/>
              <w:ind w:left="558"/>
            </w:pPr>
            <w:r>
              <w:rPr>
                <w:position w:val="-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 w:hRule="atLeast"/>
        </w:trPr>
        <w:tc>
          <w:tcPr>
            <w:tcW w:w="2722" w:type="dxa"/>
            <w:vAlign w:val="top"/>
          </w:tcPr>
          <w:p>
            <w:pPr>
              <w:pStyle w:val="6"/>
              <w:spacing w:before="18" w:line="197" w:lineRule="auto"/>
              <w:ind w:left="15"/>
            </w:pPr>
            <w:r>
              <w:rPr>
                <w:spacing w:val="-1"/>
              </w:rPr>
              <w:t>一、一般公共预算财政拨款收入</w:t>
            </w:r>
          </w:p>
        </w:tc>
        <w:tc>
          <w:tcPr>
            <w:tcW w:w="469" w:type="dxa"/>
            <w:vAlign w:val="top"/>
          </w:tcPr>
          <w:p>
            <w:pPr>
              <w:spacing w:line="200" w:lineRule="exact"/>
              <w:rPr>
                <w:rFonts w:ascii="Arial"/>
                <w:sz w:val="17"/>
              </w:rPr>
            </w:pPr>
          </w:p>
        </w:tc>
        <w:tc>
          <w:tcPr>
            <w:tcW w:w="1269" w:type="dxa"/>
            <w:vAlign w:val="top"/>
          </w:tcPr>
          <w:p>
            <w:pPr>
              <w:spacing w:line="200" w:lineRule="exact"/>
              <w:rPr>
                <w:rFonts w:hint="default" w:ascii="Arial" w:eastAsia="宋体"/>
                <w:sz w:val="17"/>
                <w:lang w:val="en-US" w:eastAsia="zh-CN"/>
              </w:rPr>
            </w:pPr>
            <w:r>
              <w:rPr>
                <w:rFonts w:hint="eastAsia" w:eastAsia="宋体"/>
                <w:sz w:val="17"/>
                <w:lang w:val="en-US" w:eastAsia="zh-CN"/>
              </w:rPr>
              <w:t>2828.22</w:t>
            </w:r>
          </w:p>
        </w:tc>
        <w:tc>
          <w:tcPr>
            <w:tcW w:w="2457" w:type="dxa"/>
            <w:vAlign w:val="top"/>
          </w:tcPr>
          <w:p>
            <w:pPr>
              <w:pStyle w:val="6"/>
              <w:spacing w:before="18" w:line="197" w:lineRule="auto"/>
              <w:ind w:left="15"/>
            </w:pPr>
            <w:r>
              <w:rPr>
                <w:spacing w:val="2"/>
              </w:rPr>
              <w:t>一、一般公共服务支出</w:t>
            </w:r>
          </w:p>
        </w:tc>
        <w:tc>
          <w:tcPr>
            <w:tcW w:w="469" w:type="dxa"/>
            <w:vAlign w:val="top"/>
          </w:tcPr>
          <w:p>
            <w:pPr>
              <w:pStyle w:val="6"/>
              <w:spacing w:before="62" w:line="138" w:lineRule="exact"/>
              <w:ind w:left="148"/>
            </w:pPr>
            <w:r>
              <w:rPr>
                <w:spacing w:val="-3"/>
                <w:position w:val="-2"/>
              </w:rPr>
              <w:t>32</w:t>
            </w:r>
          </w:p>
        </w:tc>
        <w:tc>
          <w:tcPr>
            <w:tcW w:w="1243" w:type="dxa"/>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2722" w:type="dxa"/>
            <w:vAlign w:val="top"/>
          </w:tcPr>
          <w:p>
            <w:pPr>
              <w:pStyle w:val="6"/>
              <w:spacing w:before="18" w:line="185" w:lineRule="auto"/>
              <w:ind w:left="15"/>
            </w:pPr>
            <w:r>
              <w:rPr>
                <w:spacing w:val="-1"/>
              </w:rPr>
              <w:t>二、政府性基金预算财政拨款收入</w:t>
            </w:r>
          </w:p>
        </w:tc>
        <w:tc>
          <w:tcPr>
            <w:tcW w:w="469" w:type="dxa"/>
            <w:vAlign w:val="top"/>
          </w:tcPr>
          <w:p>
            <w:pPr>
              <w:pStyle w:val="6"/>
              <w:spacing w:before="62" w:line="127" w:lineRule="exact"/>
              <w:ind w:left="183"/>
            </w:pPr>
            <w:r>
              <w:rPr>
                <w:position w:val="-2"/>
              </w:rPr>
              <w:t>2</w:t>
            </w:r>
          </w:p>
        </w:tc>
        <w:tc>
          <w:tcPr>
            <w:tcW w:w="1269" w:type="dxa"/>
            <w:vAlign w:val="top"/>
          </w:tcPr>
          <w:p>
            <w:pPr>
              <w:spacing w:line="189" w:lineRule="exact"/>
              <w:rPr>
                <w:rFonts w:hint="default" w:ascii="Arial" w:eastAsia="宋体"/>
                <w:sz w:val="16"/>
                <w:lang w:val="en-US" w:eastAsia="zh-CN"/>
              </w:rPr>
            </w:pPr>
            <w:r>
              <w:rPr>
                <w:rFonts w:hint="eastAsia" w:eastAsia="宋体"/>
                <w:sz w:val="16"/>
                <w:lang w:val="en-US" w:eastAsia="zh-CN"/>
              </w:rPr>
              <w:t>1146.99</w:t>
            </w:r>
          </w:p>
        </w:tc>
        <w:tc>
          <w:tcPr>
            <w:tcW w:w="2457" w:type="dxa"/>
            <w:vAlign w:val="top"/>
          </w:tcPr>
          <w:p>
            <w:pPr>
              <w:pStyle w:val="6"/>
              <w:spacing w:before="19" w:line="184" w:lineRule="auto"/>
              <w:ind w:left="15"/>
            </w:pPr>
            <w:r>
              <w:rPr>
                <w:spacing w:val="3"/>
              </w:rPr>
              <w:t>二、外交支出</w:t>
            </w:r>
          </w:p>
        </w:tc>
        <w:tc>
          <w:tcPr>
            <w:tcW w:w="469" w:type="dxa"/>
            <w:vAlign w:val="top"/>
          </w:tcPr>
          <w:p>
            <w:pPr>
              <w:pStyle w:val="6"/>
              <w:spacing w:before="62" w:line="127" w:lineRule="exact"/>
              <w:ind w:left="148"/>
            </w:pPr>
            <w:r>
              <w:rPr>
                <w:spacing w:val="-3"/>
                <w:position w:val="-2"/>
              </w:rPr>
              <w:t>33</w:t>
            </w:r>
          </w:p>
        </w:tc>
        <w:tc>
          <w:tcPr>
            <w:tcW w:w="1243" w:type="dxa"/>
            <w:vAlign w:val="top"/>
          </w:tcPr>
          <w:p>
            <w:pPr>
              <w:spacing w:line="189"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2722" w:type="dxa"/>
            <w:vAlign w:val="top"/>
          </w:tcPr>
          <w:p>
            <w:pPr>
              <w:pStyle w:val="6"/>
              <w:spacing w:before="19" w:line="185" w:lineRule="auto"/>
              <w:jc w:val="right"/>
            </w:pPr>
            <w:r>
              <w:rPr>
                <w:spacing w:val="-2"/>
              </w:rPr>
              <w:t>三、国有资本经营预算财政拨款收入</w:t>
            </w:r>
          </w:p>
        </w:tc>
        <w:tc>
          <w:tcPr>
            <w:tcW w:w="469" w:type="dxa"/>
            <w:vAlign w:val="top"/>
          </w:tcPr>
          <w:p>
            <w:pPr>
              <w:pStyle w:val="6"/>
              <w:spacing w:before="63" w:line="126" w:lineRule="exact"/>
              <w:ind w:left="183"/>
            </w:pPr>
            <w:r>
              <w:rPr>
                <w:position w:val="-2"/>
              </w:rPr>
              <w:t>3</w:t>
            </w:r>
          </w:p>
        </w:tc>
        <w:tc>
          <w:tcPr>
            <w:tcW w:w="1269" w:type="dxa"/>
            <w:vAlign w:val="top"/>
          </w:tcPr>
          <w:p>
            <w:pPr>
              <w:spacing w:line="190" w:lineRule="exact"/>
              <w:rPr>
                <w:rFonts w:ascii="Arial"/>
                <w:sz w:val="16"/>
              </w:rPr>
            </w:pPr>
          </w:p>
        </w:tc>
        <w:tc>
          <w:tcPr>
            <w:tcW w:w="2457" w:type="dxa"/>
            <w:vAlign w:val="top"/>
          </w:tcPr>
          <w:p>
            <w:pPr>
              <w:pStyle w:val="6"/>
              <w:spacing w:before="20" w:line="184" w:lineRule="auto"/>
              <w:ind w:left="15"/>
            </w:pPr>
            <w:r>
              <w:rPr>
                <w:spacing w:val="3"/>
              </w:rPr>
              <w:t>三、国防支出</w:t>
            </w:r>
          </w:p>
        </w:tc>
        <w:tc>
          <w:tcPr>
            <w:tcW w:w="469" w:type="dxa"/>
            <w:vAlign w:val="top"/>
          </w:tcPr>
          <w:p>
            <w:pPr>
              <w:pStyle w:val="6"/>
              <w:spacing w:before="63" w:line="126" w:lineRule="exact"/>
              <w:ind w:left="148"/>
            </w:pPr>
            <w:r>
              <w:rPr>
                <w:spacing w:val="-3"/>
                <w:position w:val="-2"/>
              </w:rPr>
              <w:t>34</w:t>
            </w:r>
          </w:p>
        </w:tc>
        <w:tc>
          <w:tcPr>
            <w:tcW w:w="1243" w:type="dxa"/>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722" w:type="dxa"/>
            <w:vAlign w:val="top"/>
          </w:tcPr>
          <w:p>
            <w:pPr>
              <w:pStyle w:val="6"/>
              <w:spacing w:before="29" w:line="196" w:lineRule="auto"/>
              <w:ind w:left="15"/>
            </w:pPr>
            <w:r>
              <w:t>四、上级补助收入</w:t>
            </w:r>
          </w:p>
        </w:tc>
        <w:tc>
          <w:tcPr>
            <w:tcW w:w="469" w:type="dxa"/>
            <w:vAlign w:val="top"/>
          </w:tcPr>
          <w:p>
            <w:pPr>
              <w:pStyle w:val="6"/>
              <w:spacing w:before="73" w:line="136" w:lineRule="exact"/>
              <w:ind w:left="183"/>
            </w:pPr>
            <w:r>
              <w:rPr>
                <w:position w:val="-2"/>
              </w:rPr>
              <w:t>4</w:t>
            </w:r>
          </w:p>
        </w:tc>
        <w:tc>
          <w:tcPr>
            <w:tcW w:w="1269" w:type="dxa"/>
            <w:vAlign w:val="top"/>
          </w:tcPr>
          <w:p>
            <w:pPr>
              <w:spacing w:line="210" w:lineRule="exact"/>
              <w:rPr>
                <w:rFonts w:ascii="Arial"/>
                <w:sz w:val="18"/>
              </w:rPr>
            </w:pPr>
          </w:p>
        </w:tc>
        <w:tc>
          <w:tcPr>
            <w:tcW w:w="2457" w:type="dxa"/>
            <w:vAlign w:val="top"/>
          </w:tcPr>
          <w:p>
            <w:pPr>
              <w:pStyle w:val="6"/>
              <w:spacing w:before="29" w:line="196" w:lineRule="auto"/>
              <w:ind w:left="15"/>
            </w:pPr>
            <w:r>
              <w:rPr>
                <w:spacing w:val="2"/>
              </w:rPr>
              <w:t>四、公共安全支出</w:t>
            </w:r>
          </w:p>
        </w:tc>
        <w:tc>
          <w:tcPr>
            <w:tcW w:w="469" w:type="dxa"/>
            <w:vAlign w:val="top"/>
          </w:tcPr>
          <w:p>
            <w:pPr>
              <w:pStyle w:val="6"/>
              <w:spacing w:before="73" w:line="136" w:lineRule="exact"/>
              <w:ind w:left="148"/>
            </w:pPr>
            <w:r>
              <w:rPr>
                <w:spacing w:val="-3"/>
                <w:position w:val="-2"/>
              </w:rPr>
              <w:t>35</w:t>
            </w:r>
          </w:p>
        </w:tc>
        <w:tc>
          <w:tcPr>
            <w:tcW w:w="1243"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2722" w:type="dxa"/>
            <w:vAlign w:val="top"/>
          </w:tcPr>
          <w:p>
            <w:pPr>
              <w:pStyle w:val="6"/>
              <w:spacing w:before="19" w:line="184" w:lineRule="auto"/>
              <w:ind w:left="15"/>
            </w:pPr>
            <w:r>
              <w:rPr>
                <w:spacing w:val="-2"/>
              </w:rPr>
              <w:t>五、事业收入</w:t>
            </w:r>
          </w:p>
        </w:tc>
        <w:tc>
          <w:tcPr>
            <w:tcW w:w="469" w:type="dxa"/>
            <w:vAlign w:val="top"/>
          </w:tcPr>
          <w:p>
            <w:pPr>
              <w:pStyle w:val="6"/>
              <w:spacing w:before="65" w:line="124" w:lineRule="exact"/>
              <w:ind w:left="183"/>
            </w:pPr>
            <w:r>
              <w:rPr>
                <w:position w:val="-2"/>
              </w:rPr>
              <w:t>5</w:t>
            </w:r>
          </w:p>
        </w:tc>
        <w:tc>
          <w:tcPr>
            <w:tcW w:w="1269" w:type="dxa"/>
            <w:vAlign w:val="top"/>
          </w:tcPr>
          <w:p>
            <w:pPr>
              <w:spacing w:line="189" w:lineRule="exact"/>
              <w:rPr>
                <w:rFonts w:ascii="Arial"/>
                <w:sz w:val="16"/>
              </w:rPr>
            </w:pPr>
          </w:p>
        </w:tc>
        <w:tc>
          <w:tcPr>
            <w:tcW w:w="2457" w:type="dxa"/>
            <w:vAlign w:val="top"/>
          </w:tcPr>
          <w:p>
            <w:pPr>
              <w:pStyle w:val="6"/>
              <w:spacing w:before="19" w:line="184" w:lineRule="auto"/>
              <w:ind w:left="15"/>
            </w:pPr>
            <w:r>
              <w:rPr>
                <w:spacing w:val="3"/>
              </w:rPr>
              <w:t>五、教育支出</w:t>
            </w:r>
          </w:p>
        </w:tc>
        <w:tc>
          <w:tcPr>
            <w:tcW w:w="469" w:type="dxa"/>
            <w:vAlign w:val="top"/>
          </w:tcPr>
          <w:p>
            <w:pPr>
              <w:pStyle w:val="6"/>
              <w:spacing w:before="63" w:line="126" w:lineRule="exact"/>
              <w:ind w:left="148"/>
            </w:pPr>
            <w:r>
              <w:rPr>
                <w:spacing w:val="-3"/>
                <w:position w:val="-2"/>
              </w:rPr>
              <w:t>36</w:t>
            </w:r>
          </w:p>
        </w:tc>
        <w:tc>
          <w:tcPr>
            <w:tcW w:w="1243" w:type="dxa"/>
            <w:vAlign w:val="top"/>
          </w:tcPr>
          <w:p>
            <w:pPr>
              <w:spacing w:line="189"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722" w:type="dxa"/>
            <w:vAlign w:val="top"/>
          </w:tcPr>
          <w:p>
            <w:pPr>
              <w:pStyle w:val="6"/>
              <w:spacing w:before="30" w:line="195" w:lineRule="auto"/>
              <w:ind w:left="15"/>
            </w:pPr>
            <w:r>
              <w:rPr>
                <w:spacing w:val="-2"/>
              </w:rPr>
              <w:t>六、经营收入</w:t>
            </w:r>
          </w:p>
        </w:tc>
        <w:tc>
          <w:tcPr>
            <w:tcW w:w="469" w:type="dxa"/>
            <w:vAlign w:val="top"/>
          </w:tcPr>
          <w:p>
            <w:pPr>
              <w:pStyle w:val="6"/>
              <w:spacing w:before="74" w:line="136" w:lineRule="exact"/>
              <w:ind w:left="183"/>
            </w:pPr>
            <w:r>
              <w:rPr>
                <w:position w:val="-2"/>
              </w:rPr>
              <w:t>6</w:t>
            </w:r>
          </w:p>
        </w:tc>
        <w:tc>
          <w:tcPr>
            <w:tcW w:w="1269" w:type="dxa"/>
            <w:vAlign w:val="top"/>
          </w:tcPr>
          <w:p>
            <w:pPr>
              <w:spacing w:line="210" w:lineRule="exact"/>
              <w:rPr>
                <w:rFonts w:ascii="Arial"/>
                <w:sz w:val="18"/>
              </w:rPr>
            </w:pPr>
          </w:p>
        </w:tc>
        <w:tc>
          <w:tcPr>
            <w:tcW w:w="2457" w:type="dxa"/>
            <w:vAlign w:val="top"/>
          </w:tcPr>
          <w:p>
            <w:pPr>
              <w:pStyle w:val="6"/>
              <w:spacing w:before="30" w:line="195" w:lineRule="auto"/>
              <w:ind w:left="15"/>
            </w:pPr>
            <w:r>
              <w:rPr>
                <w:spacing w:val="2"/>
              </w:rPr>
              <w:t>六、科学技术支出</w:t>
            </w:r>
          </w:p>
        </w:tc>
        <w:tc>
          <w:tcPr>
            <w:tcW w:w="469" w:type="dxa"/>
            <w:vAlign w:val="top"/>
          </w:tcPr>
          <w:p>
            <w:pPr>
              <w:pStyle w:val="6"/>
              <w:spacing w:before="74" w:line="136" w:lineRule="exact"/>
              <w:ind w:left="148"/>
            </w:pPr>
            <w:r>
              <w:rPr>
                <w:spacing w:val="-3"/>
                <w:position w:val="-2"/>
              </w:rPr>
              <w:t>37</w:t>
            </w:r>
          </w:p>
        </w:tc>
        <w:tc>
          <w:tcPr>
            <w:tcW w:w="1243"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2722" w:type="dxa"/>
            <w:vAlign w:val="top"/>
          </w:tcPr>
          <w:p>
            <w:pPr>
              <w:pStyle w:val="6"/>
              <w:spacing w:before="20" w:line="183" w:lineRule="auto"/>
              <w:ind w:left="15"/>
            </w:pPr>
            <w:r>
              <w:rPr>
                <w:spacing w:val="-1"/>
              </w:rPr>
              <w:t>七、附属单位上缴收入</w:t>
            </w:r>
          </w:p>
        </w:tc>
        <w:tc>
          <w:tcPr>
            <w:tcW w:w="469" w:type="dxa"/>
            <w:vAlign w:val="top"/>
          </w:tcPr>
          <w:p>
            <w:pPr>
              <w:pStyle w:val="6"/>
              <w:spacing w:before="66" w:line="123" w:lineRule="exact"/>
              <w:ind w:left="183"/>
            </w:pPr>
            <w:r>
              <w:rPr>
                <w:position w:val="-2"/>
              </w:rPr>
              <w:t>7</w:t>
            </w:r>
          </w:p>
        </w:tc>
        <w:tc>
          <w:tcPr>
            <w:tcW w:w="1269" w:type="dxa"/>
            <w:vAlign w:val="top"/>
          </w:tcPr>
          <w:p>
            <w:pPr>
              <w:spacing w:line="189" w:lineRule="exact"/>
              <w:rPr>
                <w:rFonts w:ascii="Arial"/>
                <w:sz w:val="16"/>
              </w:rPr>
            </w:pPr>
          </w:p>
        </w:tc>
        <w:tc>
          <w:tcPr>
            <w:tcW w:w="2457" w:type="dxa"/>
            <w:vAlign w:val="top"/>
          </w:tcPr>
          <w:p>
            <w:pPr>
              <w:pStyle w:val="6"/>
              <w:spacing w:before="20" w:line="183" w:lineRule="auto"/>
              <w:ind w:left="15"/>
            </w:pPr>
            <w:r>
              <w:rPr>
                <w:spacing w:val="1"/>
              </w:rPr>
              <w:t>七、文化旅游体育与传媒支出</w:t>
            </w:r>
          </w:p>
        </w:tc>
        <w:tc>
          <w:tcPr>
            <w:tcW w:w="469" w:type="dxa"/>
            <w:vAlign w:val="top"/>
          </w:tcPr>
          <w:p>
            <w:pPr>
              <w:pStyle w:val="6"/>
              <w:spacing w:before="64" w:line="125" w:lineRule="exact"/>
              <w:ind w:left="148"/>
            </w:pPr>
            <w:r>
              <w:rPr>
                <w:spacing w:val="-3"/>
                <w:position w:val="-2"/>
              </w:rPr>
              <w:t>38</w:t>
            </w:r>
          </w:p>
        </w:tc>
        <w:tc>
          <w:tcPr>
            <w:tcW w:w="1243" w:type="dxa"/>
            <w:vAlign w:val="top"/>
          </w:tcPr>
          <w:p>
            <w:pPr>
              <w:spacing w:line="189"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2722" w:type="dxa"/>
            <w:vAlign w:val="top"/>
          </w:tcPr>
          <w:p>
            <w:pPr>
              <w:pStyle w:val="6"/>
              <w:spacing w:before="21" w:line="183" w:lineRule="auto"/>
              <w:ind w:left="15"/>
            </w:pPr>
            <w:r>
              <w:rPr>
                <w:spacing w:val="-2"/>
              </w:rPr>
              <w:t>八、其他收入</w:t>
            </w:r>
          </w:p>
        </w:tc>
        <w:tc>
          <w:tcPr>
            <w:tcW w:w="469" w:type="dxa"/>
            <w:vAlign w:val="top"/>
          </w:tcPr>
          <w:p>
            <w:pPr>
              <w:pStyle w:val="6"/>
              <w:spacing w:before="65" w:line="125" w:lineRule="exact"/>
              <w:ind w:left="183"/>
            </w:pPr>
            <w:r>
              <w:rPr>
                <w:position w:val="-2"/>
              </w:rPr>
              <w:t>8</w:t>
            </w:r>
          </w:p>
        </w:tc>
        <w:tc>
          <w:tcPr>
            <w:tcW w:w="1269" w:type="dxa"/>
            <w:vAlign w:val="top"/>
          </w:tcPr>
          <w:p>
            <w:pPr>
              <w:spacing w:line="190" w:lineRule="exact"/>
              <w:rPr>
                <w:rFonts w:hint="default" w:ascii="Arial" w:eastAsia="宋体"/>
                <w:sz w:val="16"/>
                <w:lang w:val="en-US" w:eastAsia="zh-CN"/>
              </w:rPr>
            </w:pPr>
            <w:r>
              <w:rPr>
                <w:rFonts w:hint="eastAsia" w:eastAsia="宋体"/>
                <w:sz w:val="16"/>
                <w:lang w:val="en-US" w:eastAsia="zh-CN"/>
              </w:rPr>
              <w:t>134.89</w:t>
            </w:r>
          </w:p>
        </w:tc>
        <w:tc>
          <w:tcPr>
            <w:tcW w:w="2457" w:type="dxa"/>
            <w:vAlign w:val="top"/>
          </w:tcPr>
          <w:p>
            <w:pPr>
              <w:pStyle w:val="6"/>
              <w:spacing w:before="21" w:line="183" w:lineRule="auto"/>
              <w:ind w:left="15"/>
            </w:pPr>
            <w:r>
              <w:rPr>
                <w:spacing w:val="1"/>
              </w:rPr>
              <w:t>八、社会保障和就业支出</w:t>
            </w:r>
          </w:p>
        </w:tc>
        <w:tc>
          <w:tcPr>
            <w:tcW w:w="469" w:type="dxa"/>
            <w:vAlign w:val="top"/>
          </w:tcPr>
          <w:p>
            <w:pPr>
              <w:pStyle w:val="6"/>
              <w:spacing w:before="65" w:line="125" w:lineRule="exact"/>
              <w:ind w:left="148"/>
            </w:pPr>
            <w:r>
              <w:rPr>
                <w:spacing w:val="-3"/>
                <w:position w:val="-2"/>
              </w:rPr>
              <w:t>39</w:t>
            </w:r>
          </w:p>
        </w:tc>
        <w:tc>
          <w:tcPr>
            <w:tcW w:w="1243" w:type="dxa"/>
            <w:vAlign w:val="top"/>
          </w:tcPr>
          <w:p>
            <w:pPr>
              <w:spacing w:line="190" w:lineRule="exact"/>
              <w:rPr>
                <w:rFonts w:hint="default" w:ascii="Arial" w:eastAsia="宋体"/>
                <w:sz w:val="16"/>
                <w:lang w:val="en-US" w:eastAsia="zh-CN"/>
              </w:rPr>
            </w:pPr>
            <w:r>
              <w:rPr>
                <w:rFonts w:hint="eastAsia" w:eastAsia="宋体"/>
                <w:sz w:val="16"/>
                <w:lang w:val="en-US" w:eastAsia="zh-CN"/>
              </w:rPr>
              <w:t>105.43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2722" w:type="dxa"/>
            <w:vAlign w:val="top"/>
          </w:tcPr>
          <w:p>
            <w:pPr>
              <w:spacing w:line="200" w:lineRule="exact"/>
              <w:rPr>
                <w:rFonts w:ascii="Arial"/>
                <w:sz w:val="17"/>
              </w:rPr>
            </w:pPr>
          </w:p>
        </w:tc>
        <w:tc>
          <w:tcPr>
            <w:tcW w:w="469" w:type="dxa"/>
            <w:vAlign w:val="top"/>
          </w:tcPr>
          <w:p>
            <w:pPr>
              <w:pStyle w:val="6"/>
              <w:spacing w:before="65" w:line="135" w:lineRule="exact"/>
              <w:ind w:left="183"/>
            </w:pPr>
            <w:r>
              <w:rPr>
                <w:position w:val="-2"/>
              </w:rPr>
              <w:t>9</w:t>
            </w:r>
          </w:p>
        </w:tc>
        <w:tc>
          <w:tcPr>
            <w:tcW w:w="1269" w:type="dxa"/>
            <w:vAlign w:val="top"/>
          </w:tcPr>
          <w:p>
            <w:pPr>
              <w:spacing w:line="200" w:lineRule="exact"/>
              <w:rPr>
                <w:rFonts w:ascii="Arial"/>
                <w:sz w:val="17"/>
              </w:rPr>
            </w:pPr>
          </w:p>
        </w:tc>
        <w:tc>
          <w:tcPr>
            <w:tcW w:w="2457" w:type="dxa"/>
            <w:vAlign w:val="top"/>
          </w:tcPr>
          <w:p>
            <w:pPr>
              <w:pStyle w:val="6"/>
              <w:spacing w:before="22" w:line="193" w:lineRule="auto"/>
              <w:ind w:left="15"/>
            </w:pPr>
            <w:r>
              <w:rPr>
                <w:spacing w:val="2"/>
              </w:rPr>
              <w:t>九、卫生健康支出</w:t>
            </w:r>
          </w:p>
        </w:tc>
        <w:tc>
          <w:tcPr>
            <w:tcW w:w="469" w:type="dxa"/>
            <w:vAlign w:val="top"/>
          </w:tcPr>
          <w:p>
            <w:pPr>
              <w:pStyle w:val="6"/>
              <w:spacing w:before="65" w:line="135" w:lineRule="exact"/>
              <w:ind w:left="148"/>
            </w:pPr>
            <w:r>
              <w:rPr>
                <w:spacing w:val="-2"/>
                <w:position w:val="-2"/>
              </w:rPr>
              <w:t>40</w:t>
            </w:r>
          </w:p>
        </w:tc>
        <w:tc>
          <w:tcPr>
            <w:tcW w:w="1243" w:type="dxa"/>
            <w:vAlign w:val="top"/>
          </w:tcPr>
          <w:p>
            <w:pPr>
              <w:spacing w:line="200" w:lineRule="exact"/>
              <w:rPr>
                <w:rFonts w:hint="default" w:ascii="Arial" w:eastAsia="宋体"/>
                <w:sz w:val="17"/>
                <w:lang w:val="en-US" w:eastAsia="zh-CN"/>
              </w:rPr>
            </w:pPr>
            <w:r>
              <w:rPr>
                <w:rFonts w:hint="eastAsia" w:eastAsia="宋体"/>
                <w:sz w:val="17"/>
                <w:lang w:val="en-US" w:eastAsia="zh-CN"/>
              </w:rPr>
              <w:t>35.13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2722" w:type="dxa"/>
            <w:vAlign w:val="top"/>
          </w:tcPr>
          <w:p>
            <w:pPr>
              <w:spacing w:line="189" w:lineRule="exact"/>
              <w:rPr>
                <w:rFonts w:ascii="Arial"/>
                <w:sz w:val="16"/>
              </w:rPr>
            </w:pPr>
          </w:p>
        </w:tc>
        <w:tc>
          <w:tcPr>
            <w:tcW w:w="469" w:type="dxa"/>
            <w:vAlign w:val="top"/>
          </w:tcPr>
          <w:p>
            <w:pPr>
              <w:pStyle w:val="6"/>
              <w:spacing w:before="65" w:line="124" w:lineRule="exact"/>
              <w:ind w:left="143"/>
            </w:pPr>
            <w:r>
              <w:rPr>
                <w:spacing w:val="-5"/>
                <w:position w:val="-2"/>
              </w:rPr>
              <w:t>10</w:t>
            </w:r>
          </w:p>
        </w:tc>
        <w:tc>
          <w:tcPr>
            <w:tcW w:w="1269" w:type="dxa"/>
            <w:vAlign w:val="top"/>
          </w:tcPr>
          <w:p>
            <w:pPr>
              <w:spacing w:line="189" w:lineRule="exact"/>
              <w:rPr>
                <w:rFonts w:ascii="Arial"/>
                <w:sz w:val="16"/>
              </w:rPr>
            </w:pPr>
          </w:p>
        </w:tc>
        <w:tc>
          <w:tcPr>
            <w:tcW w:w="2457" w:type="dxa"/>
            <w:vAlign w:val="top"/>
          </w:tcPr>
          <w:p>
            <w:pPr>
              <w:pStyle w:val="6"/>
              <w:spacing w:before="22" w:line="181" w:lineRule="auto"/>
              <w:ind w:left="15"/>
            </w:pPr>
            <w:r>
              <w:rPr>
                <w:spacing w:val="2"/>
              </w:rPr>
              <w:t>十、节能环保支出</w:t>
            </w:r>
          </w:p>
        </w:tc>
        <w:tc>
          <w:tcPr>
            <w:tcW w:w="469" w:type="dxa"/>
            <w:vAlign w:val="top"/>
          </w:tcPr>
          <w:p>
            <w:pPr>
              <w:pStyle w:val="6"/>
              <w:spacing w:before="65" w:line="124" w:lineRule="exact"/>
              <w:ind w:left="148"/>
            </w:pPr>
            <w:r>
              <w:rPr>
                <w:spacing w:val="-2"/>
                <w:position w:val="-2"/>
              </w:rPr>
              <w:t>41</w:t>
            </w:r>
          </w:p>
        </w:tc>
        <w:tc>
          <w:tcPr>
            <w:tcW w:w="1243" w:type="dxa"/>
            <w:vAlign w:val="top"/>
          </w:tcPr>
          <w:p>
            <w:pPr>
              <w:spacing w:line="189" w:lineRule="exact"/>
              <w:rPr>
                <w:rFonts w:hint="default" w:ascii="Arial" w:eastAsia="宋体"/>
                <w:sz w:val="16"/>
                <w:lang w:val="en-US" w:eastAsia="zh-CN"/>
              </w:rPr>
            </w:pPr>
            <w:r>
              <w:rPr>
                <w:rFonts w:hint="eastAsia" w:eastAsia="宋体"/>
                <w:sz w:val="16"/>
                <w:lang w:val="en-US" w:eastAsia="zh-CN"/>
              </w:rPr>
              <w:t>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2722" w:type="dxa"/>
            <w:vAlign w:val="top"/>
          </w:tcPr>
          <w:p>
            <w:pPr>
              <w:spacing w:line="200" w:lineRule="exact"/>
              <w:rPr>
                <w:rFonts w:ascii="Arial"/>
                <w:sz w:val="17"/>
              </w:rPr>
            </w:pPr>
          </w:p>
        </w:tc>
        <w:tc>
          <w:tcPr>
            <w:tcW w:w="469" w:type="dxa"/>
            <w:vAlign w:val="top"/>
          </w:tcPr>
          <w:p>
            <w:pPr>
              <w:pStyle w:val="6"/>
              <w:spacing w:before="66" w:line="133" w:lineRule="exact"/>
              <w:ind w:left="143"/>
            </w:pPr>
            <w:r>
              <w:rPr>
                <w:spacing w:val="-5"/>
                <w:position w:val="-2"/>
              </w:rPr>
              <w:t>11</w:t>
            </w:r>
          </w:p>
        </w:tc>
        <w:tc>
          <w:tcPr>
            <w:tcW w:w="1269" w:type="dxa"/>
            <w:vAlign w:val="top"/>
          </w:tcPr>
          <w:p>
            <w:pPr>
              <w:spacing w:line="200" w:lineRule="exact"/>
              <w:rPr>
                <w:rFonts w:ascii="Arial"/>
                <w:sz w:val="17"/>
              </w:rPr>
            </w:pPr>
          </w:p>
        </w:tc>
        <w:tc>
          <w:tcPr>
            <w:tcW w:w="2457" w:type="dxa"/>
            <w:vAlign w:val="top"/>
          </w:tcPr>
          <w:p>
            <w:pPr>
              <w:pStyle w:val="6"/>
              <w:spacing w:before="23" w:line="192" w:lineRule="auto"/>
              <w:ind w:left="15"/>
            </w:pPr>
            <w:r>
              <w:rPr>
                <w:spacing w:val="-1"/>
              </w:rPr>
              <w:t>十一、城乡社区支出</w:t>
            </w:r>
          </w:p>
        </w:tc>
        <w:tc>
          <w:tcPr>
            <w:tcW w:w="469" w:type="dxa"/>
            <w:vAlign w:val="top"/>
          </w:tcPr>
          <w:p>
            <w:pPr>
              <w:pStyle w:val="6"/>
              <w:spacing w:before="66" w:line="133" w:lineRule="exact"/>
              <w:ind w:left="148"/>
            </w:pPr>
            <w:r>
              <w:rPr>
                <w:spacing w:val="-2"/>
                <w:position w:val="-2"/>
              </w:rPr>
              <w:t>42</w:t>
            </w:r>
          </w:p>
        </w:tc>
        <w:tc>
          <w:tcPr>
            <w:tcW w:w="1243" w:type="dxa"/>
            <w:vAlign w:val="top"/>
          </w:tcPr>
          <w:p>
            <w:pPr>
              <w:spacing w:line="200" w:lineRule="exact"/>
              <w:rPr>
                <w:rFonts w:hint="default" w:ascii="Arial" w:eastAsia="宋体"/>
                <w:sz w:val="17"/>
                <w:lang w:val="en-US" w:eastAsia="zh-CN"/>
              </w:rPr>
            </w:pPr>
            <w:r>
              <w:rPr>
                <w:rFonts w:hint="eastAsia" w:eastAsia="宋体"/>
                <w:sz w:val="17"/>
                <w:lang w:val="en-US" w:eastAsia="zh-CN"/>
              </w:rPr>
              <w:t>2009.45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2722" w:type="dxa"/>
            <w:vAlign w:val="top"/>
          </w:tcPr>
          <w:p>
            <w:pPr>
              <w:spacing w:line="200" w:lineRule="exact"/>
              <w:rPr>
                <w:rFonts w:ascii="Arial"/>
                <w:sz w:val="17"/>
              </w:rPr>
            </w:pPr>
          </w:p>
        </w:tc>
        <w:tc>
          <w:tcPr>
            <w:tcW w:w="469" w:type="dxa"/>
            <w:vAlign w:val="top"/>
          </w:tcPr>
          <w:p>
            <w:pPr>
              <w:pStyle w:val="6"/>
              <w:spacing w:before="66" w:line="133" w:lineRule="exact"/>
              <w:ind w:left="143"/>
            </w:pPr>
            <w:r>
              <w:rPr>
                <w:spacing w:val="-5"/>
                <w:position w:val="-2"/>
              </w:rPr>
              <w:t>12</w:t>
            </w:r>
          </w:p>
        </w:tc>
        <w:tc>
          <w:tcPr>
            <w:tcW w:w="1269" w:type="dxa"/>
            <w:vAlign w:val="top"/>
          </w:tcPr>
          <w:p>
            <w:pPr>
              <w:spacing w:line="200" w:lineRule="exact"/>
              <w:rPr>
                <w:rFonts w:ascii="Arial"/>
                <w:sz w:val="17"/>
              </w:rPr>
            </w:pPr>
          </w:p>
        </w:tc>
        <w:tc>
          <w:tcPr>
            <w:tcW w:w="2457" w:type="dxa"/>
            <w:vAlign w:val="top"/>
          </w:tcPr>
          <w:p>
            <w:pPr>
              <w:pStyle w:val="6"/>
              <w:spacing w:before="23" w:line="192" w:lineRule="auto"/>
              <w:ind w:left="15"/>
            </w:pPr>
            <w:r>
              <w:rPr>
                <w:spacing w:val="2"/>
              </w:rPr>
              <w:t>十二、农林水支出</w:t>
            </w:r>
          </w:p>
        </w:tc>
        <w:tc>
          <w:tcPr>
            <w:tcW w:w="469" w:type="dxa"/>
            <w:vAlign w:val="top"/>
          </w:tcPr>
          <w:p>
            <w:pPr>
              <w:pStyle w:val="6"/>
              <w:spacing w:before="66" w:line="133" w:lineRule="exact"/>
              <w:ind w:left="148"/>
            </w:pPr>
            <w:r>
              <w:rPr>
                <w:spacing w:val="-2"/>
                <w:position w:val="-2"/>
              </w:rPr>
              <w:t>43</w:t>
            </w:r>
          </w:p>
        </w:tc>
        <w:tc>
          <w:tcPr>
            <w:tcW w:w="1243" w:type="dxa"/>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2722" w:type="dxa"/>
            <w:vAlign w:val="top"/>
          </w:tcPr>
          <w:p>
            <w:pPr>
              <w:spacing w:line="200" w:lineRule="exact"/>
              <w:rPr>
                <w:rFonts w:ascii="Arial"/>
                <w:sz w:val="17"/>
              </w:rPr>
            </w:pPr>
          </w:p>
        </w:tc>
        <w:tc>
          <w:tcPr>
            <w:tcW w:w="469" w:type="dxa"/>
            <w:vAlign w:val="top"/>
          </w:tcPr>
          <w:p>
            <w:pPr>
              <w:pStyle w:val="6"/>
              <w:spacing w:before="66" w:line="133" w:lineRule="exact"/>
              <w:ind w:left="143"/>
            </w:pPr>
            <w:r>
              <w:rPr>
                <w:spacing w:val="-5"/>
                <w:position w:val="-2"/>
              </w:rPr>
              <w:t>13</w:t>
            </w:r>
          </w:p>
        </w:tc>
        <w:tc>
          <w:tcPr>
            <w:tcW w:w="1269" w:type="dxa"/>
            <w:vAlign w:val="top"/>
          </w:tcPr>
          <w:p>
            <w:pPr>
              <w:spacing w:line="200" w:lineRule="exact"/>
              <w:rPr>
                <w:rFonts w:ascii="Arial"/>
                <w:sz w:val="17"/>
              </w:rPr>
            </w:pPr>
          </w:p>
        </w:tc>
        <w:tc>
          <w:tcPr>
            <w:tcW w:w="2457" w:type="dxa"/>
            <w:vAlign w:val="top"/>
          </w:tcPr>
          <w:p>
            <w:pPr>
              <w:pStyle w:val="6"/>
              <w:spacing w:before="23" w:line="192" w:lineRule="auto"/>
              <w:ind w:left="15"/>
            </w:pPr>
            <w:r>
              <w:rPr>
                <w:spacing w:val="2"/>
              </w:rPr>
              <w:t>十三、交通运输支出</w:t>
            </w:r>
          </w:p>
        </w:tc>
        <w:tc>
          <w:tcPr>
            <w:tcW w:w="469" w:type="dxa"/>
            <w:vAlign w:val="top"/>
          </w:tcPr>
          <w:p>
            <w:pPr>
              <w:pStyle w:val="6"/>
              <w:spacing w:before="66" w:line="133" w:lineRule="exact"/>
              <w:ind w:left="148"/>
            </w:pPr>
            <w:r>
              <w:rPr>
                <w:spacing w:val="-2"/>
                <w:position w:val="-2"/>
              </w:rPr>
              <w:t>44</w:t>
            </w:r>
          </w:p>
        </w:tc>
        <w:tc>
          <w:tcPr>
            <w:tcW w:w="1243" w:type="dxa"/>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2722" w:type="dxa"/>
            <w:vAlign w:val="top"/>
          </w:tcPr>
          <w:p>
            <w:pPr>
              <w:spacing w:line="200" w:lineRule="exact"/>
              <w:rPr>
                <w:rFonts w:ascii="Arial"/>
                <w:sz w:val="17"/>
              </w:rPr>
            </w:pPr>
          </w:p>
        </w:tc>
        <w:tc>
          <w:tcPr>
            <w:tcW w:w="469" w:type="dxa"/>
            <w:vAlign w:val="top"/>
          </w:tcPr>
          <w:p>
            <w:pPr>
              <w:pStyle w:val="6"/>
              <w:spacing w:before="66" w:line="133" w:lineRule="exact"/>
              <w:ind w:left="143"/>
            </w:pPr>
            <w:r>
              <w:rPr>
                <w:spacing w:val="-5"/>
                <w:position w:val="-2"/>
              </w:rPr>
              <w:t>14</w:t>
            </w:r>
          </w:p>
        </w:tc>
        <w:tc>
          <w:tcPr>
            <w:tcW w:w="1269" w:type="dxa"/>
            <w:vAlign w:val="top"/>
          </w:tcPr>
          <w:p>
            <w:pPr>
              <w:spacing w:line="200" w:lineRule="exact"/>
              <w:rPr>
                <w:rFonts w:ascii="Arial"/>
                <w:sz w:val="17"/>
              </w:rPr>
            </w:pPr>
          </w:p>
        </w:tc>
        <w:tc>
          <w:tcPr>
            <w:tcW w:w="2457" w:type="dxa"/>
            <w:vAlign w:val="top"/>
          </w:tcPr>
          <w:p>
            <w:pPr>
              <w:pStyle w:val="6"/>
              <w:spacing w:before="23" w:line="192" w:lineRule="auto"/>
              <w:ind w:left="15"/>
            </w:pPr>
            <w:r>
              <w:rPr>
                <w:spacing w:val="1"/>
              </w:rPr>
              <w:t>十四、资源勘探工业信息等支出</w:t>
            </w:r>
          </w:p>
        </w:tc>
        <w:tc>
          <w:tcPr>
            <w:tcW w:w="469" w:type="dxa"/>
            <w:vAlign w:val="top"/>
          </w:tcPr>
          <w:p>
            <w:pPr>
              <w:pStyle w:val="6"/>
              <w:spacing w:before="66" w:line="133" w:lineRule="exact"/>
              <w:ind w:left="148"/>
            </w:pPr>
            <w:r>
              <w:rPr>
                <w:spacing w:val="-2"/>
                <w:position w:val="-2"/>
              </w:rPr>
              <w:t>45</w:t>
            </w:r>
          </w:p>
        </w:tc>
        <w:tc>
          <w:tcPr>
            <w:tcW w:w="1243" w:type="dxa"/>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2722" w:type="dxa"/>
            <w:vAlign w:val="top"/>
          </w:tcPr>
          <w:p>
            <w:pPr>
              <w:spacing w:line="200" w:lineRule="exact"/>
              <w:rPr>
                <w:rFonts w:ascii="Arial"/>
                <w:sz w:val="17"/>
              </w:rPr>
            </w:pPr>
          </w:p>
        </w:tc>
        <w:tc>
          <w:tcPr>
            <w:tcW w:w="469" w:type="dxa"/>
            <w:vAlign w:val="top"/>
          </w:tcPr>
          <w:p>
            <w:pPr>
              <w:pStyle w:val="6"/>
              <w:spacing w:before="66" w:line="133" w:lineRule="exact"/>
              <w:ind w:left="143"/>
            </w:pPr>
            <w:r>
              <w:rPr>
                <w:spacing w:val="-5"/>
                <w:position w:val="-2"/>
              </w:rPr>
              <w:t>15</w:t>
            </w:r>
          </w:p>
        </w:tc>
        <w:tc>
          <w:tcPr>
            <w:tcW w:w="1269" w:type="dxa"/>
            <w:vAlign w:val="top"/>
          </w:tcPr>
          <w:p>
            <w:pPr>
              <w:spacing w:line="200" w:lineRule="exact"/>
              <w:rPr>
                <w:rFonts w:ascii="Arial"/>
                <w:sz w:val="17"/>
              </w:rPr>
            </w:pPr>
          </w:p>
        </w:tc>
        <w:tc>
          <w:tcPr>
            <w:tcW w:w="2457" w:type="dxa"/>
            <w:vAlign w:val="top"/>
          </w:tcPr>
          <w:p>
            <w:pPr>
              <w:pStyle w:val="6"/>
              <w:spacing w:before="23" w:line="192" w:lineRule="auto"/>
              <w:ind w:left="15"/>
            </w:pPr>
            <w:r>
              <w:rPr>
                <w:spacing w:val="1"/>
              </w:rPr>
              <w:t>十五、商业服务业等支出</w:t>
            </w:r>
          </w:p>
        </w:tc>
        <w:tc>
          <w:tcPr>
            <w:tcW w:w="469" w:type="dxa"/>
            <w:vAlign w:val="top"/>
          </w:tcPr>
          <w:p>
            <w:pPr>
              <w:pStyle w:val="6"/>
              <w:spacing w:before="66" w:line="133" w:lineRule="exact"/>
              <w:ind w:left="148"/>
            </w:pPr>
            <w:r>
              <w:rPr>
                <w:spacing w:val="-2"/>
                <w:position w:val="-2"/>
              </w:rPr>
              <w:t>46</w:t>
            </w:r>
          </w:p>
        </w:tc>
        <w:tc>
          <w:tcPr>
            <w:tcW w:w="1243" w:type="dxa"/>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2722" w:type="dxa"/>
            <w:vAlign w:val="top"/>
          </w:tcPr>
          <w:p>
            <w:pPr>
              <w:spacing w:line="189" w:lineRule="exact"/>
              <w:rPr>
                <w:rFonts w:ascii="Arial"/>
                <w:sz w:val="16"/>
              </w:rPr>
            </w:pPr>
          </w:p>
        </w:tc>
        <w:tc>
          <w:tcPr>
            <w:tcW w:w="469" w:type="dxa"/>
            <w:vAlign w:val="top"/>
          </w:tcPr>
          <w:p>
            <w:pPr>
              <w:pStyle w:val="6"/>
              <w:spacing w:before="66" w:line="123" w:lineRule="exact"/>
              <w:ind w:left="143"/>
            </w:pPr>
            <w:r>
              <w:rPr>
                <w:spacing w:val="-5"/>
                <w:position w:val="-2"/>
              </w:rPr>
              <w:t>16</w:t>
            </w:r>
          </w:p>
        </w:tc>
        <w:tc>
          <w:tcPr>
            <w:tcW w:w="1269" w:type="dxa"/>
            <w:vAlign w:val="top"/>
          </w:tcPr>
          <w:p>
            <w:pPr>
              <w:spacing w:line="189" w:lineRule="exact"/>
              <w:rPr>
                <w:rFonts w:ascii="Arial"/>
                <w:sz w:val="16"/>
              </w:rPr>
            </w:pPr>
          </w:p>
        </w:tc>
        <w:tc>
          <w:tcPr>
            <w:tcW w:w="2457" w:type="dxa"/>
            <w:vAlign w:val="top"/>
          </w:tcPr>
          <w:p>
            <w:pPr>
              <w:pStyle w:val="6"/>
              <w:spacing w:before="23" w:line="180" w:lineRule="auto"/>
              <w:ind w:left="15"/>
            </w:pPr>
            <w:r>
              <w:rPr>
                <w:spacing w:val="2"/>
              </w:rPr>
              <w:t>十六、金融支出</w:t>
            </w:r>
          </w:p>
        </w:tc>
        <w:tc>
          <w:tcPr>
            <w:tcW w:w="469" w:type="dxa"/>
            <w:vAlign w:val="top"/>
          </w:tcPr>
          <w:p>
            <w:pPr>
              <w:pStyle w:val="6"/>
              <w:spacing w:before="66" w:line="123" w:lineRule="exact"/>
              <w:ind w:left="148"/>
            </w:pPr>
            <w:r>
              <w:rPr>
                <w:spacing w:val="-2"/>
                <w:position w:val="-2"/>
              </w:rPr>
              <w:t>47</w:t>
            </w:r>
          </w:p>
        </w:tc>
        <w:tc>
          <w:tcPr>
            <w:tcW w:w="1243" w:type="dxa"/>
            <w:vAlign w:val="top"/>
          </w:tcPr>
          <w:p>
            <w:pPr>
              <w:spacing w:line="189"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2722" w:type="dxa"/>
            <w:vAlign w:val="top"/>
          </w:tcPr>
          <w:p>
            <w:pPr>
              <w:spacing w:line="200" w:lineRule="exact"/>
              <w:rPr>
                <w:rFonts w:ascii="Arial"/>
                <w:sz w:val="17"/>
              </w:rPr>
            </w:pPr>
          </w:p>
        </w:tc>
        <w:tc>
          <w:tcPr>
            <w:tcW w:w="469" w:type="dxa"/>
            <w:vAlign w:val="top"/>
          </w:tcPr>
          <w:p>
            <w:pPr>
              <w:pStyle w:val="6"/>
              <w:spacing w:before="67" w:line="133" w:lineRule="exact"/>
              <w:ind w:left="143"/>
            </w:pPr>
            <w:r>
              <w:rPr>
                <w:spacing w:val="-5"/>
                <w:position w:val="-2"/>
              </w:rPr>
              <w:t>17</w:t>
            </w:r>
          </w:p>
        </w:tc>
        <w:tc>
          <w:tcPr>
            <w:tcW w:w="1269" w:type="dxa"/>
            <w:vAlign w:val="top"/>
          </w:tcPr>
          <w:p>
            <w:pPr>
              <w:spacing w:line="200" w:lineRule="exact"/>
              <w:rPr>
                <w:rFonts w:ascii="Arial"/>
                <w:sz w:val="17"/>
              </w:rPr>
            </w:pPr>
          </w:p>
        </w:tc>
        <w:tc>
          <w:tcPr>
            <w:tcW w:w="2457" w:type="dxa"/>
            <w:vAlign w:val="top"/>
          </w:tcPr>
          <w:p>
            <w:pPr>
              <w:pStyle w:val="6"/>
              <w:spacing w:before="24" w:line="191" w:lineRule="auto"/>
              <w:ind w:left="15"/>
            </w:pPr>
            <w:r>
              <w:rPr>
                <w:spacing w:val="1"/>
              </w:rPr>
              <w:t>十七、援助其他地区支出</w:t>
            </w:r>
          </w:p>
        </w:tc>
        <w:tc>
          <w:tcPr>
            <w:tcW w:w="469" w:type="dxa"/>
            <w:vAlign w:val="top"/>
          </w:tcPr>
          <w:p>
            <w:pPr>
              <w:pStyle w:val="6"/>
              <w:spacing w:before="67" w:line="133" w:lineRule="exact"/>
              <w:ind w:left="148"/>
            </w:pPr>
            <w:r>
              <w:rPr>
                <w:spacing w:val="-2"/>
                <w:position w:val="-2"/>
              </w:rPr>
              <w:t>48</w:t>
            </w:r>
          </w:p>
        </w:tc>
        <w:tc>
          <w:tcPr>
            <w:tcW w:w="1243" w:type="dxa"/>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2722" w:type="dxa"/>
            <w:vAlign w:val="top"/>
          </w:tcPr>
          <w:p>
            <w:pPr>
              <w:spacing w:line="200" w:lineRule="exact"/>
              <w:rPr>
                <w:rFonts w:ascii="Arial"/>
                <w:sz w:val="17"/>
              </w:rPr>
            </w:pPr>
          </w:p>
        </w:tc>
        <w:tc>
          <w:tcPr>
            <w:tcW w:w="469" w:type="dxa"/>
            <w:vAlign w:val="top"/>
          </w:tcPr>
          <w:p>
            <w:pPr>
              <w:pStyle w:val="6"/>
              <w:spacing w:before="67" w:line="133" w:lineRule="exact"/>
              <w:ind w:left="143"/>
            </w:pPr>
            <w:r>
              <w:rPr>
                <w:spacing w:val="-5"/>
                <w:position w:val="-2"/>
              </w:rPr>
              <w:t>18</w:t>
            </w:r>
          </w:p>
        </w:tc>
        <w:tc>
          <w:tcPr>
            <w:tcW w:w="1269" w:type="dxa"/>
            <w:vAlign w:val="top"/>
          </w:tcPr>
          <w:p>
            <w:pPr>
              <w:spacing w:line="200" w:lineRule="exact"/>
              <w:rPr>
                <w:rFonts w:ascii="Arial"/>
                <w:sz w:val="17"/>
              </w:rPr>
            </w:pPr>
          </w:p>
        </w:tc>
        <w:tc>
          <w:tcPr>
            <w:tcW w:w="2457" w:type="dxa"/>
            <w:vAlign w:val="top"/>
          </w:tcPr>
          <w:p>
            <w:pPr>
              <w:pStyle w:val="6"/>
              <w:spacing w:before="24" w:line="191" w:lineRule="auto"/>
              <w:jc w:val="right"/>
            </w:pPr>
            <w:r>
              <w:t>十八、自然资源海洋气象等支出</w:t>
            </w:r>
          </w:p>
        </w:tc>
        <w:tc>
          <w:tcPr>
            <w:tcW w:w="469" w:type="dxa"/>
            <w:vAlign w:val="top"/>
          </w:tcPr>
          <w:p>
            <w:pPr>
              <w:pStyle w:val="6"/>
              <w:spacing w:before="67" w:line="133" w:lineRule="exact"/>
              <w:ind w:left="148"/>
            </w:pPr>
            <w:r>
              <w:rPr>
                <w:spacing w:val="-2"/>
                <w:position w:val="-2"/>
              </w:rPr>
              <w:t>49</w:t>
            </w:r>
          </w:p>
        </w:tc>
        <w:tc>
          <w:tcPr>
            <w:tcW w:w="1243" w:type="dxa"/>
            <w:vAlign w:val="top"/>
          </w:tcPr>
          <w:p>
            <w:pPr>
              <w:spacing w:line="200" w:lineRule="exact"/>
              <w:rPr>
                <w:rFonts w:hint="default" w:ascii="Arial" w:eastAsia="宋体"/>
                <w:sz w:val="17"/>
                <w:lang w:val="en-US" w:eastAsia="zh-CN"/>
              </w:rPr>
            </w:pPr>
            <w:r>
              <w:rPr>
                <w:rFonts w:hint="eastAsia" w:eastAsia="宋体"/>
                <w:sz w:val="17"/>
                <w:lang w:val="en-US" w:eastAsia="zh-CN"/>
              </w:rPr>
              <w:t>2308.83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2722" w:type="dxa"/>
            <w:vAlign w:val="top"/>
          </w:tcPr>
          <w:p>
            <w:pPr>
              <w:spacing w:line="200" w:lineRule="exact"/>
              <w:rPr>
                <w:rFonts w:ascii="Arial"/>
                <w:sz w:val="17"/>
              </w:rPr>
            </w:pPr>
          </w:p>
        </w:tc>
        <w:tc>
          <w:tcPr>
            <w:tcW w:w="469" w:type="dxa"/>
            <w:vAlign w:val="top"/>
          </w:tcPr>
          <w:p>
            <w:pPr>
              <w:pStyle w:val="6"/>
              <w:spacing w:before="67" w:line="133" w:lineRule="exact"/>
              <w:ind w:left="143"/>
            </w:pPr>
            <w:r>
              <w:rPr>
                <w:spacing w:val="-5"/>
                <w:position w:val="-2"/>
              </w:rPr>
              <w:t>19</w:t>
            </w:r>
          </w:p>
        </w:tc>
        <w:tc>
          <w:tcPr>
            <w:tcW w:w="1269" w:type="dxa"/>
            <w:vAlign w:val="top"/>
          </w:tcPr>
          <w:p>
            <w:pPr>
              <w:spacing w:line="200" w:lineRule="exact"/>
              <w:rPr>
                <w:rFonts w:ascii="Arial"/>
                <w:sz w:val="17"/>
              </w:rPr>
            </w:pPr>
          </w:p>
        </w:tc>
        <w:tc>
          <w:tcPr>
            <w:tcW w:w="2457" w:type="dxa"/>
            <w:vAlign w:val="top"/>
          </w:tcPr>
          <w:p>
            <w:pPr>
              <w:pStyle w:val="6"/>
              <w:spacing w:before="24" w:line="191" w:lineRule="auto"/>
              <w:ind w:left="15"/>
            </w:pPr>
            <w:r>
              <w:rPr>
                <w:spacing w:val="2"/>
              </w:rPr>
              <w:t>十九、住房保障支出</w:t>
            </w:r>
          </w:p>
        </w:tc>
        <w:tc>
          <w:tcPr>
            <w:tcW w:w="469" w:type="dxa"/>
            <w:vAlign w:val="top"/>
          </w:tcPr>
          <w:p>
            <w:pPr>
              <w:pStyle w:val="6"/>
              <w:spacing w:before="67" w:line="133" w:lineRule="exact"/>
              <w:ind w:left="148"/>
            </w:pPr>
            <w:r>
              <w:rPr>
                <w:spacing w:val="-3"/>
                <w:position w:val="-2"/>
              </w:rPr>
              <w:t>50</w:t>
            </w:r>
          </w:p>
        </w:tc>
        <w:tc>
          <w:tcPr>
            <w:tcW w:w="1243" w:type="dxa"/>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2722" w:type="dxa"/>
            <w:vAlign w:val="top"/>
          </w:tcPr>
          <w:p>
            <w:pPr>
              <w:spacing w:line="200" w:lineRule="exact"/>
              <w:rPr>
                <w:rFonts w:ascii="Arial"/>
                <w:sz w:val="17"/>
              </w:rPr>
            </w:pPr>
          </w:p>
        </w:tc>
        <w:tc>
          <w:tcPr>
            <w:tcW w:w="469" w:type="dxa"/>
            <w:vAlign w:val="top"/>
          </w:tcPr>
          <w:p>
            <w:pPr>
              <w:pStyle w:val="6"/>
              <w:spacing w:before="67" w:line="133" w:lineRule="exact"/>
              <w:ind w:left="143"/>
            </w:pPr>
            <w:r>
              <w:rPr>
                <w:spacing w:val="-3"/>
                <w:position w:val="-2"/>
              </w:rPr>
              <w:t>20</w:t>
            </w:r>
          </w:p>
        </w:tc>
        <w:tc>
          <w:tcPr>
            <w:tcW w:w="1269" w:type="dxa"/>
            <w:vAlign w:val="top"/>
          </w:tcPr>
          <w:p>
            <w:pPr>
              <w:spacing w:line="200" w:lineRule="exact"/>
              <w:rPr>
                <w:rFonts w:ascii="Arial"/>
                <w:sz w:val="17"/>
              </w:rPr>
            </w:pPr>
          </w:p>
        </w:tc>
        <w:tc>
          <w:tcPr>
            <w:tcW w:w="2457" w:type="dxa"/>
            <w:vAlign w:val="top"/>
          </w:tcPr>
          <w:p>
            <w:pPr>
              <w:pStyle w:val="6"/>
              <w:spacing w:before="23" w:line="192" w:lineRule="auto"/>
              <w:ind w:left="15"/>
            </w:pPr>
            <w:r>
              <w:rPr>
                <w:spacing w:val="1"/>
              </w:rPr>
              <w:t>二十、粮油物资储备支出</w:t>
            </w:r>
          </w:p>
        </w:tc>
        <w:tc>
          <w:tcPr>
            <w:tcW w:w="469" w:type="dxa"/>
            <w:vAlign w:val="top"/>
          </w:tcPr>
          <w:p>
            <w:pPr>
              <w:pStyle w:val="6"/>
              <w:spacing w:before="67" w:line="133" w:lineRule="exact"/>
              <w:ind w:left="148"/>
            </w:pPr>
            <w:r>
              <w:rPr>
                <w:spacing w:val="-3"/>
                <w:position w:val="-2"/>
              </w:rPr>
              <w:t>51</w:t>
            </w:r>
          </w:p>
        </w:tc>
        <w:tc>
          <w:tcPr>
            <w:tcW w:w="1243" w:type="dxa"/>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2722" w:type="dxa"/>
            <w:vAlign w:val="top"/>
          </w:tcPr>
          <w:p>
            <w:pPr>
              <w:spacing w:line="190" w:lineRule="exact"/>
              <w:rPr>
                <w:rFonts w:ascii="Arial"/>
                <w:sz w:val="16"/>
              </w:rPr>
            </w:pPr>
          </w:p>
        </w:tc>
        <w:tc>
          <w:tcPr>
            <w:tcW w:w="469" w:type="dxa"/>
            <w:vAlign w:val="top"/>
          </w:tcPr>
          <w:p>
            <w:pPr>
              <w:pStyle w:val="6"/>
              <w:spacing w:before="67" w:line="123" w:lineRule="exact"/>
              <w:ind w:left="143"/>
            </w:pPr>
            <w:r>
              <w:rPr>
                <w:spacing w:val="-3"/>
                <w:position w:val="-2"/>
              </w:rPr>
              <w:t>21</w:t>
            </w:r>
          </w:p>
        </w:tc>
        <w:tc>
          <w:tcPr>
            <w:tcW w:w="1269" w:type="dxa"/>
            <w:vAlign w:val="top"/>
          </w:tcPr>
          <w:p>
            <w:pPr>
              <w:spacing w:line="190" w:lineRule="exact"/>
              <w:rPr>
                <w:rFonts w:ascii="Arial"/>
                <w:sz w:val="16"/>
              </w:rPr>
            </w:pPr>
          </w:p>
        </w:tc>
        <w:tc>
          <w:tcPr>
            <w:tcW w:w="2457" w:type="dxa"/>
            <w:vAlign w:val="top"/>
          </w:tcPr>
          <w:p>
            <w:pPr>
              <w:pStyle w:val="6"/>
              <w:spacing w:before="23" w:line="181" w:lineRule="auto"/>
              <w:ind w:left="15"/>
            </w:pPr>
            <w:r>
              <w:rPr>
                <w:spacing w:val="-1"/>
              </w:rPr>
              <w:t>二十一、国有资本经营预算支出</w:t>
            </w:r>
          </w:p>
        </w:tc>
        <w:tc>
          <w:tcPr>
            <w:tcW w:w="469" w:type="dxa"/>
            <w:vAlign w:val="top"/>
          </w:tcPr>
          <w:p>
            <w:pPr>
              <w:pStyle w:val="6"/>
              <w:spacing w:before="67" w:line="123" w:lineRule="exact"/>
              <w:ind w:left="148"/>
            </w:pPr>
            <w:r>
              <w:rPr>
                <w:spacing w:val="-3"/>
                <w:position w:val="-2"/>
              </w:rPr>
              <w:t>52</w:t>
            </w:r>
          </w:p>
        </w:tc>
        <w:tc>
          <w:tcPr>
            <w:tcW w:w="1243" w:type="dxa"/>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2722" w:type="dxa"/>
            <w:vAlign w:val="top"/>
          </w:tcPr>
          <w:p>
            <w:pPr>
              <w:spacing w:line="200" w:lineRule="exact"/>
              <w:rPr>
                <w:rFonts w:ascii="Arial"/>
                <w:sz w:val="17"/>
              </w:rPr>
            </w:pPr>
          </w:p>
        </w:tc>
        <w:tc>
          <w:tcPr>
            <w:tcW w:w="469" w:type="dxa"/>
            <w:vAlign w:val="top"/>
          </w:tcPr>
          <w:p>
            <w:pPr>
              <w:pStyle w:val="6"/>
              <w:spacing w:before="67" w:line="133" w:lineRule="exact"/>
              <w:ind w:left="143"/>
            </w:pPr>
            <w:r>
              <w:rPr>
                <w:spacing w:val="-3"/>
                <w:position w:val="-2"/>
              </w:rPr>
              <w:t>22</w:t>
            </w:r>
          </w:p>
        </w:tc>
        <w:tc>
          <w:tcPr>
            <w:tcW w:w="1269" w:type="dxa"/>
            <w:vAlign w:val="top"/>
          </w:tcPr>
          <w:p>
            <w:pPr>
              <w:spacing w:line="200" w:lineRule="exact"/>
              <w:rPr>
                <w:rFonts w:ascii="Arial"/>
                <w:sz w:val="17"/>
              </w:rPr>
            </w:pPr>
          </w:p>
        </w:tc>
        <w:tc>
          <w:tcPr>
            <w:tcW w:w="2457" w:type="dxa"/>
            <w:vAlign w:val="top"/>
          </w:tcPr>
          <w:p>
            <w:pPr>
              <w:pStyle w:val="6"/>
              <w:spacing w:before="24" w:line="191" w:lineRule="auto"/>
              <w:jc w:val="right"/>
            </w:pPr>
            <w:r>
              <w:rPr>
                <w:spacing w:val="-8"/>
              </w:rPr>
              <w:t>二十二、灾害防治及应急管理支出</w:t>
            </w:r>
          </w:p>
        </w:tc>
        <w:tc>
          <w:tcPr>
            <w:tcW w:w="469" w:type="dxa"/>
            <w:vAlign w:val="top"/>
          </w:tcPr>
          <w:p>
            <w:pPr>
              <w:pStyle w:val="6"/>
              <w:spacing w:before="67" w:line="133" w:lineRule="exact"/>
              <w:ind w:left="148"/>
            </w:pPr>
            <w:r>
              <w:rPr>
                <w:spacing w:val="-3"/>
                <w:position w:val="-2"/>
              </w:rPr>
              <w:t>53</w:t>
            </w:r>
          </w:p>
        </w:tc>
        <w:tc>
          <w:tcPr>
            <w:tcW w:w="1243" w:type="dxa"/>
            <w:vAlign w:val="top"/>
          </w:tcPr>
          <w:p>
            <w:pPr>
              <w:spacing w:line="200" w:lineRule="exact"/>
              <w:rPr>
                <w:rFonts w:hint="default" w:ascii="Arial" w:eastAsia="宋体"/>
                <w:sz w:val="17"/>
                <w:lang w:val="en-US" w:eastAsia="zh-CN"/>
              </w:rPr>
            </w:pPr>
            <w:r>
              <w:rPr>
                <w:rFonts w:hint="eastAsia" w:eastAsia="宋体"/>
                <w:sz w:val="17"/>
                <w:lang w:val="en-US" w:eastAsia="zh-CN"/>
              </w:rPr>
              <w:t>182.18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2722" w:type="dxa"/>
            <w:vAlign w:val="top"/>
          </w:tcPr>
          <w:p>
            <w:pPr>
              <w:spacing w:line="190" w:lineRule="exact"/>
              <w:rPr>
                <w:rFonts w:ascii="Arial"/>
                <w:sz w:val="16"/>
              </w:rPr>
            </w:pPr>
          </w:p>
        </w:tc>
        <w:tc>
          <w:tcPr>
            <w:tcW w:w="469" w:type="dxa"/>
            <w:vAlign w:val="top"/>
          </w:tcPr>
          <w:p>
            <w:pPr>
              <w:pStyle w:val="6"/>
              <w:spacing w:before="67" w:line="123" w:lineRule="exact"/>
              <w:ind w:left="143"/>
            </w:pPr>
            <w:r>
              <w:rPr>
                <w:spacing w:val="-3"/>
                <w:position w:val="-2"/>
              </w:rPr>
              <w:t>23</w:t>
            </w:r>
          </w:p>
        </w:tc>
        <w:tc>
          <w:tcPr>
            <w:tcW w:w="1269" w:type="dxa"/>
            <w:vAlign w:val="top"/>
          </w:tcPr>
          <w:p>
            <w:pPr>
              <w:spacing w:line="190" w:lineRule="exact"/>
              <w:rPr>
                <w:rFonts w:ascii="Arial"/>
                <w:sz w:val="16"/>
              </w:rPr>
            </w:pPr>
          </w:p>
        </w:tc>
        <w:tc>
          <w:tcPr>
            <w:tcW w:w="2457" w:type="dxa"/>
            <w:vAlign w:val="top"/>
          </w:tcPr>
          <w:p>
            <w:pPr>
              <w:pStyle w:val="6"/>
              <w:spacing w:before="24" w:line="180" w:lineRule="auto"/>
              <w:ind w:left="15"/>
            </w:pPr>
            <w:r>
              <w:rPr>
                <w:spacing w:val="2"/>
              </w:rPr>
              <w:t>二十三、其他支出</w:t>
            </w:r>
          </w:p>
        </w:tc>
        <w:tc>
          <w:tcPr>
            <w:tcW w:w="469" w:type="dxa"/>
            <w:vAlign w:val="top"/>
          </w:tcPr>
          <w:p>
            <w:pPr>
              <w:pStyle w:val="6"/>
              <w:spacing w:before="67" w:line="123" w:lineRule="exact"/>
              <w:ind w:left="148"/>
            </w:pPr>
            <w:r>
              <w:rPr>
                <w:spacing w:val="-3"/>
                <w:position w:val="-2"/>
              </w:rPr>
              <w:t>54</w:t>
            </w:r>
          </w:p>
        </w:tc>
        <w:tc>
          <w:tcPr>
            <w:tcW w:w="1243" w:type="dxa"/>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2722" w:type="dxa"/>
            <w:vAlign w:val="top"/>
          </w:tcPr>
          <w:p>
            <w:pPr>
              <w:spacing w:line="200" w:lineRule="exact"/>
              <w:rPr>
                <w:rFonts w:ascii="Arial"/>
                <w:sz w:val="17"/>
              </w:rPr>
            </w:pPr>
          </w:p>
        </w:tc>
        <w:tc>
          <w:tcPr>
            <w:tcW w:w="469" w:type="dxa"/>
            <w:vAlign w:val="top"/>
          </w:tcPr>
          <w:p>
            <w:pPr>
              <w:pStyle w:val="6"/>
              <w:spacing w:before="67" w:line="133" w:lineRule="exact"/>
              <w:ind w:left="143"/>
            </w:pPr>
            <w:r>
              <w:rPr>
                <w:spacing w:val="-3"/>
                <w:position w:val="-2"/>
              </w:rPr>
              <w:t>24</w:t>
            </w:r>
          </w:p>
        </w:tc>
        <w:tc>
          <w:tcPr>
            <w:tcW w:w="1269" w:type="dxa"/>
            <w:vAlign w:val="top"/>
          </w:tcPr>
          <w:p>
            <w:pPr>
              <w:spacing w:line="200" w:lineRule="exact"/>
              <w:rPr>
                <w:rFonts w:ascii="Arial"/>
                <w:sz w:val="17"/>
              </w:rPr>
            </w:pPr>
          </w:p>
        </w:tc>
        <w:tc>
          <w:tcPr>
            <w:tcW w:w="2457" w:type="dxa"/>
            <w:vAlign w:val="top"/>
          </w:tcPr>
          <w:p>
            <w:pPr>
              <w:pStyle w:val="6"/>
              <w:spacing w:before="23" w:line="192" w:lineRule="auto"/>
              <w:ind w:left="15"/>
            </w:pPr>
            <w:r>
              <w:rPr>
                <w:spacing w:val="2"/>
              </w:rPr>
              <w:t>二十四、债务还本支出</w:t>
            </w:r>
          </w:p>
        </w:tc>
        <w:tc>
          <w:tcPr>
            <w:tcW w:w="469" w:type="dxa"/>
            <w:vAlign w:val="top"/>
          </w:tcPr>
          <w:p>
            <w:pPr>
              <w:pStyle w:val="6"/>
              <w:spacing w:before="69" w:line="131" w:lineRule="exact"/>
              <w:ind w:left="148"/>
            </w:pPr>
            <w:r>
              <w:rPr>
                <w:spacing w:val="-3"/>
                <w:position w:val="-2"/>
              </w:rPr>
              <w:t>55</w:t>
            </w:r>
          </w:p>
        </w:tc>
        <w:tc>
          <w:tcPr>
            <w:tcW w:w="1243" w:type="dxa"/>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2722" w:type="dxa"/>
            <w:vAlign w:val="top"/>
          </w:tcPr>
          <w:p>
            <w:pPr>
              <w:spacing w:line="200" w:lineRule="exact"/>
              <w:rPr>
                <w:rFonts w:ascii="Arial"/>
                <w:sz w:val="17"/>
              </w:rPr>
            </w:pPr>
          </w:p>
        </w:tc>
        <w:tc>
          <w:tcPr>
            <w:tcW w:w="469" w:type="dxa"/>
            <w:vAlign w:val="top"/>
          </w:tcPr>
          <w:p>
            <w:pPr>
              <w:pStyle w:val="6"/>
              <w:spacing w:before="67" w:line="133" w:lineRule="exact"/>
              <w:ind w:left="143"/>
            </w:pPr>
            <w:r>
              <w:rPr>
                <w:spacing w:val="-3"/>
                <w:position w:val="-2"/>
              </w:rPr>
              <w:t>25</w:t>
            </w:r>
          </w:p>
        </w:tc>
        <w:tc>
          <w:tcPr>
            <w:tcW w:w="1269" w:type="dxa"/>
            <w:vAlign w:val="top"/>
          </w:tcPr>
          <w:p>
            <w:pPr>
              <w:spacing w:line="200" w:lineRule="exact"/>
              <w:rPr>
                <w:rFonts w:ascii="Arial"/>
                <w:sz w:val="17"/>
              </w:rPr>
            </w:pPr>
          </w:p>
        </w:tc>
        <w:tc>
          <w:tcPr>
            <w:tcW w:w="2457" w:type="dxa"/>
            <w:vAlign w:val="top"/>
          </w:tcPr>
          <w:p>
            <w:pPr>
              <w:pStyle w:val="6"/>
              <w:spacing w:before="24" w:line="191" w:lineRule="auto"/>
              <w:ind w:left="15"/>
            </w:pPr>
            <w:r>
              <w:rPr>
                <w:spacing w:val="2"/>
              </w:rPr>
              <w:t>二十五、债务付息支出</w:t>
            </w:r>
          </w:p>
        </w:tc>
        <w:tc>
          <w:tcPr>
            <w:tcW w:w="469" w:type="dxa"/>
            <w:vAlign w:val="top"/>
          </w:tcPr>
          <w:p>
            <w:pPr>
              <w:pStyle w:val="6"/>
              <w:spacing w:before="67" w:line="133" w:lineRule="exact"/>
              <w:ind w:left="148"/>
            </w:pPr>
            <w:r>
              <w:rPr>
                <w:spacing w:val="-3"/>
                <w:position w:val="-2"/>
              </w:rPr>
              <w:t>56</w:t>
            </w:r>
          </w:p>
        </w:tc>
        <w:tc>
          <w:tcPr>
            <w:tcW w:w="1243" w:type="dxa"/>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2722" w:type="dxa"/>
            <w:vAlign w:val="top"/>
          </w:tcPr>
          <w:p>
            <w:pPr>
              <w:spacing w:line="189" w:lineRule="exact"/>
              <w:rPr>
                <w:rFonts w:ascii="Arial"/>
                <w:sz w:val="16"/>
              </w:rPr>
            </w:pPr>
          </w:p>
        </w:tc>
        <w:tc>
          <w:tcPr>
            <w:tcW w:w="469" w:type="dxa"/>
            <w:vAlign w:val="top"/>
          </w:tcPr>
          <w:p>
            <w:pPr>
              <w:pStyle w:val="6"/>
              <w:spacing w:before="67" w:line="122" w:lineRule="exact"/>
              <w:ind w:left="143"/>
            </w:pPr>
            <w:r>
              <w:rPr>
                <w:spacing w:val="-3"/>
                <w:position w:val="-2"/>
              </w:rPr>
              <w:t>26</w:t>
            </w:r>
          </w:p>
        </w:tc>
        <w:tc>
          <w:tcPr>
            <w:tcW w:w="1269" w:type="dxa"/>
            <w:vAlign w:val="top"/>
          </w:tcPr>
          <w:p>
            <w:pPr>
              <w:spacing w:line="189" w:lineRule="exact"/>
              <w:rPr>
                <w:rFonts w:hint="default" w:ascii="Arial" w:eastAsia="宋体"/>
                <w:sz w:val="16"/>
                <w:lang w:val="en-US" w:eastAsia="zh-CN"/>
              </w:rPr>
            </w:pPr>
          </w:p>
        </w:tc>
        <w:tc>
          <w:tcPr>
            <w:tcW w:w="2457" w:type="dxa"/>
            <w:vAlign w:val="top"/>
          </w:tcPr>
          <w:p>
            <w:pPr>
              <w:pStyle w:val="6"/>
              <w:spacing w:before="24" w:line="179" w:lineRule="auto"/>
              <w:jc w:val="right"/>
            </w:pPr>
            <w:r>
              <w:rPr>
                <w:spacing w:val="-12"/>
              </w:rPr>
              <w:t>二十六、抗疫特别国债安排的支出</w:t>
            </w:r>
          </w:p>
        </w:tc>
        <w:tc>
          <w:tcPr>
            <w:tcW w:w="469" w:type="dxa"/>
            <w:vAlign w:val="top"/>
          </w:tcPr>
          <w:p>
            <w:pPr>
              <w:pStyle w:val="6"/>
              <w:spacing w:before="69" w:line="120" w:lineRule="exact"/>
              <w:ind w:left="148"/>
            </w:pPr>
            <w:r>
              <w:rPr>
                <w:spacing w:val="-3"/>
                <w:position w:val="-2"/>
              </w:rPr>
              <w:t>57</w:t>
            </w:r>
          </w:p>
        </w:tc>
        <w:tc>
          <w:tcPr>
            <w:tcW w:w="1243" w:type="dxa"/>
            <w:vAlign w:val="top"/>
          </w:tcPr>
          <w:p>
            <w:pPr>
              <w:spacing w:line="189"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722" w:type="dxa"/>
            <w:vAlign w:val="top"/>
          </w:tcPr>
          <w:p>
            <w:pPr>
              <w:pStyle w:val="6"/>
              <w:spacing w:before="34" w:line="191" w:lineRule="auto"/>
              <w:ind w:left="15"/>
            </w:pPr>
            <w:r>
              <w:rPr>
                <w:spacing w:val="-2"/>
              </w:rPr>
              <w:t>本年收入合计</w:t>
            </w:r>
          </w:p>
        </w:tc>
        <w:tc>
          <w:tcPr>
            <w:tcW w:w="469" w:type="dxa"/>
            <w:vAlign w:val="top"/>
          </w:tcPr>
          <w:p>
            <w:pPr>
              <w:pStyle w:val="6"/>
              <w:spacing w:before="78" w:line="131" w:lineRule="exact"/>
              <w:ind w:left="143"/>
            </w:pPr>
            <w:r>
              <w:rPr>
                <w:spacing w:val="-3"/>
                <w:position w:val="-2"/>
              </w:rPr>
              <w:t>27</w:t>
            </w:r>
          </w:p>
        </w:tc>
        <w:tc>
          <w:tcPr>
            <w:tcW w:w="1269" w:type="dxa"/>
            <w:vAlign w:val="top"/>
          </w:tcPr>
          <w:p>
            <w:pPr>
              <w:spacing w:line="210" w:lineRule="exact"/>
              <w:rPr>
                <w:rFonts w:hint="default"/>
                <w:lang w:val="en-US" w:eastAsia="zh-CN"/>
              </w:rPr>
            </w:pPr>
            <w:r>
              <w:rPr>
                <w:rFonts w:hint="eastAsia" w:eastAsia="宋体"/>
                <w:sz w:val="18"/>
                <w:lang w:val="en-US" w:eastAsia="zh-CN"/>
              </w:rPr>
              <w:t>4110.10</w:t>
            </w:r>
          </w:p>
        </w:tc>
        <w:tc>
          <w:tcPr>
            <w:tcW w:w="2457" w:type="dxa"/>
            <w:vAlign w:val="top"/>
          </w:tcPr>
          <w:p>
            <w:pPr>
              <w:pStyle w:val="6"/>
              <w:spacing w:before="34" w:line="191" w:lineRule="auto"/>
              <w:ind w:left="15"/>
            </w:pPr>
            <w:r>
              <w:rPr>
                <w:spacing w:val="-2"/>
              </w:rPr>
              <w:t>本年支出合计</w:t>
            </w:r>
          </w:p>
        </w:tc>
        <w:tc>
          <w:tcPr>
            <w:tcW w:w="469" w:type="dxa"/>
            <w:vAlign w:val="top"/>
          </w:tcPr>
          <w:p>
            <w:pPr>
              <w:pStyle w:val="6"/>
              <w:spacing w:before="78" w:line="131" w:lineRule="exact"/>
              <w:ind w:left="148"/>
            </w:pPr>
            <w:r>
              <w:rPr>
                <w:spacing w:val="-3"/>
                <w:position w:val="-2"/>
              </w:rPr>
              <w:t>58</w:t>
            </w:r>
          </w:p>
        </w:tc>
        <w:tc>
          <w:tcPr>
            <w:tcW w:w="1243" w:type="dxa"/>
            <w:vAlign w:val="top"/>
          </w:tcPr>
          <w:p>
            <w:pPr>
              <w:spacing w:line="210" w:lineRule="exact"/>
              <w:rPr>
                <w:rFonts w:hint="default" w:ascii="Arial" w:eastAsia="宋体"/>
                <w:sz w:val="18"/>
                <w:lang w:val="en-US" w:eastAsia="zh-CN"/>
              </w:rPr>
            </w:pPr>
            <w:r>
              <w:rPr>
                <w:rFonts w:hint="eastAsia" w:eastAsia="宋体"/>
                <w:sz w:val="18"/>
                <w:lang w:val="en-US" w:eastAsia="zh-CN"/>
              </w:rPr>
              <w:t>4641.51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 w:hRule="atLeast"/>
        </w:trPr>
        <w:tc>
          <w:tcPr>
            <w:tcW w:w="2722" w:type="dxa"/>
            <w:vAlign w:val="top"/>
          </w:tcPr>
          <w:p>
            <w:pPr>
              <w:pStyle w:val="6"/>
              <w:spacing w:before="25" w:line="178" w:lineRule="auto"/>
              <w:ind w:left="15"/>
            </w:pPr>
            <w:r>
              <w:rPr>
                <w:spacing w:val="-1"/>
              </w:rPr>
              <w:t>使用非财政拨款结余</w:t>
            </w:r>
          </w:p>
        </w:tc>
        <w:tc>
          <w:tcPr>
            <w:tcW w:w="469" w:type="dxa"/>
            <w:vAlign w:val="top"/>
          </w:tcPr>
          <w:p>
            <w:pPr>
              <w:pStyle w:val="6"/>
              <w:spacing w:before="68" w:line="121" w:lineRule="exact"/>
              <w:ind w:left="143"/>
            </w:pPr>
            <w:r>
              <w:rPr>
                <w:spacing w:val="-3"/>
                <w:position w:val="-2"/>
              </w:rPr>
              <w:t>28</w:t>
            </w:r>
          </w:p>
        </w:tc>
        <w:tc>
          <w:tcPr>
            <w:tcW w:w="1269" w:type="dxa"/>
            <w:vAlign w:val="top"/>
          </w:tcPr>
          <w:p>
            <w:pPr>
              <w:spacing w:line="189" w:lineRule="exact"/>
              <w:rPr>
                <w:rFonts w:ascii="Arial"/>
                <w:sz w:val="16"/>
              </w:rPr>
            </w:pPr>
          </w:p>
        </w:tc>
        <w:tc>
          <w:tcPr>
            <w:tcW w:w="2457" w:type="dxa"/>
            <w:vAlign w:val="top"/>
          </w:tcPr>
          <w:p>
            <w:pPr>
              <w:pStyle w:val="6"/>
              <w:spacing w:before="25" w:line="178" w:lineRule="auto"/>
              <w:ind w:left="15"/>
            </w:pPr>
            <w:r>
              <w:rPr>
                <w:spacing w:val="-3"/>
              </w:rPr>
              <w:t>结余分配</w:t>
            </w:r>
          </w:p>
        </w:tc>
        <w:tc>
          <w:tcPr>
            <w:tcW w:w="469" w:type="dxa"/>
            <w:vAlign w:val="top"/>
          </w:tcPr>
          <w:p>
            <w:pPr>
              <w:pStyle w:val="6"/>
              <w:spacing w:before="68" w:line="121" w:lineRule="exact"/>
              <w:ind w:left="148"/>
            </w:pPr>
            <w:r>
              <w:rPr>
                <w:spacing w:val="-3"/>
                <w:position w:val="-2"/>
              </w:rPr>
              <w:t>59</w:t>
            </w:r>
          </w:p>
        </w:tc>
        <w:tc>
          <w:tcPr>
            <w:tcW w:w="1243" w:type="dxa"/>
            <w:vAlign w:val="top"/>
          </w:tcPr>
          <w:p>
            <w:pPr>
              <w:spacing w:line="189"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2722" w:type="dxa"/>
            <w:vAlign w:val="top"/>
          </w:tcPr>
          <w:p>
            <w:pPr>
              <w:pStyle w:val="6"/>
              <w:spacing w:before="25" w:line="189" w:lineRule="auto"/>
              <w:ind w:left="15"/>
            </w:pPr>
            <w:r>
              <w:rPr>
                <w:spacing w:val="-1"/>
              </w:rPr>
              <w:t>年初结转和结余</w:t>
            </w:r>
          </w:p>
        </w:tc>
        <w:tc>
          <w:tcPr>
            <w:tcW w:w="469" w:type="dxa"/>
            <w:vAlign w:val="top"/>
          </w:tcPr>
          <w:p>
            <w:pPr>
              <w:pStyle w:val="6"/>
              <w:spacing w:before="69" w:line="131" w:lineRule="exact"/>
              <w:ind w:left="143"/>
            </w:pPr>
            <w:r>
              <w:rPr>
                <w:spacing w:val="-3"/>
                <w:position w:val="-2"/>
              </w:rPr>
              <w:t>29</w:t>
            </w:r>
          </w:p>
        </w:tc>
        <w:tc>
          <w:tcPr>
            <w:tcW w:w="1269" w:type="dxa"/>
            <w:vAlign w:val="top"/>
          </w:tcPr>
          <w:p>
            <w:pPr>
              <w:spacing w:line="200" w:lineRule="exact"/>
              <w:rPr>
                <w:rFonts w:hint="default" w:ascii="Arial" w:eastAsia="宋体"/>
                <w:sz w:val="17"/>
                <w:lang w:val="en-US" w:eastAsia="zh-CN"/>
              </w:rPr>
            </w:pPr>
            <w:r>
              <w:rPr>
                <w:rFonts w:hint="eastAsia" w:eastAsia="宋体"/>
                <w:sz w:val="17"/>
                <w:lang w:val="en-US" w:eastAsia="zh-CN"/>
              </w:rPr>
              <w:t>4915.32</w:t>
            </w:r>
          </w:p>
        </w:tc>
        <w:tc>
          <w:tcPr>
            <w:tcW w:w="2457" w:type="dxa"/>
            <w:vAlign w:val="top"/>
          </w:tcPr>
          <w:p>
            <w:pPr>
              <w:pStyle w:val="6"/>
              <w:spacing w:before="25" w:line="189" w:lineRule="auto"/>
              <w:ind w:left="15"/>
            </w:pPr>
            <w:r>
              <w:rPr>
                <w:spacing w:val="-1"/>
              </w:rPr>
              <w:t>年末结转和结余</w:t>
            </w:r>
          </w:p>
        </w:tc>
        <w:tc>
          <w:tcPr>
            <w:tcW w:w="469" w:type="dxa"/>
            <w:vAlign w:val="top"/>
          </w:tcPr>
          <w:p>
            <w:pPr>
              <w:pStyle w:val="6"/>
              <w:spacing w:before="69" w:line="131" w:lineRule="exact"/>
              <w:ind w:left="148"/>
            </w:pPr>
            <w:r>
              <w:rPr>
                <w:spacing w:val="-2"/>
                <w:position w:val="-2"/>
              </w:rPr>
              <w:t>60</w:t>
            </w:r>
          </w:p>
        </w:tc>
        <w:tc>
          <w:tcPr>
            <w:tcW w:w="1243" w:type="dxa"/>
            <w:vAlign w:val="top"/>
          </w:tcPr>
          <w:p>
            <w:pPr>
              <w:spacing w:line="200" w:lineRule="exact"/>
              <w:rPr>
                <w:rFonts w:hint="default" w:ascii="Arial" w:eastAsia="宋体"/>
                <w:sz w:val="17"/>
                <w:lang w:val="en-US" w:eastAsia="zh-CN"/>
              </w:rPr>
            </w:pPr>
            <w:r>
              <w:rPr>
                <w:rFonts w:hint="eastAsia" w:eastAsia="宋体"/>
                <w:sz w:val="17"/>
                <w:lang w:val="en-US" w:eastAsia="zh-CN"/>
              </w:rPr>
              <w:t>4383.91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2722" w:type="dxa"/>
            <w:vAlign w:val="top"/>
          </w:tcPr>
          <w:p>
            <w:pPr>
              <w:spacing w:line="190" w:lineRule="exact"/>
              <w:rPr>
                <w:rFonts w:ascii="Arial"/>
                <w:sz w:val="16"/>
              </w:rPr>
            </w:pPr>
          </w:p>
        </w:tc>
        <w:tc>
          <w:tcPr>
            <w:tcW w:w="469" w:type="dxa"/>
            <w:vAlign w:val="top"/>
          </w:tcPr>
          <w:p>
            <w:pPr>
              <w:pStyle w:val="6"/>
              <w:spacing w:before="69" w:line="121" w:lineRule="exact"/>
              <w:ind w:left="143"/>
            </w:pPr>
            <w:r>
              <w:rPr>
                <w:spacing w:val="-3"/>
                <w:position w:val="-2"/>
              </w:rPr>
              <w:t>30</w:t>
            </w:r>
          </w:p>
        </w:tc>
        <w:tc>
          <w:tcPr>
            <w:tcW w:w="1269" w:type="dxa"/>
            <w:vAlign w:val="top"/>
          </w:tcPr>
          <w:p>
            <w:pPr>
              <w:spacing w:line="190" w:lineRule="exact"/>
              <w:rPr>
                <w:rFonts w:ascii="Arial"/>
                <w:sz w:val="16"/>
              </w:rPr>
            </w:pPr>
          </w:p>
        </w:tc>
        <w:tc>
          <w:tcPr>
            <w:tcW w:w="2457" w:type="dxa"/>
            <w:vAlign w:val="top"/>
          </w:tcPr>
          <w:p>
            <w:pPr>
              <w:spacing w:line="190" w:lineRule="exact"/>
              <w:rPr>
                <w:rFonts w:ascii="Arial"/>
                <w:sz w:val="16"/>
              </w:rPr>
            </w:pPr>
          </w:p>
        </w:tc>
        <w:tc>
          <w:tcPr>
            <w:tcW w:w="469" w:type="dxa"/>
            <w:vAlign w:val="top"/>
          </w:tcPr>
          <w:p>
            <w:pPr>
              <w:pStyle w:val="6"/>
              <w:spacing w:before="69" w:line="121" w:lineRule="exact"/>
              <w:ind w:left="148"/>
            </w:pPr>
            <w:r>
              <w:rPr>
                <w:spacing w:val="-2"/>
                <w:position w:val="-2"/>
              </w:rPr>
              <w:t>61</w:t>
            </w:r>
          </w:p>
        </w:tc>
        <w:tc>
          <w:tcPr>
            <w:tcW w:w="1243" w:type="dxa"/>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2722" w:type="dxa"/>
            <w:vAlign w:val="top"/>
          </w:tcPr>
          <w:p>
            <w:pPr>
              <w:pStyle w:val="6"/>
              <w:spacing w:before="24" w:line="158" w:lineRule="auto"/>
              <w:ind w:left="1197"/>
            </w:pPr>
            <w:r>
              <w:rPr>
                <w:b/>
                <w:bCs/>
                <w:spacing w:val="-5"/>
              </w:rPr>
              <w:t>总计</w:t>
            </w:r>
          </w:p>
        </w:tc>
        <w:tc>
          <w:tcPr>
            <w:tcW w:w="469" w:type="dxa"/>
            <w:vAlign w:val="top"/>
          </w:tcPr>
          <w:p>
            <w:pPr>
              <w:pStyle w:val="6"/>
              <w:spacing w:before="69" w:line="101" w:lineRule="exact"/>
              <w:ind w:left="143"/>
            </w:pPr>
            <w:r>
              <w:rPr>
                <w:spacing w:val="-3"/>
                <w:position w:val="-3"/>
              </w:rPr>
              <w:t>31</w:t>
            </w:r>
          </w:p>
        </w:tc>
        <w:tc>
          <w:tcPr>
            <w:tcW w:w="1269" w:type="dxa"/>
            <w:vAlign w:val="top"/>
          </w:tcPr>
          <w:p>
            <w:pPr>
              <w:spacing w:line="170" w:lineRule="exact"/>
              <w:rPr>
                <w:rFonts w:hint="default" w:ascii="Arial" w:eastAsia="宋体"/>
                <w:sz w:val="14"/>
                <w:lang w:val="en-US" w:eastAsia="zh-CN"/>
              </w:rPr>
            </w:pPr>
            <w:r>
              <w:rPr>
                <w:rFonts w:hint="eastAsia" w:eastAsia="宋体"/>
                <w:sz w:val="14"/>
                <w:lang w:val="en-US" w:eastAsia="zh-CN"/>
              </w:rPr>
              <w:t>9025.42</w:t>
            </w:r>
          </w:p>
        </w:tc>
        <w:tc>
          <w:tcPr>
            <w:tcW w:w="2457" w:type="dxa"/>
            <w:vAlign w:val="top"/>
          </w:tcPr>
          <w:p>
            <w:pPr>
              <w:pStyle w:val="6"/>
              <w:spacing w:before="27" w:line="143" w:lineRule="exact"/>
              <w:ind w:left="1054"/>
            </w:pPr>
            <w:r>
              <w:rPr>
                <w:spacing w:val="-3"/>
                <w:position w:val="-2"/>
              </w:rPr>
              <w:t>总计</w:t>
            </w:r>
          </w:p>
        </w:tc>
        <w:tc>
          <w:tcPr>
            <w:tcW w:w="469" w:type="dxa"/>
            <w:vAlign w:val="top"/>
          </w:tcPr>
          <w:p>
            <w:pPr>
              <w:pStyle w:val="6"/>
              <w:spacing w:before="69" w:line="101" w:lineRule="exact"/>
              <w:ind w:left="148"/>
            </w:pPr>
            <w:r>
              <w:rPr>
                <w:spacing w:val="-2"/>
                <w:position w:val="-3"/>
              </w:rPr>
              <w:t>62</w:t>
            </w:r>
          </w:p>
        </w:tc>
        <w:tc>
          <w:tcPr>
            <w:tcW w:w="1243" w:type="dxa"/>
            <w:vAlign w:val="top"/>
          </w:tcPr>
          <w:p>
            <w:pPr>
              <w:spacing w:line="170" w:lineRule="exact"/>
              <w:rPr>
                <w:rFonts w:hint="default" w:ascii="Arial" w:eastAsia="宋体"/>
                <w:sz w:val="14"/>
                <w:lang w:val="en-US" w:eastAsia="zh-CN"/>
              </w:rPr>
            </w:pPr>
            <w:r>
              <w:rPr>
                <w:rFonts w:hint="eastAsia" w:eastAsia="宋体"/>
                <w:sz w:val="14"/>
                <w:lang w:val="en-US" w:eastAsia="zh-CN"/>
              </w:rPr>
              <w:t>9025.42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629" w:type="dxa"/>
            <w:gridSpan w:val="6"/>
            <w:vAlign w:val="top"/>
          </w:tcPr>
          <w:p>
            <w:pPr>
              <w:pStyle w:val="6"/>
              <w:spacing w:before="64" w:line="219" w:lineRule="auto"/>
              <w:ind w:left="15"/>
            </w:pPr>
            <w:r>
              <w:t>注：1.本表反映部门(单位)本年度的总收支和年末结</w:t>
            </w:r>
            <w:r>
              <w:rPr>
                <w:spacing w:val="-1"/>
              </w:rPr>
              <w:t>转结余情况。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 w:hRule="atLeast"/>
        </w:trPr>
        <w:tc>
          <w:tcPr>
            <w:tcW w:w="6917" w:type="dxa"/>
            <w:gridSpan w:val="4"/>
            <w:vAlign w:val="top"/>
          </w:tcPr>
          <w:p>
            <w:pPr>
              <w:pStyle w:val="6"/>
              <w:spacing w:before="16" w:line="162" w:lineRule="auto"/>
              <w:ind w:left="344"/>
            </w:pPr>
            <w:r>
              <w:rPr>
                <w:spacing w:val="-1"/>
              </w:rPr>
              <w:t>2.本套报表金额单位转换时可能存在尾数误差。</w:t>
            </w:r>
          </w:p>
        </w:tc>
        <w:tc>
          <w:tcPr>
            <w:tcW w:w="1712" w:type="dxa"/>
            <w:gridSpan w:val="2"/>
            <w:vAlign w:val="top"/>
          </w:tcPr>
          <w:p>
            <w:pPr>
              <w:spacing w:line="166" w:lineRule="exact"/>
              <w:rPr>
                <w:rFonts w:ascii="Arial"/>
                <w:sz w:val="14"/>
              </w:rPr>
            </w:pPr>
          </w:p>
        </w:tc>
      </w:tr>
    </w:tbl>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pPr>
        <w:sectPr>
          <w:footerReference r:id="rId7" w:type="default"/>
          <w:pgSz w:w="11840" w:h="16780"/>
          <w:pgMar w:top="400" w:right="1555" w:bottom="1579" w:left="1630" w:header="0" w:footer="1311" w:gutter="0"/>
          <w:cols w:space="720" w:num="1"/>
        </w:sectPr>
      </w:pPr>
    </w:p>
    <w:p>
      <w:pPr>
        <w:spacing w:before="18"/>
      </w:pPr>
    </w:p>
    <w:p>
      <w:pPr>
        <w:spacing w:before="18"/>
      </w:pPr>
    </w:p>
    <w:p>
      <w:pPr>
        <w:spacing w:before="18"/>
      </w:pPr>
    </w:p>
    <w:p>
      <w:pPr>
        <w:spacing w:before="18"/>
      </w:pPr>
    </w:p>
    <w:p>
      <w:pPr>
        <w:spacing w:before="18"/>
      </w:pPr>
    </w:p>
    <w:p>
      <w:pPr>
        <w:spacing w:before="27"/>
      </w:pPr>
    </w:p>
    <w:p>
      <w:pPr>
        <w:spacing w:before="27"/>
        <w:rPr>
          <w:rFonts w:hint="eastAsia" w:eastAsia="宋体"/>
          <w:lang w:eastAsia="zh-CN"/>
        </w:rPr>
      </w:pPr>
      <w:r>
        <w:rPr>
          <w:rFonts w:hint="eastAsia" w:eastAsia="宋体"/>
          <w:lang w:eastAsia="zh-CN"/>
        </w:rPr>
        <w:drawing>
          <wp:inline distT="0" distB="0" distL="114300" distR="114300">
            <wp:extent cx="5553075" cy="3712845"/>
            <wp:effectExtent l="0" t="0" r="9525" b="1905"/>
            <wp:docPr id="3" name="图片 3" descr="b1e2b512f5a95823c194dcafbdcb5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1e2b512f5a95823c194dcafbdcb5f8"/>
                    <pic:cNvPicPr>
                      <a:picLocks noChangeAspect="1"/>
                    </pic:cNvPicPr>
                  </pic:nvPicPr>
                  <pic:blipFill>
                    <a:blip r:embed="rId14"/>
                    <a:stretch>
                      <a:fillRect/>
                    </a:stretch>
                  </pic:blipFill>
                  <pic:spPr>
                    <a:xfrm>
                      <a:off x="0" y="0"/>
                      <a:ext cx="5553075" cy="3712845"/>
                    </a:xfrm>
                    <a:prstGeom prst="rect">
                      <a:avLst/>
                    </a:prstGeom>
                  </pic:spPr>
                </pic:pic>
              </a:graphicData>
            </a:graphic>
          </wp:inline>
        </w:drawing>
      </w:r>
    </w:p>
    <w:p>
      <w:pPr>
        <w:spacing w:before="27"/>
      </w:pPr>
    </w:p>
    <w:p>
      <w:pPr>
        <w:spacing w:before="27"/>
        <w:rPr>
          <w:rFonts w:hint="eastAsia" w:eastAsia="宋体"/>
          <w:lang w:eastAsia="zh-CN"/>
        </w:rPr>
      </w:pPr>
      <w:r>
        <w:rPr>
          <w:rFonts w:hint="eastAsia" w:eastAsia="宋体"/>
          <w:lang w:eastAsia="zh-CN"/>
        </w:rPr>
        <w:drawing>
          <wp:inline distT="0" distB="0" distL="114300" distR="114300">
            <wp:extent cx="5086350" cy="4219575"/>
            <wp:effectExtent l="0" t="0" r="0" b="9525"/>
            <wp:docPr id="5" name="图片 5" descr="2f1bf5a75bd0d1ed3f98966700cd1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f1bf5a75bd0d1ed3f98966700cd13d"/>
                    <pic:cNvPicPr>
                      <a:picLocks noChangeAspect="1"/>
                    </pic:cNvPicPr>
                  </pic:nvPicPr>
                  <pic:blipFill>
                    <a:blip r:embed="rId15"/>
                    <a:stretch>
                      <a:fillRect/>
                    </a:stretch>
                  </pic:blipFill>
                  <pic:spPr>
                    <a:xfrm>
                      <a:off x="0" y="0"/>
                      <a:ext cx="5086350" cy="4219575"/>
                    </a:xfrm>
                    <a:prstGeom prst="rect">
                      <a:avLst/>
                    </a:prstGeom>
                  </pic:spPr>
                </pic:pic>
              </a:graphicData>
            </a:graphic>
          </wp:inline>
        </w:drawing>
      </w:r>
    </w:p>
    <w:p>
      <w:pPr>
        <w:spacing w:before="27"/>
      </w:pPr>
    </w:p>
    <w:p>
      <w:pPr>
        <w:spacing w:before="26"/>
      </w:pPr>
    </w:p>
    <w:p>
      <w:pPr>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val="en-US" w:eastAsia="en-US" w:bidi="ar-SA"/>
        </w:rPr>
      </w:pPr>
    </w:p>
    <w:p>
      <w:pPr>
        <w:spacing w:line="182" w:lineRule="auto"/>
        <w:rPr>
          <w:rFonts w:ascii="宋体" w:hAnsi="宋体" w:eastAsia="宋体" w:cs="宋体"/>
          <w:sz w:val="30"/>
          <w:szCs w:val="30"/>
        </w:rPr>
        <w:sectPr>
          <w:footerReference r:id="rId8" w:type="default"/>
          <w:pgSz w:w="11870" w:h="16800"/>
          <w:pgMar w:top="400" w:right="1492" w:bottom="400" w:left="1624" w:header="0" w:footer="0" w:gutter="0"/>
          <w:cols w:space="720" w:num="1"/>
        </w:sectPr>
      </w:pPr>
    </w:p>
    <w:p>
      <w:pPr>
        <w:spacing w:before="10"/>
      </w:pPr>
    </w:p>
    <w:p>
      <w:pPr>
        <w:spacing w:before="9"/>
      </w:pPr>
    </w:p>
    <w:p>
      <w:pPr>
        <w:spacing w:before="9"/>
      </w:pPr>
    </w:p>
    <w:p>
      <w:pPr>
        <w:spacing w:before="9"/>
        <w:rPr>
          <w:rFonts w:hint="eastAsia" w:eastAsia="宋体"/>
          <w:lang w:eastAsia="zh-CN"/>
        </w:rPr>
      </w:pPr>
      <w:r>
        <w:rPr>
          <w:rFonts w:hint="eastAsia" w:eastAsia="宋体"/>
          <w:lang w:eastAsia="zh-CN"/>
        </w:rPr>
        <w:drawing>
          <wp:inline distT="0" distB="0" distL="114300" distR="114300">
            <wp:extent cx="5673725" cy="4163695"/>
            <wp:effectExtent l="0" t="0" r="3175" b="8255"/>
            <wp:docPr id="8" name="图片 8" descr="00d970d9077df1ea4e411cd2a395e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0d970d9077df1ea4e411cd2a395e6d"/>
                    <pic:cNvPicPr>
                      <a:picLocks noChangeAspect="1"/>
                    </pic:cNvPicPr>
                  </pic:nvPicPr>
                  <pic:blipFill>
                    <a:blip r:embed="rId16"/>
                    <a:stretch>
                      <a:fillRect/>
                    </a:stretch>
                  </pic:blipFill>
                  <pic:spPr>
                    <a:xfrm>
                      <a:off x="0" y="0"/>
                      <a:ext cx="5673725" cy="4163695"/>
                    </a:xfrm>
                    <a:prstGeom prst="rect">
                      <a:avLst/>
                    </a:prstGeom>
                  </pic:spPr>
                </pic:pic>
              </a:graphicData>
            </a:graphic>
          </wp:inline>
        </w:drawing>
      </w:r>
    </w:p>
    <w:p>
      <w:pPr>
        <w:spacing w:before="9"/>
      </w:pPr>
    </w:p>
    <w:p>
      <w:pPr>
        <w:spacing w:before="9"/>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spacing w:line="183" w:lineRule="auto"/>
        <w:rPr>
          <w:rFonts w:ascii="宋体" w:hAnsi="宋体" w:eastAsia="宋体" w:cs="宋体"/>
          <w:sz w:val="30"/>
          <w:szCs w:val="30"/>
        </w:rPr>
        <w:sectPr>
          <w:pgSz w:w="11840" w:h="16780"/>
          <w:pgMar w:top="400" w:right="1289" w:bottom="400" w:left="1610" w:header="0" w:footer="0" w:gutter="0"/>
          <w:cols w:space="720" w:num="1"/>
        </w:sectPr>
      </w:pPr>
    </w:p>
    <w:p>
      <w:pPr>
        <w:spacing w:before="28"/>
      </w:pPr>
    </w:p>
    <w:p>
      <w:pPr>
        <w:spacing w:before="28"/>
      </w:pPr>
    </w:p>
    <w:p>
      <w:pPr>
        <w:spacing w:before="28"/>
      </w:pPr>
    </w:p>
    <w:p>
      <w:pPr>
        <w:spacing w:before="28"/>
      </w:pPr>
    </w:p>
    <w:p>
      <w:pPr>
        <w:spacing w:before="27"/>
        <w:rPr>
          <w:rFonts w:hint="eastAsia" w:eastAsia="宋体"/>
          <w:lang w:eastAsia="zh-CN"/>
        </w:rPr>
      </w:pPr>
      <w:r>
        <w:rPr>
          <w:rFonts w:hint="eastAsia" w:eastAsia="宋体"/>
          <w:lang w:eastAsia="zh-CN"/>
        </w:rPr>
        <w:drawing>
          <wp:inline distT="0" distB="0" distL="114300" distR="114300">
            <wp:extent cx="5343525" cy="5695950"/>
            <wp:effectExtent l="0" t="0" r="9525" b="0"/>
            <wp:docPr id="9" name="图片 9" descr="4870d5b951358c42222c1eb4e649c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870d5b951358c42222c1eb4e649c0f"/>
                    <pic:cNvPicPr>
                      <a:picLocks noChangeAspect="1"/>
                    </pic:cNvPicPr>
                  </pic:nvPicPr>
                  <pic:blipFill>
                    <a:blip r:embed="rId17"/>
                    <a:stretch>
                      <a:fillRect/>
                    </a:stretch>
                  </pic:blipFill>
                  <pic:spPr>
                    <a:xfrm>
                      <a:off x="0" y="0"/>
                      <a:ext cx="5343525" cy="5695950"/>
                    </a:xfrm>
                    <a:prstGeom prst="rect">
                      <a:avLst/>
                    </a:prstGeom>
                  </pic:spPr>
                </pic:pic>
              </a:graphicData>
            </a:graphic>
          </wp:inline>
        </w:drawing>
      </w:r>
    </w:p>
    <w:p>
      <w:pPr>
        <w:spacing w:before="27"/>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spacing w:before="8"/>
      </w:pPr>
    </w:p>
    <w:p>
      <w:pPr>
        <w:spacing w:before="8"/>
      </w:pPr>
    </w:p>
    <w:p>
      <w:pPr>
        <w:spacing w:before="8"/>
      </w:pPr>
    </w:p>
    <w:p>
      <w:pPr>
        <w:spacing w:before="8"/>
      </w:pPr>
    </w:p>
    <w:p>
      <w:pPr>
        <w:spacing w:before="8"/>
        <w:rPr>
          <w:rFonts w:hint="eastAsia" w:eastAsia="宋体"/>
          <w:lang w:eastAsia="zh-CN"/>
        </w:rPr>
      </w:pPr>
      <w:r>
        <w:rPr>
          <w:rFonts w:hint="eastAsia" w:eastAsia="宋体"/>
          <w:lang w:eastAsia="zh-CN"/>
        </w:rPr>
        <w:drawing>
          <wp:inline distT="0" distB="0" distL="114300" distR="114300">
            <wp:extent cx="4619625" cy="7458075"/>
            <wp:effectExtent l="0" t="0" r="9525" b="9525"/>
            <wp:docPr id="10" name="图片 10" descr="269101b8c5eef12323606e364c178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69101b8c5eef12323606e364c178eb"/>
                    <pic:cNvPicPr>
                      <a:picLocks noChangeAspect="1"/>
                    </pic:cNvPicPr>
                  </pic:nvPicPr>
                  <pic:blipFill>
                    <a:blip r:embed="rId18"/>
                    <a:stretch>
                      <a:fillRect/>
                    </a:stretch>
                  </pic:blipFill>
                  <pic:spPr>
                    <a:xfrm>
                      <a:off x="0" y="0"/>
                      <a:ext cx="4619625" cy="7458075"/>
                    </a:xfrm>
                    <a:prstGeom prst="rect">
                      <a:avLst/>
                    </a:prstGeom>
                  </pic:spPr>
                </pic:pic>
              </a:graphicData>
            </a:graphic>
          </wp:inline>
        </w:drawing>
      </w:r>
    </w:p>
    <w:p>
      <w:pPr>
        <w:spacing w:before="7"/>
      </w:pPr>
    </w:p>
    <w:p>
      <w:pPr>
        <w:spacing w:before="19" w:line="219" w:lineRule="auto"/>
        <w:ind w:left="379"/>
        <w:rPr>
          <w:rFonts w:ascii="宋体" w:hAnsi="宋体" w:eastAsia="宋体" w:cs="宋体"/>
          <w:sz w:val="14"/>
          <w:szCs w:val="14"/>
        </w:rPr>
      </w:pPr>
      <w:r>
        <w:rPr>
          <w:rFonts w:ascii="宋体" w:hAnsi="宋体" w:eastAsia="宋体" w:cs="宋体"/>
          <w:spacing w:val="-3"/>
          <w:sz w:val="14"/>
          <w:szCs w:val="14"/>
          <w:u w:val="single" w:color="auto"/>
        </w:rPr>
        <w:t xml:space="preserve">公共预算财政拨款基本支出明细情况。           </w:t>
      </w:r>
    </w:p>
    <w:p>
      <w:pPr>
        <w:spacing w:line="183" w:lineRule="auto"/>
        <w:rPr>
          <w:rFonts w:ascii="宋体" w:hAnsi="宋体" w:eastAsia="宋体" w:cs="宋体"/>
          <w:sz w:val="27"/>
          <w:szCs w:val="27"/>
        </w:rPr>
        <w:sectPr>
          <w:pgSz w:w="11840" w:h="16780"/>
          <w:pgMar w:top="400" w:right="1776" w:bottom="400" w:left="1650" w:header="0" w:footer="0" w:gutter="0"/>
          <w:cols w:space="720" w:num="1"/>
        </w:sectPr>
      </w:pPr>
    </w:p>
    <w:p>
      <w:pPr>
        <w:spacing w:before="31"/>
      </w:pPr>
    </w:p>
    <w:p>
      <w:pPr>
        <w:spacing w:before="31"/>
      </w:pPr>
    </w:p>
    <w:p>
      <w:pPr>
        <w:spacing w:before="31"/>
        <w:rPr>
          <w:rFonts w:hint="eastAsia" w:eastAsia="宋体"/>
          <w:lang w:eastAsia="zh-CN"/>
        </w:rPr>
      </w:pPr>
      <w:r>
        <w:rPr>
          <w:rFonts w:hint="eastAsia" w:eastAsia="宋体"/>
          <w:lang w:eastAsia="zh-CN"/>
        </w:rPr>
        <w:drawing>
          <wp:inline distT="0" distB="0" distL="114300" distR="114300">
            <wp:extent cx="5551170" cy="2270760"/>
            <wp:effectExtent l="0" t="0" r="11430" b="15240"/>
            <wp:docPr id="11" name="图片 11" descr="942489533952072076b237f6835bf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42489533952072076b237f6835bf6d"/>
                    <pic:cNvPicPr>
                      <a:picLocks noChangeAspect="1"/>
                    </pic:cNvPicPr>
                  </pic:nvPicPr>
                  <pic:blipFill>
                    <a:blip r:embed="rId19"/>
                    <a:stretch>
                      <a:fillRect/>
                    </a:stretch>
                  </pic:blipFill>
                  <pic:spPr>
                    <a:xfrm>
                      <a:off x="0" y="0"/>
                      <a:ext cx="5551170" cy="2270760"/>
                    </a:xfrm>
                    <a:prstGeom prst="rect">
                      <a:avLst/>
                    </a:prstGeom>
                  </pic:spPr>
                </pic:pic>
              </a:graphicData>
            </a:graphic>
          </wp:inline>
        </w:drawing>
      </w:r>
    </w:p>
    <w:p>
      <w:pPr>
        <w:spacing w:before="31"/>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1"/>
      </w:pPr>
    </w:p>
    <w:p>
      <w:pPr>
        <w:spacing w:before="1"/>
      </w:pPr>
    </w:p>
    <w:tbl>
      <w:tblPr>
        <w:tblStyle w:val="7"/>
        <w:tblW w:w="8674"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439"/>
        <w:gridCol w:w="450"/>
        <w:gridCol w:w="2857"/>
        <w:gridCol w:w="1448"/>
        <w:gridCol w:w="1588"/>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8674" w:type="dxa"/>
            <w:gridSpan w:val="7"/>
            <w:vAlign w:val="top"/>
          </w:tcPr>
          <w:p>
            <w:pPr>
              <w:pStyle w:val="6"/>
              <w:spacing w:before="63" w:line="212" w:lineRule="auto"/>
              <w:ind w:left="1219"/>
              <w:rPr>
                <w:sz w:val="34"/>
                <w:szCs w:val="34"/>
              </w:rPr>
            </w:pPr>
            <w:r>
              <w:rPr>
                <w:b/>
                <w:bCs/>
                <w:spacing w:val="-4"/>
                <w:sz w:val="34"/>
                <w:szCs w:val="34"/>
              </w:rPr>
              <w:t>国有资本经营预算财政拨款支出决算表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444" w:type="dxa"/>
            <w:vAlign w:val="top"/>
          </w:tcPr>
          <w:p>
            <w:pPr>
              <w:spacing w:line="200" w:lineRule="exact"/>
              <w:rPr>
                <w:rFonts w:ascii="Arial"/>
                <w:sz w:val="17"/>
              </w:rPr>
            </w:pPr>
          </w:p>
        </w:tc>
        <w:tc>
          <w:tcPr>
            <w:tcW w:w="439" w:type="dxa"/>
            <w:vAlign w:val="top"/>
          </w:tcPr>
          <w:p>
            <w:pPr>
              <w:spacing w:line="200" w:lineRule="exact"/>
              <w:rPr>
                <w:rFonts w:ascii="Arial"/>
                <w:sz w:val="17"/>
              </w:rPr>
            </w:pPr>
          </w:p>
        </w:tc>
        <w:tc>
          <w:tcPr>
            <w:tcW w:w="450" w:type="dxa"/>
            <w:vAlign w:val="top"/>
          </w:tcPr>
          <w:p>
            <w:pPr>
              <w:spacing w:line="200" w:lineRule="exact"/>
              <w:rPr>
                <w:rFonts w:ascii="Arial"/>
                <w:sz w:val="17"/>
              </w:rPr>
            </w:pPr>
          </w:p>
        </w:tc>
        <w:tc>
          <w:tcPr>
            <w:tcW w:w="2857" w:type="dxa"/>
            <w:vAlign w:val="top"/>
          </w:tcPr>
          <w:p>
            <w:pPr>
              <w:spacing w:line="200" w:lineRule="exact"/>
              <w:rPr>
                <w:rFonts w:ascii="Arial"/>
                <w:sz w:val="17"/>
              </w:rPr>
            </w:pPr>
          </w:p>
        </w:tc>
        <w:tc>
          <w:tcPr>
            <w:tcW w:w="1448" w:type="dxa"/>
            <w:vAlign w:val="top"/>
          </w:tcPr>
          <w:p>
            <w:pPr>
              <w:spacing w:line="200" w:lineRule="exact"/>
              <w:rPr>
                <w:rFonts w:ascii="Arial"/>
                <w:sz w:val="17"/>
              </w:rPr>
            </w:pPr>
          </w:p>
        </w:tc>
        <w:tc>
          <w:tcPr>
            <w:tcW w:w="1588" w:type="dxa"/>
            <w:vAlign w:val="top"/>
          </w:tcPr>
          <w:p>
            <w:pPr>
              <w:spacing w:line="200" w:lineRule="exact"/>
              <w:rPr>
                <w:rFonts w:ascii="Arial"/>
                <w:sz w:val="17"/>
              </w:rPr>
            </w:pPr>
          </w:p>
        </w:tc>
        <w:tc>
          <w:tcPr>
            <w:tcW w:w="1448" w:type="dxa"/>
            <w:vAlign w:val="top"/>
          </w:tcPr>
          <w:p>
            <w:pPr>
              <w:pStyle w:val="6"/>
              <w:spacing w:before="20" w:line="166" w:lineRule="auto"/>
              <w:jc w:val="right"/>
              <w:rPr>
                <w:sz w:val="20"/>
                <w:szCs w:val="20"/>
              </w:rPr>
            </w:pPr>
            <w:r>
              <w:rPr>
                <w:spacing w:val="-1"/>
                <w:sz w:val="20"/>
                <w:szCs w:val="20"/>
              </w:rPr>
              <w:t>公开08表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883" w:type="dxa"/>
            <w:gridSpan w:val="2"/>
            <w:vAlign w:val="top"/>
          </w:tcPr>
          <w:p>
            <w:pPr>
              <w:pStyle w:val="6"/>
              <w:spacing w:before="19" w:line="167" w:lineRule="auto"/>
              <w:jc w:val="right"/>
              <w:rPr>
                <w:sz w:val="20"/>
                <w:szCs w:val="20"/>
              </w:rPr>
            </w:pPr>
            <w:r>
              <w:rPr>
                <w:spacing w:val="-22"/>
                <w:w w:val="96"/>
                <w:sz w:val="20"/>
                <w:szCs w:val="20"/>
              </w:rPr>
              <w:t>编制单位：</w:t>
            </w:r>
          </w:p>
        </w:tc>
        <w:tc>
          <w:tcPr>
            <w:tcW w:w="450" w:type="dxa"/>
            <w:vAlign w:val="top"/>
          </w:tcPr>
          <w:p>
            <w:pPr>
              <w:spacing w:line="200" w:lineRule="exact"/>
              <w:rPr>
                <w:rFonts w:ascii="Arial"/>
                <w:sz w:val="17"/>
              </w:rPr>
            </w:pPr>
          </w:p>
        </w:tc>
        <w:tc>
          <w:tcPr>
            <w:tcW w:w="2857" w:type="dxa"/>
            <w:vAlign w:val="top"/>
          </w:tcPr>
          <w:p>
            <w:pPr>
              <w:spacing w:line="200" w:lineRule="exact"/>
              <w:rPr>
                <w:rFonts w:ascii="Arial"/>
                <w:sz w:val="17"/>
              </w:rPr>
            </w:pPr>
          </w:p>
        </w:tc>
        <w:tc>
          <w:tcPr>
            <w:tcW w:w="1448" w:type="dxa"/>
            <w:vAlign w:val="top"/>
          </w:tcPr>
          <w:p>
            <w:pPr>
              <w:pStyle w:val="6"/>
              <w:spacing w:before="19" w:line="167" w:lineRule="auto"/>
              <w:ind w:left="315"/>
              <w:rPr>
                <w:sz w:val="20"/>
                <w:szCs w:val="20"/>
              </w:rPr>
            </w:pPr>
            <w:r>
              <w:rPr>
                <w:spacing w:val="1"/>
                <w:sz w:val="20"/>
                <w:szCs w:val="20"/>
              </w:rPr>
              <w:t>2022年度</w:t>
            </w:r>
          </w:p>
        </w:tc>
        <w:tc>
          <w:tcPr>
            <w:tcW w:w="1588" w:type="dxa"/>
            <w:vAlign w:val="top"/>
          </w:tcPr>
          <w:p>
            <w:pPr>
              <w:spacing w:line="200" w:lineRule="exact"/>
              <w:rPr>
                <w:rFonts w:ascii="Arial"/>
                <w:sz w:val="17"/>
              </w:rPr>
            </w:pPr>
          </w:p>
        </w:tc>
        <w:tc>
          <w:tcPr>
            <w:tcW w:w="1448" w:type="dxa"/>
            <w:vAlign w:val="top"/>
          </w:tcPr>
          <w:p>
            <w:pPr>
              <w:pStyle w:val="6"/>
              <w:spacing w:before="19" w:line="167" w:lineRule="auto"/>
              <w:ind w:left="39"/>
              <w:rPr>
                <w:sz w:val="20"/>
                <w:szCs w:val="20"/>
              </w:rPr>
            </w:pPr>
            <w:r>
              <w:rPr>
                <w:spacing w:val="-2"/>
                <w:sz w:val="20"/>
                <w:szCs w:val="20"/>
              </w:rPr>
              <w:t>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190" w:type="dxa"/>
            <w:gridSpan w:val="4"/>
            <w:vAlign w:val="top"/>
          </w:tcPr>
          <w:p>
            <w:pPr>
              <w:pStyle w:val="6"/>
              <w:spacing w:before="29" w:line="193" w:lineRule="auto"/>
              <w:ind w:left="1674"/>
              <w:rPr>
                <w:sz w:val="20"/>
                <w:szCs w:val="20"/>
              </w:rPr>
            </w:pPr>
            <w:r>
              <w:rPr>
                <w:spacing w:val="-6"/>
                <w:sz w:val="20"/>
                <w:szCs w:val="20"/>
              </w:rPr>
              <w:t>项</w:t>
            </w:r>
            <w:r>
              <w:rPr>
                <w:spacing w:val="7"/>
                <w:sz w:val="20"/>
                <w:szCs w:val="20"/>
              </w:rPr>
              <w:t xml:space="preserve">     </w:t>
            </w:r>
            <w:r>
              <w:rPr>
                <w:spacing w:val="-6"/>
                <w:sz w:val="20"/>
                <w:szCs w:val="20"/>
              </w:rPr>
              <w:t>目</w:t>
            </w:r>
          </w:p>
        </w:tc>
        <w:tc>
          <w:tcPr>
            <w:tcW w:w="1448" w:type="dxa"/>
            <w:vMerge w:val="restart"/>
            <w:tcBorders>
              <w:bottom w:val="nil"/>
            </w:tcBorders>
            <w:vAlign w:val="top"/>
          </w:tcPr>
          <w:p>
            <w:pPr>
              <w:spacing w:line="353" w:lineRule="auto"/>
              <w:rPr>
                <w:rFonts w:ascii="Arial"/>
                <w:sz w:val="21"/>
              </w:rPr>
            </w:pPr>
          </w:p>
          <w:p>
            <w:pPr>
              <w:pStyle w:val="6"/>
              <w:spacing w:before="65" w:line="221" w:lineRule="auto"/>
              <w:ind w:left="515"/>
              <w:rPr>
                <w:sz w:val="20"/>
                <w:szCs w:val="20"/>
              </w:rPr>
            </w:pPr>
            <w:r>
              <w:rPr>
                <w:spacing w:val="-3"/>
                <w:sz w:val="20"/>
                <w:szCs w:val="20"/>
              </w:rPr>
              <w:t>合计</w:t>
            </w:r>
          </w:p>
        </w:tc>
        <w:tc>
          <w:tcPr>
            <w:tcW w:w="1588" w:type="dxa"/>
            <w:vMerge w:val="restart"/>
            <w:tcBorders>
              <w:bottom w:val="nil"/>
            </w:tcBorders>
            <w:vAlign w:val="top"/>
          </w:tcPr>
          <w:p>
            <w:pPr>
              <w:spacing w:line="350" w:lineRule="auto"/>
              <w:rPr>
                <w:rFonts w:ascii="Arial"/>
                <w:sz w:val="21"/>
              </w:rPr>
            </w:pPr>
          </w:p>
          <w:p>
            <w:pPr>
              <w:pStyle w:val="6"/>
              <w:spacing w:before="65" w:line="219" w:lineRule="auto"/>
              <w:ind w:left="386"/>
              <w:rPr>
                <w:sz w:val="20"/>
                <w:szCs w:val="20"/>
              </w:rPr>
            </w:pPr>
            <w:r>
              <w:rPr>
                <w:spacing w:val="6"/>
                <w:sz w:val="20"/>
                <w:szCs w:val="20"/>
              </w:rPr>
              <w:t>基本支出</w:t>
            </w:r>
          </w:p>
        </w:tc>
        <w:tc>
          <w:tcPr>
            <w:tcW w:w="1448" w:type="dxa"/>
            <w:vMerge w:val="restart"/>
            <w:tcBorders>
              <w:bottom w:val="nil"/>
            </w:tcBorders>
            <w:vAlign w:val="top"/>
          </w:tcPr>
          <w:p>
            <w:pPr>
              <w:spacing w:line="352" w:lineRule="auto"/>
              <w:rPr>
                <w:rFonts w:ascii="Arial"/>
                <w:sz w:val="21"/>
              </w:rPr>
            </w:pPr>
          </w:p>
          <w:p>
            <w:pPr>
              <w:pStyle w:val="6"/>
              <w:spacing w:before="65" w:line="220" w:lineRule="auto"/>
              <w:ind w:left="338"/>
              <w:rPr>
                <w:sz w:val="20"/>
                <w:szCs w:val="20"/>
              </w:rPr>
            </w:pPr>
            <w:r>
              <w:rPr>
                <w:spacing w:val="6"/>
                <w:sz w:val="20"/>
                <w:szCs w:val="2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333" w:type="dxa"/>
            <w:gridSpan w:val="3"/>
            <w:vAlign w:val="top"/>
          </w:tcPr>
          <w:p>
            <w:pPr>
              <w:pStyle w:val="6"/>
              <w:spacing w:before="199" w:line="206" w:lineRule="auto"/>
              <w:ind w:left="254" w:right="76" w:hanging="200"/>
              <w:rPr>
                <w:sz w:val="20"/>
                <w:szCs w:val="20"/>
              </w:rPr>
            </w:pPr>
            <w:r>
              <w:rPr>
                <w:spacing w:val="-2"/>
                <w:sz w:val="20"/>
                <w:szCs w:val="20"/>
              </w:rPr>
              <w:t>支出功能分类</w:t>
            </w:r>
            <w:r>
              <w:rPr>
                <w:spacing w:val="2"/>
                <w:sz w:val="20"/>
                <w:szCs w:val="20"/>
              </w:rPr>
              <w:t xml:space="preserve"> </w:t>
            </w:r>
            <w:r>
              <w:rPr>
                <w:spacing w:val="-2"/>
                <w:sz w:val="20"/>
                <w:szCs w:val="20"/>
              </w:rPr>
              <w:t>科目编码</w:t>
            </w:r>
          </w:p>
        </w:tc>
        <w:tc>
          <w:tcPr>
            <w:tcW w:w="2857" w:type="dxa"/>
            <w:vAlign w:val="top"/>
          </w:tcPr>
          <w:p>
            <w:pPr>
              <w:pStyle w:val="6"/>
              <w:spacing w:before="288" w:line="219" w:lineRule="auto"/>
              <w:ind w:left="1021"/>
              <w:rPr>
                <w:sz w:val="20"/>
                <w:szCs w:val="20"/>
              </w:rPr>
            </w:pPr>
            <w:r>
              <w:rPr>
                <w:spacing w:val="-2"/>
                <w:sz w:val="20"/>
                <w:szCs w:val="20"/>
              </w:rPr>
              <w:t>科目名称</w:t>
            </w:r>
          </w:p>
        </w:tc>
        <w:tc>
          <w:tcPr>
            <w:tcW w:w="1448" w:type="dxa"/>
            <w:vMerge w:val="continue"/>
            <w:tcBorders>
              <w:top w:val="nil"/>
            </w:tcBorders>
            <w:vAlign w:val="top"/>
          </w:tcPr>
          <w:p>
            <w:pPr>
              <w:rPr>
                <w:rFonts w:ascii="Arial"/>
                <w:sz w:val="21"/>
              </w:rPr>
            </w:pPr>
          </w:p>
        </w:tc>
        <w:tc>
          <w:tcPr>
            <w:tcW w:w="1588" w:type="dxa"/>
            <w:vMerge w:val="continue"/>
            <w:tcBorders>
              <w:top w:val="nil"/>
            </w:tcBorders>
            <w:vAlign w:val="top"/>
          </w:tcPr>
          <w:p>
            <w:pPr>
              <w:rPr>
                <w:rFonts w:ascii="Arial"/>
                <w:sz w:val="21"/>
              </w:rPr>
            </w:pPr>
          </w:p>
        </w:tc>
        <w:tc>
          <w:tcPr>
            <w:tcW w:w="144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444" w:type="dxa"/>
            <w:vMerge w:val="restart"/>
            <w:tcBorders>
              <w:bottom w:val="nil"/>
            </w:tcBorders>
            <w:vAlign w:val="top"/>
          </w:tcPr>
          <w:p>
            <w:pPr>
              <w:pStyle w:val="6"/>
              <w:spacing w:before="152" w:line="219" w:lineRule="auto"/>
              <w:ind w:left="105"/>
              <w:rPr>
                <w:sz w:val="20"/>
                <w:szCs w:val="20"/>
              </w:rPr>
            </w:pPr>
            <w:r>
              <w:rPr>
                <w:sz w:val="20"/>
                <w:szCs w:val="20"/>
              </w:rPr>
              <w:t>类</w:t>
            </w:r>
          </w:p>
        </w:tc>
        <w:tc>
          <w:tcPr>
            <w:tcW w:w="439" w:type="dxa"/>
            <w:vMerge w:val="restart"/>
            <w:tcBorders>
              <w:bottom w:val="nil"/>
            </w:tcBorders>
            <w:vAlign w:val="top"/>
          </w:tcPr>
          <w:p>
            <w:pPr>
              <w:pStyle w:val="6"/>
              <w:spacing w:before="153" w:line="221" w:lineRule="auto"/>
              <w:ind w:left="111"/>
              <w:rPr>
                <w:sz w:val="20"/>
                <w:szCs w:val="20"/>
              </w:rPr>
            </w:pPr>
            <w:r>
              <w:rPr>
                <w:sz w:val="20"/>
                <w:szCs w:val="20"/>
              </w:rPr>
              <w:t>款</w:t>
            </w:r>
          </w:p>
        </w:tc>
        <w:tc>
          <w:tcPr>
            <w:tcW w:w="450" w:type="dxa"/>
            <w:vMerge w:val="restart"/>
            <w:tcBorders>
              <w:bottom w:val="nil"/>
            </w:tcBorders>
            <w:vAlign w:val="top"/>
          </w:tcPr>
          <w:p>
            <w:pPr>
              <w:pStyle w:val="6"/>
              <w:spacing w:before="152" w:line="220" w:lineRule="auto"/>
              <w:ind w:left="122"/>
              <w:rPr>
                <w:sz w:val="20"/>
                <w:szCs w:val="20"/>
              </w:rPr>
            </w:pPr>
            <w:r>
              <w:rPr>
                <w:sz w:val="20"/>
                <w:szCs w:val="20"/>
              </w:rPr>
              <w:t>项</w:t>
            </w:r>
          </w:p>
        </w:tc>
        <w:tc>
          <w:tcPr>
            <w:tcW w:w="2857" w:type="dxa"/>
            <w:vAlign w:val="top"/>
          </w:tcPr>
          <w:p>
            <w:pPr>
              <w:pStyle w:val="6"/>
              <w:spacing w:before="22" w:line="191" w:lineRule="auto"/>
              <w:ind w:left="1222"/>
              <w:rPr>
                <w:sz w:val="20"/>
                <w:szCs w:val="20"/>
              </w:rPr>
            </w:pPr>
            <w:r>
              <w:rPr>
                <w:spacing w:val="-2"/>
                <w:sz w:val="20"/>
                <w:szCs w:val="20"/>
              </w:rPr>
              <w:t>栏次</w:t>
            </w:r>
          </w:p>
        </w:tc>
        <w:tc>
          <w:tcPr>
            <w:tcW w:w="1448" w:type="dxa"/>
            <w:vAlign w:val="top"/>
          </w:tcPr>
          <w:p>
            <w:pPr>
              <w:pStyle w:val="6"/>
              <w:spacing w:before="73" w:line="156" w:lineRule="exact"/>
              <w:ind w:left="664"/>
              <w:rPr>
                <w:sz w:val="20"/>
                <w:szCs w:val="20"/>
              </w:rPr>
            </w:pPr>
            <w:r>
              <w:rPr>
                <w:position w:val="-2"/>
                <w:sz w:val="20"/>
                <w:szCs w:val="20"/>
              </w:rPr>
              <w:t>1</w:t>
            </w:r>
          </w:p>
        </w:tc>
        <w:tc>
          <w:tcPr>
            <w:tcW w:w="1588" w:type="dxa"/>
            <w:vAlign w:val="top"/>
          </w:tcPr>
          <w:p>
            <w:pPr>
              <w:pStyle w:val="6"/>
              <w:spacing w:before="73" w:line="156" w:lineRule="exact"/>
              <w:ind w:left="737"/>
              <w:rPr>
                <w:sz w:val="20"/>
                <w:szCs w:val="20"/>
              </w:rPr>
            </w:pPr>
            <w:r>
              <w:rPr>
                <w:position w:val="-2"/>
                <w:sz w:val="20"/>
                <w:szCs w:val="20"/>
              </w:rPr>
              <w:t>2</w:t>
            </w:r>
          </w:p>
        </w:tc>
        <w:tc>
          <w:tcPr>
            <w:tcW w:w="1448" w:type="dxa"/>
            <w:vAlign w:val="top"/>
          </w:tcPr>
          <w:p>
            <w:pPr>
              <w:pStyle w:val="6"/>
              <w:spacing w:before="73" w:line="156" w:lineRule="exact"/>
              <w:ind w:left="658"/>
              <w:rPr>
                <w:sz w:val="20"/>
                <w:szCs w:val="20"/>
              </w:rPr>
            </w:pPr>
            <w:r>
              <w:rPr>
                <w:position w:val="-2"/>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44" w:type="dxa"/>
            <w:vMerge w:val="continue"/>
            <w:tcBorders>
              <w:top w:val="nil"/>
            </w:tcBorders>
            <w:vAlign w:val="top"/>
          </w:tcPr>
          <w:p>
            <w:pPr>
              <w:rPr>
                <w:rFonts w:ascii="Arial"/>
                <w:sz w:val="21"/>
              </w:rPr>
            </w:pPr>
          </w:p>
        </w:tc>
        <w:tc>
          <w:tcPr>
            <w:tcW w:w="439" w:type="dxa"/>
            <w:vMerge w:val="continue"/>
            <w:tcBorders>
              <w:top w:val="nil"/>
            </w:tcBorders>
            <w:vAlign w:val="top"/>
          </w:tcPr>
          <w:p>
            <w:pPr>
              <w:rPr>
                <w:rFonts w:ascii="Arial"/>
                <w:sz w:val="21"/>
              </w:rPr>
            </w:pPr>
          </w:p>
        </w:tc>
        <w:tc>
          <w:tcPr>
            <w:tcW w:w="450" w:type="dxa"/>
            <w:vMerge w:val="continue"/>
            <w:tcBorders>
              <w:top w:val="nil"/>
            </w:tcBorders>
            <w:vAlign w:val="top"/>
          </w:tcPr>
          <w:p>
            <w:pPr>
              <w:rPr>
                <w:rFonts w:ascii="Arial"/>
                <w:sz w:val="21"/>
              </w:rPr>
            </w:pPr>
          </w:p>
        </w:tc>
        <w:tc>
          <w:tcPr>
            <w:tcW w:w="2857" w:type="dxa"/>
            <w:vAlign w:val="top"/>
          </w:tcPr>
          <w:p>
            <w:pPr>
              <w:pStyle w:val="6"/>
              <w:spacing w:before="34" w:line="190" w:lineRule="auto"/>
              <w:ind w:left="1222"/>
              <w:rPr>
                <w:sz w:val="20"/>
                <w:szCs w:val="20"/>
              </w:rPr>
            </w:pPr>
            <w:r>
              <w:rPr>
                <w:spacing w:val="-3"/>
                <w:sz w:val="20"/>
                <w:szCs w:val="20"/>
              </w:rPr>
              <w:t>合计</w:t>
            </w:r>
          </w:p>
        </w:tc>
        <w:tc>
          <w:tcPr>
            <w:tcW w:w="1448" w:type="dxa"/>
            <w:vAlign w:val="top"/>
          </w:tcPr>
          <w:p>
            <w:pPr>
              <w:spacing w:line="240" w:lineRule="exact"/>
              <w:rPr>
                <w:rFonts w:ascii="Arial"/>
                <w:sz w:val="20"/>
              </w:rPr>
            </w:pPr>
          </w:p>
        </w:tc>
        <w:tc>
          <w:tcPr>
            <w:tcW w:w="1588" w:type="dxa"/>
            <w:vAlign w:val="top"/>
          </w:tcPr>
          <w:p>
            <w:pPr>
              <w:spacing w:line="240" w:lineRule="exact"/>
              <w:rPr>
                <w:rFonts w:ascii="Arial"/>
                <w:sz w:val="20"/>
              </w:rPr>
            </w:pPr>
          </w:p>
        </w:tc>
        <w:tc>
          <w:tcPr>
            <w:tcW w:w="1448"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333" w:type="dxa"/>
            <w:gridSpan w:val="3"/>
            <w:vAlign w:val="top"/>
          </w:tcPr>
          <w:p>
            <w:pPr>
              <w:spacing w:line="239" w:lineRule="exact"/>
              <w:rPr>
                <w:rFonts w:ascii="Arial"/>
                <w:sz w:val="20"/>
              </w:rPr>
            </w:pPr>
          </w:p>
        </w:tc>
        <w:tc>
          <w:tcPr>
            <w:tcW w:w="2857" w:type="dxa"/>
            <w:vAlign w:val="top"/>
          </w:tcPr>
          <w:p>
            <w:pPr>
              <w:spacing w:line="239" w:lineRule="exact"/>
              <w:rPr>
                <w:rFonts w:ascii="Arial"/>
                <w:sz w:val="20"/>
              </w:rPr>
            </w:pPr>
          </w:p>
        </w:tc>
        <w:tc>
          <w:tcPr>
            <w:tcW w:w="1448" w:type="dxa"/>
            <w:vAlign w:val="top"/>
          </w:tcPr>
          <w:p>
            <w:pPr>
              <w:spacing w:line="239" w:lineRule="exact"/>
              <w:rPr>
                <w:rFonts w:ascii="Arial"/>
                <w:sz w:val="20"/>
              </w:rPr>
            </w:pPr>
          </w:p>
        </w:tc>
        <w:tc>
          <w:tcPr>
            <w:tcW w:w="1588" w:type="dxa"/>
            <w:vAlign w:val="top"/>
          </w:tcPr>
          <w:p>
            <w:pPr>
              <w:spacing w:line="239" w:lineRule="exact"/>
              <w:rPr>
                <w:rFonts w:ascii="Arial"/>
                <w:sz w:val="20"/>
              </w:rPr>
            </w:pPr>
          </w:p>
        </w:tc>
        <w:tc>
          <w:tcPr>
            <w:tcW w:w="1448" w:type="dxa"/>
            <w:vAlign w:val="top"/>
          </w:tcPr>
          <w:p>
            <w:pPr>
              <w:spacing w:line="239"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333" w:type="dxa"/>
            <w:gridSpan w:val="3"/>
            <w:vAlign w:val="top"/>
          </w:tcPr>
          <w:p>
            <w:pPr>
              <w:spacing w:line="239" w:lineRule="exact"/>
              <w:rPr>
                <w:rFonts w:ascii="Arial"/>
                <w:sz w:val="20"/>
              </w:rPr>
            </w:pPr>
          </w:p>
        </w:tc>
        <w:tc>
          <w:tcPr>
            <w:tcW w:w="2857" w:type="dxa"/>
            <w:vAlign w:val="top"/>
          </w:tcPr>
          <w:p>
            <w:pPr>
              <w:spacing w:line="239" w:lineRule="exact"/>
              <w:rPr>
                <w:rFonts w:ascii="Arial"/>
                <w:sz w:val="20"/>
              </w:rPr>
            </w:pPr>
          </w:p>
        </w:tc>
        <w:tc>
          <w:tcPr>
            <w:tcW w:w="1448" w:type="dxa"/>
            <w:vAlign w:val="top"/>
          </w:tcPr>
          <w:p>
            <w:pPr>
              <w:spacing w:line="239" w:lineRule="exact"/>
              <w:rPr>
                <w:rFonts w:ascii="Arial"/>
                <w:sz w:val="20"/>
              </w:rPr>
            </w:pPr>
          </w:p>
        </w:tc>
        <w:tc>
          <w:tcPr>
            <w:tcW w:w="1588" w:type="dxa"/>
            <w:vAlign w:val="top"/>
          </w:tcPr>
          <w:p>
            <w:pPr>
              <w:spacing w:line="239" w:lineRule="exact"/>
              <w:rPr>
                <w:rFonts w:ascii="Arial"/>
                <w:sz w:val="20"/>
              </w:rPr>
            </w:pPr>
          </w:p>
        </w:tc>
        <w:tc>
          <w:tcPr>
            <w:tcW w:w="1448" w:type="dxa"/>
            <w:vAlign w:val="top"/>
          </w:tcPr>
          <w:p>
            <w:pPr>
              <w:spacing w:line="239"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333" w:type="dxa"/>
            <w:gridSpan w:val="3"/>
            <w:vAlign w:val="top"/>
          </w:tcPr>
          <w:p>
            <w:pPr>
              <w:spacing w:line="230" w:lineRule="exact"/>
              <w:rPr>
                <w:rFonts w:ascii="Arial"/>
                <w:sz w:val="20"/>
              </w:rPr>
            </w:pPr>
          </w:p>
        </w:tc>
        <w:tc>
          <w:tcPr>
            <w:tcW w:w="2857" w:type="dxa"/>
            <w:vAlign w:val="top"/>
          </w:tcPr>
          <w:p>
            <w:pPr>
              <w:spacing w:line="230" w:lineRule="exact"/>
              <w:rPr>
                <w:rFonts w:ascii="Arial"/>
                <w:sz w:val="20"/>
              </w:rPr>
            </w:pPr>
          </w:p>
        </w:tc>
        <w:tc>
          <w:tcPr>
            <w:tcW w:w="1448" w:type="dxa"/>
            <w:vAlign w:val="top"/>
          </w:tcPr>
          <w:p>
            <w:pPr>
              <w:spacing w:line="230" w:lineRule="exact"/>
              <w:rPr>
                <w:rFonts w:ascii="Arial"/>
                <w:sz w:val="20"/>
              </w:rPr>
            </w:pPr>
          </w:p>
        </w:tc>
        <w:tc>
          <w:tcPr>
            <w:tcW w:w="1588" w:type="dxa"/>
            <w:vAlign w:val="top"/>
          </w:tcPr>
          <w:p>
            <w:pPr>
              <w:spacing w:line="230" w:lineRule="exact"/>
              <w:rPr>
                <w:rFonts w:ascii="Arial"/>
                <w:sz w:val="20"/>
              </w:rPr>
            </w:pPr>
          </w:p>
        </w:tc>
        <w:tc>
          <w:tcPr>
            <w:tcW w:w="1448" w:type="dxa"/>
            <w:vAlign w:val="top"/>
          </w:tcPr>
          <w:p>
            <w:pPr>
              <w:spacing w:line="23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333" w:type="dxa"/>
            <w:gridSpan w:val="3"/>
            <w:vAlign w:val="top"/>
          </w:tcPr>
          <w:p>
            <w:pPr>
              <w:rPr>
                <w:rFonts w:ascii="Arial"/>
                <w:sz w:val="21"/>
              </w:rPr>
            </w:pPr>
          </w:p>
        </w:tc>
        <w:tc>
          <w:tcPr>
            <w:tcW w:w="2857" w:type="dxa"/>
            <w:vAlign w:val="top"/>
          </w:tcPr>
          <w:p>
            <w:pPr>
              <w:rPr>
                <w:rFonts w:ascii="Arial"/>
                <w:sz w:val="21"/>
              </w:rPr>
            </w:pPr>
          </w:p>
        </w:tc>
        <w:tc>
          <w:tcPr>
            <w:tcW w:w="1448" w:type="dxa"/>
            <w:vAlign w:val="top"/>
          </w:tcPr>
          <w:p>
            <w:pPr>
              <w:rPr>
                <w:rFonts w:ascii="Arial"/>
                <w:sz w:val="21"/>
              </w:rPr>
            </w:pPr>
          </w:p>
        </w:tc>
        <w:tc>
          <w:tcPr>
            <w:tcW w:w="1588" w:type="dxa"/>
            <w:vAlign w:val="top"/>
          </w:tcPr>
          <w:p>
            <w:pPr>
              <w:rPr>
                <w:rFonts w:ascii="Arial"/>
                <w:sz w:val="21"/>
              </w:rPr>
            </w:pPr>
          </w:p>
        </w:tc>
        <w:tc>
          <w:tcPr>
            <w:tcW w:w="14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333" w:type="dxa"/>
            <w:gridSpan w:val="3"/>
            <w:vAlign w:val="top"/>
          </w:tcPr>
          <w:p>
            <w:pPr>
              <w:spacing w:line="238" w:lineRule="exact"/>
              <w:rPr>
                <w:rFonts w:ascii="Arial"/>
                <w:sz w:val="20"/>
              </w:rPr>
            </w:pPr>
          </w:p>
        </w:tc>
        <w:tc>
          <w:tcPr>
            <w:tcW w:w="2857" w:type="dxa"/>
            <w:vAlign w:val="top"/>
          </w:tcPr>
          <w:p>
            <w:pPr>
              <w:spacing w:line="238" w:lineRule="exact"/>
              <w:rPr>
                <w:rFonts w:ascii="Arial"/>
                <w:sz w:val="20"/>
              </w:rPr>
            </w:pPr>
          </w:p>
        </w:tc>
        <w:tc>
          <w:tcPr>
            <w:tcW w:w="1448" w:type="dxa"/>
            <w:vAlign w:val="top"/>
          </w:tcPr>
          <w:p>
            <w:pPr>
              <w:spacing w:line="238" w:lineRule="exact"/>
              <w:rPr>
                <w:rFonts w:ascii="Arial"/>
                <w:sz w:val="20"/>
              </w:rPr>
            </w:pPr>
          </w:p>
        </w:tc>
        <w:tc>
          <w:tcPr>
            <w:tcW w:w="1588" w:type="dxa"/>
            <w:vAlign w:val="top"/>
          </w:tcPr>
          <w:p>
            <w:pPr>
              <w:spacing w:line="238" w:lineRule="exact"/>
              <w:rPr>
                <w:rFonts w:ascii="Arial"/>
                <w:sz w:val="20"/>
              </w:rPr>
            </w:pPr>
          </w:p>
        </w:tc>
        <w:tc>
          <w:tcPr>
            <w:tcW w:w="1448" w:type="dxa"/>
            <w:vAlign w:val="top"/>
          </w:tcPr>
          <w:p>
            <w:pPr>
              <w:spacing w:line="238"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333" w:type="dxa"/>
            <w:gridSpan w:val="3"/>
            <w:vAlign w:val="top"/>
          </w:tcPr>
          <w:p>
            <w:pPr>
              <w:spacing w:line="238" w:lineRule="exact"/>
              <w:rPr>
                <w:rFonts w:ascii="Arial"/>
                <w:sz w:val="20"/>
              </w:rPr>
            </w:pPr>
          </w:p>
        </w:tc>
        <w:tc>
          <w:tcPr>
            <w:tcW w:w="2857" w:type="dxa"/>
            <w:vAlign w:val="top"/>
          </w:tcPr>
          <w:p>
            <w:pPr>
              <w:spacing w:line="238" w:lineRule="exact"/>
              <w:rPr>
                <w:rFonts w:ascii="Arial"/>
                <w:sz w:val="20"/>
              </w:rPr>
            </w:pPr>
          </w:p>
        </w:tc>
        <w:tc>
          <w:tcPr>
            <w:tcW w:w="1448" w:type="dxa"/>
            <w:vAlign w:val="top"/>
          </w:tcPr>
          <w:p>
            <w:pPr>
              <w:spacing w:line="238" w:lineRule="exact"/>
              <w:rPr>
                <w:rFonts w:ascii="Arial"/>
                <w:sz w:val="20"/>
              </w:rPr>
            </w:pPr>
          </w:p>
        </w:tc>
        <w:tc>
          <w:tcPr>
            <w:tcW w:w="1588" w:type="dxa"/>
            <w:vAlign w:val="top"/>
          </w:tcPr>
          <w:p>
            <w:pPr>
              <w:spacing w:line="238" w:lineRule="exact"/>
              <w:rPr>
                <w:rFonts w:ascii="Arial"/>
                <w:sz w:val="20"/>
              </w:rPr>
            </w:pPr>
          </w:p>
        </w:tc>
        <w:tc>
          <w:tcPr>
            <w:tcW w:w="1448" w:type="dxa"/>
            <w:vAlign w:val="top"/>
          </w:tcPr>
          <w:p>
            <w:pPr>
              <w:spacing w:line="238"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8674" w:type="dxa"/>
            <w:gridSpan w:val="7"/>
            <w:vAlign w:val="top"/>
          </w:tcPr>
          <w:p>
            <w:pPr>
              <w:pStyle w:val="6"/>
              <w:spacing w:before="37" w:line="196" w:lineRule="auto"/>
              <w:ind w:left="44"/>
              <w:rPr>
                <w:sz w:val="20"/>
                <w:szCs w:val="20"/>
              </w:rPr>
            </w:pPr>
            <w:r>
              <w:rPr>
                <w:sz w:val="20"/>
                <w:szCs w:val="20"/>
              </w:rPr>
              <w:t>注：本表反映部门(单位)本年度国有资本经营预算财政拨款支出情</w:t>
            </w:r>
            <w:r>
              <w:rPr>
                <w:spacing w:val="-1"/>
                <w:sz w:val="20"/>
                <w:szCs w:val="20"/>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674" w:type="dxa"/>
            <w:gridSpan w:val="7"/>
            <w:vAlign w:val="top"/>
          </w:tcPr>
          <w:p>
            <w:pPr>
              <w:pStyle w:val="6"/>
              <w:spacing w:before="7" w:line="201" w:lineRule="auto"/>
              <w:ind w:left="44"/>
              <w:rPr>
                <w:sz w:val="20"/>
                <w:szCs w:val="20"/>
              </w:rPr>
            </w:pPr>
            <w:r>
              <w:rPr>
                <w:sz w:val="20"/>
                <w:szCs w:val="20"/>
              </w:rPr>
              <w:t>说明：当此表数据为空时，即本部门(单位)无国有资本经营预算财政拨款支出。</w:t>
            </w:r>
          </w:p>
        </w:tc>
      </w:tr>
    </w:tbl>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spacing w:before="10"/>
      </w:pPr>
    </w:p>
    <w:p>
      <w:pPr>
        <w:spacing w:before="9"/>
      </w:pPr>
    </w:p>
    <w:p>
      <w:pPr>
        <w:spacing w:before="9"/>
      </w:pPr>
    </w:p>
    <w:p>
      <w:pPr>
        <w:spacing w:before="9"/>
        <w:rPr>
          <w:rFonts w:hint="eastAsia" w:eastAsia="宋体"/>
          <w:lang w:eastAsia="zh-CN"/>
        </w:rPr>
      </w:pPr>
      <w:r>
        <w:rPr>
          <w:rFonts w:hint="eastAsia" w:eastAsia="宋体"/>
          <w:lang w:eastAsia="zh-CN"/>
        </w:rPr>
        <w:drawing>
          <wp:inline distT="0" distB="0" distL="114300" distR="114300">
            <wp:extent cx="5488940" cy="5400040"/>
            <wp:effectExtent l="0" t="0" r="16510" b="10160"/>
            <wp:docPr id="15" name="图片 15" descr="a914d5557cf5b6047c2bcfe6e6d82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914d5557cf5b6047c2bcfe6e6d824a"/>
                    <pic:cNvPicPr>
                      <a:picLocks noChangeAspect="1"/>
                    </pic:cNvPicPr>
                  </pic:nvPicPr>
                  <pic:blipFill>
                    <a:blip r:embed="rId20"/>
                    <a:stretch>
                      <a:fillRect/>
                    </a:stretch>
                  </pic:blipFill>
                  <pic:spPr>
                    <a:xfrm>
                      <a:off x="0" y="0"/>
                      <a:ext cx="5488940" cy="5400040"/>
                    </a:xfrm>
                    <a:prstGeom prst="rect">
                      <a:avLst/>
                    </a:prstGeom>
                  </pic:spPr>
                </pic:pic>
              </a:graphicData>
            </a:graphic>
          </wp:inline>
        </w:drawing>
      </w:r>
    </w:p>
    <w:p>
      <w:pPr>
        <w:spacing w:before="9"/>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val="en-US" w:eastAsia="en-US" w:bidi="ar-SA"/>
        </w:rPr>
      </w:pPr>
    </w:p>
    <w:p>
      <w:pPr>
        <w:spacing w:line="184" w:lineRule="auto"/>
        <w:rPr>
          <w:rFonts w:ascii="宋体" w:hAnsi="宋体" w:eastAsia="宋体" w:cs="宋体"/>
          <w:sz w:val="27"/>
          <w:szCs w:val="27"/>
        </w:rPr>
        <w:sectPr>
          <w:pgSz w:w="11840" w:h="16800"/>
          <w:pgMar w:top="400" w:right="1559" w:bottom="400" w:left="1634" w:header="0" w:footer="0" w:gutter="0"/>
          <w:cols w:space="720" w:num="1"/>
        </w:sectPr>
      </w:pPr>
    </w:p>
    <w:p>
      <w:pPr>
        <w:spacing w:before="35"/>
      </w:pPr>
    </w:p>
    <w:p>
      <w:pPr>
        <w:spacing w:before="35"/>
      </w:pPr>
    </w:p>
    <w:p>
      <w:pPr>
        <w:spacing w:before="34"/>
      </w:pPr>
    </w:p>
    <w:p>
      <w:pPr>
        <w:spacing w:before="34"/>
      </w:pPr>
    </w:p>
    <w:p>
      <w:pPr>
        <w:spacing w:before="34"/>
      </w:pPr>
    </w:p>
    <w:p>
      <w:pPr>
        <w:spacing w:before="34"/>
      </w:pPr>
    </w:p>
    <w:tbl>
      <w:tblPr>
        <w:tblStyle w:val="7"/>
        <w:tblW w:w="86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9"/>
        <w:gridCol w:w="929"/>
        <w:gridCol w:w="2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650" w:type="dxa"/>
            <w:gridSpan w:val="3"/>
            <w:vAlign w:val="top"/>
          </w:tcPr>
          <w:p>
            <w:pPr>
              <w:pStyle w:val="6"/>
              <w:spacing w:before="65" w:line="202" w:lineRule="auto"/>
              <w:ind w:left="2460"/>
              <w:rPr>
                <w:sz w:val="41"/>
                <w:szCs w:val="41"/>
              </w:rPr>
            </w:pPr>
            <w:r>
              <w:rPr>
                <w:b/>
                <w:bCs/>
                <w:spacing w:val="-4"/>
                <w:sz w:val="41"/>
                <w:szCs w:val="41"/>
              </w:rPr>
              <w:t>国有资产占用情况表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5179" w:type="dxa"/>
            <w:vAlign w:val="top"/>
          </w:tcPr>
          <w:p>
            <w:pPr>
              <w:spacing w:line="230" w:lineRule="exact"/>
              <w:rPr>
                <w:rFonts w:ascii="Arial"/>
                <w:sz w:val="20"/>
              </w:rPr>
            </w:pPr>
          </w:p>
        </w:tc>
        <w:tc>
          <w:tcPr>
            <w:tcW w:w="929" w:type="dxa"/>
            <w:vAlign w:val="top"/>
          </w:tcPr>
          <w:p>
            <w:pPr>
              <w:spacing w:line="230" w:lineRule="exact"/>
              <w:rPr>
                <w:rFonts w:ascii="Arial"/>
                <w:sz w:val="20"/>
              </w:rPr>
            </w:pPr>
          </w:p>
        </w:tc>
        <w:tc>
          <w:tcPr>
            <w:tcW w:w="2542" w:type="dxa"/>
            <w:vAlign w:val="top"/>
          </w:tcPr>
          <w:p>
            <w:pPr>
              <w:pStyle w:val="6"/>
              <w:spacing w:before="30" w:line="167" w:lineRule="auto"/>
              <w:jc w:val="right"/>
              <w:rPr>
                <w:sz w:val="22"/>
                <w:szCs w:val="22"/>
              </w:rPr>
            </w:pPr>
            <w:r>
              <w:rPr>
                <w:sz w:val="22"/>
                <w:szCs w:val="22"/>
              </w:rPr>
              <w:t>公开10表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5179" w:type="dxa"/>
            <w:vAlign w:val="top"/>
          </w:tcPr>
          <w:p>
            <w:pPr>
              <w:pStyle w:val="6"/>
              <w:spacing w:before="29" w:line="168" w:lineRule="auto"/>
              <w:ind w:left="235"/>
              <w:rPr>
                <w:sz w:val="22"/>
                <w:szCs w:val="22"/>
              </w:rPr>
            </w:pPr>
            <w:r>
              <w:rPr>
                <w:spacing w:val="-1"/>
                <w:sz w:val="22"/>
                <w:szCs w:val="22"/>
              </w:rPr>
              <w:t>编制单位：</w:t>
            </w:r>
          </w:p>
        </w:tc>
        <w:tc>
          <w:tcPr>
            <w:tcW w:w="929" w:type="dxa"/>
            <w:vAlign w:val="top"/>
          </w:tcPr>
          <w:p>
            <w:pPr>
              <w:pStyle w:val="6"/>
              <w:spacing w:before="29" w:line="168" w:lineRule="auto"/>
              <w:ind w:left="16"/>
              <w:rPr>
                <w:sz w:val="22"/>
                <w:szCs w:val="22"/>
              </w:rPr>
            </w:pPr>
            <w:r>
              <w:rPr>
                <w:spacing w:val="2"/>
                <w:sz w:val="22"/>
                <w:szCs w:val="22"/>
              </w:rPr>
              <w:t>2022年度</w:t>
            </w:r>
          </w:p>
        </w:tc>
        <w:tc>
          <w:tcPr>
            <w:tcW w:w="2542" w:type="dxa"/>
            <w:vAlign w:val="top"/>
          </w:tcPr>
          <w:p>
            <w:pPr>
              <w:pStyle w:val="6"/>
              <w:spacing w:before="29" w:line="168" w:lineRule="auto"/>
              <w:jc w:val="right"/>
              <w:rPr>
                <w:sz w:val="22"/>
                <w:szCs w:val="22"/>
              </w:rPr>
            </w:pPr>
            <w:r>
              <w:rPr>
                <w:sz w:val="22"/>
                <w:szCs w:val="22"/>
              </w:rPr>
              <w:t>单位：台、辆、套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5179" w:type="dxa"/>
            <w:vAlign w:val="top"/>
          </w:tcPr>
          <w:p>
            <w:pPr>
              <w:pStyle w:val="6"/>
              <w:spacing w:before="30" w:line="192" w:lineRule="auto"/>
              <w:ind w:left="2225"/>
              <w:rPr>
                <w:sz w:val="22"/>
                <w:szCs w:val="22"/>
              </w:rPr>
            </w:pPr>
            <w:r>
              <w:rPr>
                <w:spacing w:val="-7"/>
                <w:sz w:val="22"/>
                <w:szCs w:val="22"/>
              </w:rPr>
              <w:t>项</w:t>
            </w:r>
            <w:r>
              <w:rPr>
                <w:spacing w:val="5"/>
                <w:sz w:val="22"/>
                <w:szCs w:val="22"/>
              </w:rPr>
              <w:t xml:space="preserve">   </w:t>
            </w:r>
            <w:r>
              <w:rPr>
                <w:spacing w:val="-7"/>
                <w:sz w:val="22"/>
                <w:szCs w:val="22"/>
              </w:rPr>
              <w:t>目</w:t>
            </w:r>
          </w:p>
        </w:tc>
        <w:tc>
          <w:tcPr>
            <w:tcW w:w="929" w:type="dxa"/>
            <w:vAlign w:val="top"/>
          </w:tcPr>
          <w:p>
            <w:pPr>
              <w:pStyle w:val="6"/>
              <w:spacing w:before="30" w:line="192" w:lineRule="auto"/>
              <w:ind w:left="235"/>
              <w:rPr>
                <w:sz w:val="22"/>
                <w:szCs w:val="22"/>
              </w:rPr>
            </w:pPr>
            <w:r>
              <w:rPr>
                <w:spacing w:val="-3"/>
                <w:sz w:val="22"/>
                <w:szCs w:val="22"/>
              </w:rPr>
              <w:t>栏次</w:t>
            </w:r>
          </w:p>
        </w:tc>
        <w:tc>
          <w:tcPr>
            <w:tcW w:w="2542" w:type="dxa"/>
            <w:vAlign w:val="top"/>
          </w:tcPr>
          <w:p>
            <w:pPr>
              <w:pStyle w:val="6"/>
              <w:spacing w:before="30" w:line="192" w:lineRule="auto"/>
              <w:ind w:left="947"/>
              <w:rPr>
                <w:sz w:val="22"/>
                <w:szCs w:val="22"/>
              </w:rPr>
            </w:pPr>
            <w:r>
              <w:rPr>
                <w:spacing w:val="3"/>
                <w:sz w:val="22"/>
                <w:szCs w:val="22"/>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5179" w:type="dxa"/>
            <w:vAlign w:val="top"/>
          </w:tcPr>
          <w:p>
            <w:pPr>
              <w:pStyle w:val="6"/>
              <w:spacing w:before="30" w:line="201" w:lineRule="auto"/>
              <w:ind w:left="235"/>
              <w:rPr>
                <w:sz w:val="22"/>
                <w:szCs w:val="22"/>
              </w:rPr>
            </w:pPr>
            <w:r>
              <w:rPr>
                <w:rFonts w:hint="eastAsia"/>
                <w:sz w:val="22"/>
                <w:szCs w:val="22"/>
                <w:lang w:eastAsia="zh-CN"/>
              </w:rPr>
              <w:t>一</w:t>
            </w:r>
            <w:r>
              <w:rPr>
                <w:sz w:val="22"/>
                <w:szCs w:val="22"/>
              </w:rPr>
              <w:t>、车辆数合计(台、辆)</w:t>
            </w:r>
          </w:p>
        </w:tc>
        <w:tc>
          <w:tcPr>
            <w:tcW w:w="929" w:type="dxa"/>
            <w:vAlign w:val="top"/>
          </w:tcPr>
          <w:p>
            <w:pPr>
              <w:rPr>
                <w:rFonts w:ascii="Arial"/>
                <w:sz w:val="21"/>
              </w:rPr>
            </w:pPr>
          </w:p>
        </w:tc>
        <w:tc>
          <w:tcPr>
            <w:tcW w:w="2542" w:type="dxa"/>
            <w:vAlign w:val="top"/>
          </w:tcPr>
          <w:p>
            <w:pPr>
              <w:rPr>
                <w:rFonts w:hint="eastAsia" w:ascii="Arial" w:eastAsia="宋体"/>
                <w:sz w:val="21"/>
                <w:lang w:val="en-US" w:eastAsia="zh-CN"/>
              </w:rPr>
            </w:pPr>
            <w:r>
              <w:rPr>
                <w:rFonts w:hint="eastAsia" w:eastAsia="宋体"/>
                <w:sz w:val="21"/>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5179" w:type="dxa"/>
            <w:vAlign w:val="top"/>
          </w:tcPr>
          <w:p>
            <w:pPr>
              <w:pStyle w:val="6"/>
              <w:spacing w:before="30" w:line="200" w:lineRule="auto"/>
              <w:ind w:left="235"/>
              <w:rPr>
                <w:sz w:val="22"/>
                <w:szCs w:val="22"/>
              </w:rPr>
            </w:pPr>
            <w:r>
              <w:rPr>
                <w:sz w:val="22"/>
                <w:szCs w:val="22"/>
              </w:rPr>
              <w:t>1.副部(省)级及以上领导用车</w:t>
            </w:r>
          </w:p>
        </w:tc>
        <w:tc>
          <w:tcPr>
            <w:tcW w:w="929" w:type="dxa"/>
            <w:vAlign w:val="top"/>
          </w:tcPr>
          <w:p>
            <w:pPr>
              <w:pStyle w:val="6"/>
              <w:spacing w:before="87" w:line="182" w:lineRule="exact"/>
              <w:ind w:left="406"/>
              <w:rPr>
                <w:sz w:val="22"/>
                <w:szCs w:val="22"/>
              </w:rPr>
            </w:pPr>
            <w:r>
              <w:rPr>
                <w:position w:val="-2"/>
                <w:sz w:val="22"/>
                <w:szCs w:val="22"/>
              </w:rPr>
              <w:t>2</w:t>
            </w:r>
          </w:p>
        </w:tc>
        <w:tc>
          <w:tcPr>
            <w:tcW w:w="25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179" w:type="dxa"/>
            <w:vAlign w:val="top"/>
          </w:tcPr>
          <w:p>
            <w:pPr>
              <w:pStyle w:val="6"/>
              <w:spacing w:before="40" w:line="200" w:lineRule="auto"/>
              <w:ind w:left="235"/>
              <w:rPr>
                <w:sz w:val="22"/>
                <w:szCs w:val="22"/>
              </w:rPr>
            </w:pPr>
            <w:r>
              <w:rPr>
                <w:sz w:val="22"/>
                <w:szCs w:val="22"/>
              </w:rPr>
              <w:t>2.主要领导干部用车</w:t>
            </w:r>
          </w:p>
        </w:tc>
        <w:tc>
          <w:tcPr>
            <w:tcW w:w="929" w:type="dxa"/>
            <w:vAlign w:val="top"/>
          </w:tcPr>
          <w:p>
            <w:pPr>
              <w:pStyle w:val="6"/>
              <w:spacing w:before="98" w:line="181" w:lineRule="exact"/>
              <w:ind w:left="406"/>
              <w:rPr>
                <w:sz w:val="22"/>
                <w:szCs w:val="22"/>
              </w:rPr>
            </w:pPr>
            <w:r>
              <w:rPr>
                <w:position w:val="-2"/>
                <w:sz w:val="22"/>
                <w:szCs w:val="22"/>
              </w:rPr>
              <w:t>3</w:t>
            </w:r>
          </w:p>
        </w:tc>
        <w:tc>
          <w:tcPr>
            <w:tcW w:w="25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179" w:type="dxa"/>
            <w:vAlign w:val="top"/>
          </w:tcPr>
          <w:p>
            <w:pPr>
              <w:pStyle w:val="6"/>
              <w:spacing w:before="41" w:line="199" w:lineRule="auto"/>
              <w:ind w:left="235"/>
              <w:rPr>
                <w:sz w:val="22"/>
                <w:szCs w:val="22"/>
              </w:rPr>
            </w:pPr>
            <w:r>
              <w:rPr>
                <w:spacing w:val="1"/>
                <w:sz w:val="22"/>
                <w:szCs w:val="22"/>
              </w:rPr>
              <w:t>3.机要通信用车</w:t>
            </w:r>
          </w:p>
        </w:tc>
        <w:tc>
          <w:tcPr>
            <w:tcW w:w="929" w:type="dxa"/>
            <w:vAlign w:val="top"/>
          </w:tcPr>
          <w:p>
            <w:pPr>
              <w:pStyle w:val="6"/>
              <w:spacing w:before="99" w:line="180" w:lineRule="exact"/>
              <w:ind w:left="406"/>
              <w:rPr>
                <w:sz w:val="22"/>
                <w:szCs w:val="22"/>
              </w:rPr>
            </w:pPr>
            <w:r>
              <w:rPr>
                <w:position w:val="-2"/>
                <w:sz w:val="22"/>
                <w:szCs w:val="22"/>
              </w:rPr>
              <w:t>4</w:t>
            </w:r>
          </w:p>
        </w:tc>
        <w:tc>
          <w:tcPr>
            <w:tcW w:w="25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179" w:type="dxa"/>
            <w:vAlign w:val="top"/>
          </w:tcPr>
          <w:p>
            <w:pPr>
              <w:pStyle w:val="6"/>
              <w:spacing w:before="44" w:line="197" w:lineRule="auto"/>
              <w:ind w:left="235"/>
              <w:rPr>
                <w:sz w:val="22"/>
                <w:szCs w:val="22"/>
              </w:rPr>
            </w:pPr>
            <w:r>
              <w:rPr>
                <w:spacing w:val="-1"/>
                <w:sz w:val="22"/>
                <w:szCs w:val="22"/>
              </w:rPr>
              <w:t>4.应急保障用车</w:t>
            </w:r>
          </w:p>
        </w:tc>
        <w:tc>
          <w:tcPr>
            <w:tcW w:w="929" w:type="dxa"/>
            <w:vAlign w:val="top"/>
          </w:tcPr>
          <w:p>
            <w:pPr>
              <w:pStyle w:val="6"/>
              <w:spacing w:before="102" w:line="177" w:lineRule="exact"/>
              <w:ind w:left="406"/>
              <w:rPr>
                <w:sz w:val="22"/>
                <w:szCs w:val="22"/>
              </w:rPr>
            </w:pPr>
            <w:r>
              <w:rPr>
                <w:position w:val="-2"/>
                <w:sz w:val="22"/>
                <w:szCs w:val="22"/>
              </w:rPr>
              <w:t>5</w:t>
            </w:r>
          </w:p>
        </w:tc>
        <w:tc>
          <w:tcPr>
            <w:tcW w:w="25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179" w:type="dxa"/>
            <w:vAlign w:val="top"/>
          </w:tcPr>
          <w:p>
            <w:pPr>
              <w:pStyle w:val="6"/>
              <w:spacing w:before="44" w:line="197" w:lineRule="auto"/>
              <w:ind w:left="235"/>
              <w:rPr>
                <w:sz w:val="22"/>
                <w:szCs w:val="22"/>
              </w:rPr>
            </w:pPr>
            <w:r>
              <w:rPr>
                <w:spacing w:val="1"/>
                <w:sz w:val="22"/>
                <w:szCs w:val="22"/>
              </w:rPr>
              <w:t>5.执法执勤用车</w:t>
            </w:r>
          </w:p>
        </w:tc>
        <w:tc>
          <w:tcPr>
            <w:tcW w:w="929" w:type="dxa"/>
            <w:vAlign w:val="top"/>
          </w:tcPr>
          <w:p>
            <w:pPr>
              <w:pStyle w:val="6"/>
              <w:spacing w:before="101" w:line="178" w:lineRule="exact"/>
              <w:ind w:left="406"/>
              <w:rPr>
                <w:sz w:val="22"/>
                <w:szCs w:val="22"/>
              </w:rPr>
            </w:pPr>
            <w:r>
              <w:rPr>
                <w:position w:val="-2"/>
                <w:sz w:val="22"/>
                <w:szCs w:val="22"/>
              </w:rPr>
              <w:t>6</w:t>
            </w:r>
          </w:p>
        </w:tc>
        <w:tc>
          <w:tcPr>
            <w:tcW w:w="2542" w:type="dxa"/>
            <w:vAlign w:val="top"/>
          </w:tcPr>
          <w:p>
            <w:pPr>
              <w:rPr>
                <w:rFonts w:hint="eastAsia" w:ascii="Arial" w:eastAsia="宋体"/>
                <w:sz w:val="21"/>
                <w:lang w:val="en-US" w:eastAsia="zh-CN"/>
              </w:rPr>
            </w:pPr>
            <w:r>
              <w:rPr>
                <w:rFonts w:hint="eastAsia" w:eastAsia="宋体"/>
                <w:sz w:val="21"/>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179" w:type="dxa"/>
            <w:vAlign w:val="top"/>
          </w:tcPr>
          <w:p>
            <w:pPr>
              <w:pStyle w:val="6"/>
              <w:spacing w:before="45" w:line="197" w:lineRule="auto"/>
              <w:ind w:left="235"/>
              <w:rPr>
                <w:sz w:val="22"/>
                <w:szCs w:val="22"/>
              </w:rPr>
            </w:pPr>
            <w:r>
              <w:rPr>
                <w:spacing w:val="-2"/>
                <w:sz w:val="22"/>
                <w:szCs w:val="22"/>
              </w:rPr>
              <w:t>6.特种专业技术用车</w:t>
            </w:r>
          </w:p>
        </w:tc>
        <w:tc>
          <w:tcPr>
            <w:tcW w:w="929" w:type="dxa"/>
            <w:vAlign w:val="top"/>
          </w:tcPr>
          <w:p>
            <w:pPr>
              <w:pStyle w:val="6"/>
              <w:spacing w:before="104" w:line="176" w:lineRule="exact"/>
              <w:ind w:left="406"/>
              <w:rPr>
                <w:sz w:val="22"/>
                <w:szCs w:val="22"/>
              </w:rPr>
            </w:pPr>
            <w:r>
              <w:rPr>
                <w:position w:val="-2"/>
                <w:sz w:val="22"/>
                <w:szCs w:val="22"/>
              </w:rPr>
              <w:t>7</w:t>
            </w:r>
          </w:p>
        </w:tc>
        <w:tc>
          <w:tcPr>
            <w:tcW w:w="25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5179" w:type="dxa"/>
            <w:vAlign w:val="top"/>
          </w:tcPr>
          <w:p>
            <w:pPr>
              <w:pStyle w:val="6"/>
              <w:spacing w:before="35" w:line="196" w:lineRule="auto"/>
              <w:ind w:left="235"/>
              <w:rPr>
                <w:sz w:val="22"/>
                <w:szCs w:val="22"/>
              </w:rPr>
            </w:pPr>
            <w:r>
              <w:rPr>
                <w:spacing w:val="1"/>
                <w:sz w:val="22"/>
                <w:szCs w:val="22"/>
              </w:rPr>
              <w:t>7.离退休于部用车</w:t>
            </w:r>
          </w:p>
        </w:tc>
        <w:tc>
          <w:tcPr>
            <w:tcW w:w="929" w:type="dxa"/>
            <w:vAlign w:val="top"/>
          </w:tcPr>
          <w:p>
            <w:pPr>
              <w:pStyle w:val="6"/>
              <w:spacing w:before="92" w:line="177" w:lineRule="exact"/>
              <w:ind w:left="406"/>
              <w:rPr>
                <w:sz w:val="22"/>
                <w:szCs w:val="22"/>
              </w:rPr>
            </w:pPr>
            <w:r>
              <w:rPr>
                <w:position w:val="-2"/>
                <w:sz w:val="22"/>
                <w:szCs w:val="22"/>
              </w:rPr>
              <w:t>8</w:t>
            </w:r>
          </w:p>
        </w:tc>
        <w:tc>
          <w:tcPr>
            <w:tcW w:w="25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179" w:type="dxa"/>
            <w:vAlign w:val="top"/>
          </w:tcPr>
          <w:p>
            <w:pPr>
              <w:pStyle w:val="6"/>
              <w:spacing w:before="46" w:line="195" w:lineRule="auto"/>
              <w:ind w:left="235"/>
              <w:rPr>
                <w:sz w:val="22"/>
                <w:szCs w:val="22"/>
              </w:rPr>
            </w:pPr>
            <w:r>
              <w:rPr>
                <w:spacing w:val="-2"/>
                <w:sz w:val="22"/>
                <w:szCs w:val="22"/>
              </w:rPr>
              <w:t>8.其他用车</w:t>
            </w:r>
          </w:p>
        </w:tc>
        <w:tc>
          <w:tcPr>
            <w:tcW w:w="929" w:type="dxa"/>
            <w:vAlign w:val="top"/>
          </w:tcPr>
          <w:p>
            <w:pPr>
              <w:pStyle w:val="6"/>
              <w:spacing w:before="103" w:line="176" w:lineRule="exact"/>
              <w:ind w:left="406"/>
              <w:rPr>
                <w:sz w:val="22"/>
                <w:szCs w:val="22"/>
              </w:rPr>
            </w:pPr>
            <w:r>
              <w:rPr>
                <w:position w:val="-2"/>
                <w:sz w:val="22"/>
                <w:szCs w:val="22"/>
              </w:rPr>
              <w:t>9</w:t>
            </w:r>
          </w:p>
        </w:tc>
        <w:tc>
          <w:tcPr>
            <w:tcW w:w="254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179" w:type="dxa"/>
            <w:vAlign w:val="top"/>
          </w:tcPr>
          <w:p>
            <w:pPr>
              <w:pStyle w:val="6"/>
              <w:spacing w:before="46" w:line="196" w:lineRule="auto"/>
              <w:ind w:left="235"/>
              <w:rPr>
                <w:sz w:val="22"/>
                <w:szCs w:val="22"/>
              </w:rPr>
            </w:pPr>
            <w:r>
              <w:rPr>
                <w:spacing w:val="2"/>
                <w:sz w:val="22"/>
                <w:szCs w:val="22"/>
              </w:rPr>
              <w:t>二、单价100万元(含)以上设备(不含车辆)</w:t>
            </w:r>
          </w:p>
        </w:tc>
        <w:tc>
          <w:tcPr>
            <w:tcW w:w="929" w:type="dxa"/>
            <w:vAlign w:val="top"/>
          </w:tcPr>
          <w:p>
            <w:pPr>
              <w:pStyle w:val="6"/>
              <w:spacing w:before="103" w:line="177" w:lineRule="exact"/>
              <w:ind w:left="345"/>
              <w:rPr>
                <w:sz w:val="22"/>
                <w:szCs w:val="22"/>
              </w:rPr>
            </w:pPr>
            <w:r>
              <w:rPr>
                <w:spacing w:val="-7"/>
                <w:position w:val="-2"/>
                <w:sz w:val="22"/>
                <w:szCs w:val="22"/>
              </w:rPr>
              <w:t>10</w:t>
            </w:r>
          </w:p>
        </w:tc>
        <w:tc>
          <w:tcPr>
            <w:tcW w:w="2542" w:type="dxa"/>
            <w:vAlign w:val="top"/>
          </w:tcPr>
          <w:p>
            <w:pPr>
              <w:rPr>
                <w:rFonts w:hint="eastAsia" w:ascii="Arial" w:eastAsia="宋体"/>
                <w:sz w:val="21"/>
                <w:lang w:val="en-US" w:eastAsia="zh-CN"/>
              </w:rPr>
            </w:pPr>
            <w:r>
              <w:rPr>
                <w:rFonts w:hint="eastAsia" w:eastAsia="宋体"/>
                <w:sz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650" w:type="dxa"/>
            <w:gridSpan w:val="3"/>
            <w:vAlign w:val="top"/>
          </w:tcPr>
          <w:p>
            <w:pPr>
              <w:pStyle w:val="6"/>
              <w:spacing w:before="76" w:line="219" w:lineRule="auto"/>
              <w:ind w:left="25"/>
              <w:rPr>
                <w:sz w:val="22"/>
                <w:szCs w:val="22"/>
              </w:rPr>
            </w:pPr>
            <w:r>
              <w:rPr>
                <w:sz w:val="22"/>
                <w:szCs w:val="22"/>
              </w:rPr>
              <w:t>注：本表反映截止2022年12月31日，部门(单位</w:t>
            </w:r>
            <w:r>
              <w:rPr>
                <w:spacing w:val="-1"/>
                <w:sz w:val="22"/>
                <w:szCs w:val="22"/>
              </w:rPr>
              <w:t>)占用的国有资产情况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5179" w:type="dxa"/>
            <w:vAlign w:val="top"/>
          </w:tcPr>
          <w:p>
            <w:pPr>
              <w:pStyle w:val="6"/>
              <w:spacing w:before="27" w:line="167" w:lineRule="auto"/>
              <w:jc w:val="right"/>
              <w:rPr>
                <w:sz w:val="22"/>
                <w:szCs w:val="22"/>
              </w:rPr>
            </w:pPr>
            <w:r>
              <w:rPr>
                <w:spacing w:val="-22"/>
                <w:sz w:val="22"/>
                <w:szCs w:val="22"/>
              </w:rPr>
              <w:t>说明：当此表数据为空时，即本部门(单位)无相关资产。</w:t>
            </w:r>
          </w:p>
        </w:tc>
        <w:tc>
          <w:tcPr>
            <w:tcW w:w="929" w:type="dxa"/>
            <w:vAlign w:val="top"/>
          </w:tcPr>
          <w:p>
            <w:pPr>
              <w:spacing w:line="227" w:lineRule="exact"/>
              <w:rPr>
                <w:rFonts w:ascii="Arial"/>
                <w:sz w:val="19"/>
              </w:rPr>
            </w:pPr>
          </w:p>
        </w:tc>
        <w:tc>
          <w:tcPr>
            <w:tcW w:w="2542" w:type="dxa"/>
            <w:vAlign w:val="top"/>
          </w:tcPr>
          <w:p>
            <w:pPr>
              <w:spacing w:line="227" w:lineRule="exact"/>
              <w:rPr>
                <w:rFonts w:ascii="Arial"/>
                <w:sz w:val="19"/>
              </w:rPr>
            </w:pPr>
          </w:p>
        </w:tc>
      </w:tr>
    </w:tbl>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pPr>
        <w:sectPr>
          <w:footerReference r:id="rId9" w:type="default"/>
          <w:pgSz w:w="11870" w:h="16780"/>
          <w:pgMar w:top="400" w:right="1482" w:bottom="1664" w:left="1624" w:header="0" w:footer="1375" w:gutter="0"/>
          <w:cols w:space="720" w:num="1"/>
        </w:sectPr>
      </w:pPr>
    </w:p>
    <w:p>
      <w:pPr>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val="en-US" w:eastAsia="en-US" w:bidi="ar-SA"/>
        </w:rPr>
      </w:pPr>
    </w:p>
    <w:p>
      <w:pPr>
        <w:spacing w:before="140" w:line="219" w:lineRule="auto"/>
        <w:ind w:left="955"/>
        <w:rPr>
          <w:rFonts w:ascii="宋体" w:hAnsi="宋体" w:eastAsia="宋体" w:cs="宋体"/>
          <w:sz w:val="43"/>
          <w:szCs w:val="43"/>
        </w:rPr>
      </w:pPr>
      <w:r>
        <w:rPr>
          <w:rFonts w:ascii="宋体" w:hAnsi="宋体" w:eastAsia="宋体" w:cs="宋体"/>
          <w:b/>
          <w:bCs/>
          <w:spacing w:val="4"/>
          <w:sz w:val="43"/>
          <w:szCs w:val="43"/>
        </w:rPr>
        <w:t>第三部分</w:t>
      </w:r>
      <w:r>
        <w:rPr>
          <w:rFonts w:ascii="宋体" w:hAnsi="宋体" w:eastAsia="宋体" w:cs="宋体"/>
          <w:spacing w:val="4"/>
          <w:sz w:val="43"/>
          <w:szCs w:val="43"/>
        </w:rPr>
        <w:t xml:space="preserve">  </w:t>
      </w:r>
      <w:r>
        <w:rPr>
          <w:rFonts w:ascii="宋体" w:hAnsi="宋体" w:eastAsia="宋体" w:cs="宋体"/>
          <w:b/>
          <w:bCs/>
          <w:spacing w:val="4"/>
          <w:sz w:val="43"/>
          <w:szCs w:val="43"/>
        </w:rPr>
        <w:t>2022年度单位决算情况说明</w:t>
      </w:r>
    </w:p>
    <w:p>
      <w:pPr>
        <w:kinsoku w:val="0"/>
        <w:autoSpaceDE w:val="0"/>
        <w:autoSpaceDN w:val="0"/>
        <w:adjustRightInd w:val="0"/>
        <w:snapToGrid w:val="0"/>
        <w:spacing w:line="307"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308" w:lineRule="auto"/>
        <w:jc w:val="left"/>
        <w:textAlignment w:val="baseline"/>
        <w:rPr>
          <w:rFonts w:ascii="Arial" w:hAnsi="Arial" w:eastAsia="Arial" w:cs="Arial"/>
          <w:snapToGrid w:val="0"/>
          <w:color w:val="000000"/>
          <w:kern w:val="0"/>
          <w:sz w:val="21"/>
          <w:szCs w:val="21"/>
          <w:lang w:val="en-US" w:eastAsia="en-US" w:bidi="ar-SA"/>
        </w:rPr>
      </w:pPr>
    </w:p>
    <w:p>
      <w:pPr>
        <w:spacing w:before="104" w:line="221" w:lineRule="auto"/>
        <w:ind w:left="654"/>
        <w:outlineLvl w:val="0"/>
        <w:rPr>
          <w:rFonts w:ascii="黑体" w:hAnsi="黑体" w:eastAsia="黑体" w:cs="黑体"/>
          <w:sz w:val="32"/>
          <w:szCs w:val="32"/>
        </w:rPr>
      </w:pPr>
      <w:r>
        <w:rPr>
          <w:rFonts w:ascii="黑体" w:hAnsi="黑体" w:eastAsia="黑体" w:cs="黑体"/>
          <w:b/>
          <w:bCs/>
          <w:spacing w:val="-8"/>
          <w:sz w:val="32"/>
          <w:szCs w:val="32"/>
        </w:rPr>
        <w:t>一、收入决算情况说明</w:t>
      </w:r>
    </w:p>
    <w:p>
      <w:pPr>
        <w:spacing w:before="249" w:line="364" w:lineRule="auto"/>
        <w:ind w:right="83" w:firstLine="649"/>
        <w:jc w:val="both"/>
        <w:rPr>
          <w:rFonts w:ascii="仿宋" w:hAnsi="仿宋" w:eastAsia="仿宋" w:cs="仿宋"/>
          <w:spacing w:val="20"/>
          <w:sz w:val="32"/>
          <w:szCs w:val="32"/>
        </w:rPr>
      </w:pPr>
      <w:r>
        <w:rPr>
          <w:rFonts w:ascii="仿宋" w:hAnsi="仿宋" w:eastAsia="仿宋" w:cs="仿宋"/>
          <w:spacing w:val="20"/>
          <w:sz w:val="32"/>
          <w:szCs w:val="32"/>
        </w:rPr>
        <w:t>本单位2022年度收入总计</w:t>
      </w:r>
      <w:r>
        <w:rPr>
          <w:rFonts w:hint="eastAsia" w:ascii="仿宋" w:hAnsi="仿宋" w:eastAsia="仿宋" w:cs="仿宋"/>
          <w:spacing w:val="2"/>
          <w:sz w:val="32"/>
          <w:szCs w:val="32"/>
          <w:lang w:val="en-US" w:eastAsia="zh-CN"/>
        </w:rPr>
        <w:t>9025.42</w:t>
      </w:r>
      <w:r>
        <w:rPr>
          <w:rFonts w:ascii="仿宋" w:hAnsi="仿宋" w:eastAsia="仿宋" w:cs="仿宋"/>
          <w:spacing w:val="20"/>
          <w:sz w:val="32"/>
          <w:szCs w:val="32"/>
        </w:rPr>
        <w:t>万元，较2021年</w:t>
      </w:r>
      <w:r>
        <w:rPr>
          <w:rFonts w:hint="eastAsia" w:ascii="仿宋" w:hAnsi="仿宋" w:eastAsia="仿宋" w:cs="仿宋"/>
          <w:spacing w:val="20"/>
          <w:sz w:val="32"/>
          <w:szCs w:val="32"/>
          <w:lang w:eastAsia="zh-CN"/>
        </w:rPr>
        <w:t>减少</w:t>
      </w:r>
      <w:r>
        <w:rPr>
          <w:rFonts w:hint="eastAsia" w:ascii="仿宋" w:hAnsi="仿宋" w:eastAsia="仿宋" w:cs="仿宋"/>
          <w:spacing w:val="7"/>
          <w:sz w:val="32"/>
          <w:szCs w:val="32"/>
          <w:lang w:val="en-US" w:eastAsia="zh-CN"/>
        </w:rPr>
        <w:t>3959.05</w:t>
      </w:r>
      <w:r>
        <w:rPr>
          <w:rFonts w:ascii="仿宋" w:hAnsi="仿宋" w:eastAsia="仿宋" w:cs="仿宋"/>
          <w:spacing w:val="7"/>
          <w:sz w:val="32"/>
          <w:szCs w:val="32"/>
        </w:rPr>
        <w:t>万元。其中年初结转和结余</w:t>
      </w:r>
      <w:r>
        <w:rPr>
          <w:rFonts w:hint="eastAsia" w:ascii="仿宋" w:hAnsi="仿宋" w:eastAsia="仿宋" w:cs="仿宋"/>
          <w:spacing w:val="7"/>
          <w:sz w:val="32"/>
          <w:szCs w:val="32"/>
          <w:lang w:val="en-US" w:eastAsia="zh-CN"/>
        </w:rPr>
        <w:t>4915.32</w:t>
      </w:r>
      <w:r>
        <w:rPr>
          <w:rFonts w:ascii="仿宋" w:hAnsi="仿宋" w:eastAsia="仿宋" w:cs="仿宋"/>
          <w:spacing w:val="7"/>
          <w:sz w:val="32"/>
          <w:szCs w:val="32"/>
        </w:rPr>
        <w:t>万元，较2021年增</w:t>
      </w:r>
      <w:r>
        <w:rPr>
          <w:rFonts w:ascii="仿宋" w:hAnsi="仿宋" w:eastAsia="仿宋" w:cs="仿宋"/>
          <w:spacing w:val="20"/>
          <w:sz w:val="32"/>
          <w:szCs w:val="32"/>
        </w:rPr>
        <w:t>加</w:t>
      </w:r>
      <w:r>
        <w:rPr>
          <w:rFonts w:hint="eastAsia" w:ascii="仿宋" w:hAnsi="仿宋" w:eastAsia="仿宋" w:cs="仿宋"/>
          <w:spacing w:val="20"/>
          <w:sz w:val="32"/>
          <w:szCs w:val="32"/>
          <w:lang w:val="en-US" w:eastAsia="zh-CN"/>
        </w:rPr>
        <w:t>387.08</w:t>
      </w:r>
      <w:r>
        <w:rPr>
          <w:rFonts w:ascii="仿宋" w:hAnsi="仿宋" w:eastAsia="仿宋" w:cs="仿宋"/>
          <w:spacing w:val="20"/>
          <w:sz w:val="32"/>
          <w:szCs w:val="32"/>
        </w:rPr>
        <w:t>万元，增长</w:t>
      </w:r>
      <w:r>
        <w:rPr>
          <w:rFonts w:hint="eastAsia" w:ascii="仿宋" w:hAnsi="仿宋" w:eastAsia="仿宋" w:cs="仿宋"/>
          <w:spacing w:val="20"/>
          <w:sz w:val="32"/>
          <w:szCs w:val="32"/>
          <w:lang w:val="en-US" w:eastAsia="zh-CN"/>
        </w:rPr>
        <w:t>8.55</w:t>
      </w:r>
      <w:r>
        <w:rPr>
          <w:rFonts w:ascii="仿宋" w:hAnsi="仿宋" w:eastAsia="仿宋" w:cs="仿宋"/>
          <w:spacing w:val="20"/>
          <w:sz w:val="32"/>
          <w:szCs w:val="32"/>
        </w:rPr>
        <w:t>%;本年收入合计</w:t>
      </w:r>
      <w:r>
        <w:rPr>
          <w:rFonts w:hint="eastAsia" w:ascii="仿宋" w:hAnsi="仿宋" w:eastAsia="仿宋" w:cs="仿宋"/>
          <w:spacing w:val="20"/>
          <w:sz w:val="32"/>
          <w:szCs w:val="32"/>
          <w:lang w:val="en-US" w:eastAsia="zh-CN"/>
        </w:rPr>
        <w:t>4110.10</w:t>
      </w:r>
      <w:r>
        <w:rPr>
          <w:rFonts w:ascii="仿宋" w:hAnsi="仿宋" w:eastAsia="仿宋" w:cs="仿宋"/>
          <w:spacing w:val="20"/>
          <w:sz w:val="32"/>
          <w:szCs w:val="32"/>
        </w:rPr>
        <w:t>万元，较2021年减少</w:t>
      </w:r>
      <w:r>
        <w:rPr>
          <w:rFonts w:hint="eastAsia" w:ascii="仿宋" w:hAnsi="仿宋" w:eastAsia="仿宋" w:cs="仿宋"/>
          <w:spacing w:val="20"/>
          <w:sz w:val="32"/>
          <w:szCs w:val="32"/>
          <w:lang w:val="en-US" w:eastAsia="zh-CN"/>
        </w:rPr>
        <w:t>4346.13</w:t>
      </w:r>
      <w:r>
        <w:rPr>
          <w:rFonts w:ascii="仿宋" w:hAnsi="仿宋" w:eastAsia="仿宋" w:cs="仿宋"/>
          <w:spacing w:val="20"/>
          <w:sz w:val="32"/>
          <w:szCs w:val="32"/>
        </w:rPr>
        <w:t>万元，下降</w:t>
      </w:r>
      <w:r>
        <w:rPr>
          <w:rFonts w:hint="eastAsia" w:ascii="仿宋" w:hAnsi="仿宋" w:eastAsia="仿宋" w:cs="仿宋"/>
          <w:spacing w:val="20"/>
          <w:sz w:val="32"/>
          <w:szCs w:val="32"/>
          <w:lang w:val="en-US" w:eastAsia="zh-CN"/>
        </w:rPr>
        <w:t>51.40</w:t>
      </w:r>
      <w:r>
        <w:rPr>
          <w:rFonts w:ascii="仿宋" w:hAnsi="仿宋" w:eastAsia="仿宋" w:cs="仿宋"/>
          <w:spacing w:val="20"/>
          <w:sz w:val="32"/>
          <w:szCs w:val="32"/>
        </w:rPr>
        <w:t>%,主要原因是：</w:t>
      </w:r>
      <w:r>
        <w:rPr>
          <w:rFonts w:hint="eastAsia" w:ascii="仿宋" w:hAnsi="仿宋" w:eastAsia="仿宋" w:cs="仿宋"/>
          <w:spacing w:val="20"/>
          <w:sz w:val="32"/>
          <w:szCs w:val="32"/>
          <w:lang w:eastAsia="zh-CN"/>
        </w:rPr>
        <w:t>减少项目、土地补偿及报批规费等资金</w:t>
      </w:r>
      <w:r>
        <w:rPr>
          <w:rFonts w:ascii="仿宋" w:hAnsi="仿宋" w:eastAsia="仿宋" w:cs="仿宋"/>
          <w:spacing w:val="20"/>
          <w:sz w:val="32"/>
          <w:szCs w:val="32"/>
        </w:rPr>
        <w:t>。</w:t>
      </w:r>
    </w:p>
    <w:p>
      <w:pPr>
        <w:spacing w:before="226" w:line="359" w:lineRule="auto"/>
        <w:ind w:right="102" w:firstLine="649"/>
        <w:jc w:val="both"/>
        <w:rPr>
          <w:rFonts w:ascii="仿宋" w:hAnsi="仿宋" w:eastAsia="仿宋" w:cs="仿宋"/>
          <w:sz w:val="32"/>
          <w:szCs w:val="32"/>
        </w:rPr>
      </w:pPr>
      <w:r>
        <w:rPr>
          <w:rFonts w:ascii="仿宋" w:hAnsi="仿宋" w:eastAsia="仿宋" w:cs="仿宋"/>
          <w:spacing w:val="-7"/>
          <w:sz w:val="32"/>
          <w:szCs w:val="32"/>
        </w:rPr>
        <w:t>本年收入的具体构成为：财政拨款收入</w:t>
      </w:r>
      <w:r>
        <w:rPr>
          <w:rFonts w:hint="eastAsia" w:ascii="仿宋" w:hAnsi="仿宋" w:eastAsia="仿宋" w:cs="仿宋"/>
          <w:spacing w:val="-7"/>
          <w:sz w:val="32"/>
          <w:szCs w:val="32"/>
          <w:lang w:val="en-US" w:eastAsia="zh-CN"/>
        </w:rPr>
        <w:t>3975.21</w:t>
      </w:r>
      <w:r>
        <w:rPr>
          <w:rFonts w:ascii="仿宋" w:hAnsi="仿宋" w:eastAsia="仿宋" w:cs="仿宋"/>
          <w:spacing w:val="-7"/>
          <w:sz w:val="32"/>
          <w:szCs w:val="32"/>
        </w:rPr>
        <w:t xml:space="preserve">万元，占 </w:t>
      </w:r>
      <w:r>
        <w:rPr>
          <w:rFonts w:hint="eastAsia" w:ascii="仿宋" w:hAnsi="仿宋" w:eastAsia="仿宋" w:cs="仿宋"/>
          <w:spacing w:val="-7"/>
          <w:sz w:val="32"/>
          <w:szCs w:val="32"/>
          <w:lang w:val="en-US" w:eastAsia="zh-CN"/>
        </w:rPr>
        <w:t>96.72</w:t>
      </w:r>
      <w:r>
        <w:rPr>
          <w:rFonts w:ascii="仿宋" w:hAnsi="仿宋" w:eastAsia="仿宋" w:cs="仿宋"/>
          <w:spacing w:val="-7"/>
          <w:sz w:val="32"/>
          <w:szCs w:val="32"/>
        </w:rPr>
        <w:t>% ; 事 业收入</w:t>
      </w:r>
      <w:r>
        <w:rPr>
          <w:rFonts w:hint="eastAsia" w:ascii="仿宋" w:hAnsi="仿宋" w:eastAsia="仿宋" w:cs="仿宋"/>
          <w:spacing w:val="-7"/>
          <w:sz w:val="32"/>
          <w:szCs w:val="32"/>
          <w:lang w:val="en-US" w:eastAsia="zh-CN"/>
        </w:rPr>
        <w:t>0</w:t>
      </w:r>
      <w:r>
        <w:rPr>
          <w:rFonts w:ascii="仿宋" w:hAnsi="仿宋" w:eastAsia="仿宋" w:cs="仿宋"/>
          <w:spacing w:val="-7"/>
          <w:sz w:val="32"/>
          <w:szCs w:val="32"/>
        </w:rPr>
        <w:t>万元，占 %;经营收入</w:t>
      </w:r>
      <w:r>
        <w:rPr>
          <w:rFonts w:hint="eastAsia" w:ascii="仿宋" w:hAnsi="仿宋" w:eastAsia="仿宋" w:cs="仿宋"/>
          <w:spacing w:val="-7"/>
          <w:sz w:val="32"/>
          <w:szCs w:val="32"/>
          <w:lang w:val="en-US" w:eastAsia="zh-CN"/>
        </w:rPr>
        <w:t>0</w:t>
      </w:r>
      <w:r>
        <w:rPr>
          <w:rFonts w:ascii="仿宋" w:hAnsi="仿宋" w:eastAsia="仿宋" w:cs="仿宋"/>
          <w:spacing w:val="-7"/>
          <w:sz w:val="32"/>
          <w:szCs w:val="32"/>
        </w:rPr>
        <w:t>万元，占 %;其他收入</w:t>
      </w:r>
      <w:r>
        <w:rPr>
          <w:rFonts w:hint="eastAsia" w:ascii="仿宋" w:hAnsi="仿宋" w:eastAsia="仿宋" w:cs="仿宋"/>
          <w:spacing w:val="-7"/>
          <w:sz w:val="32"/>
          <w:szCs w:val="32"/>
          <w:lang w:val="en-US" w:eastAsia="zh-CN"/>
        </w:rPr>
        <w:t>134.89</w:t>
      </w:r>
      <w:r>
        <w:rPr>
          <w:rFonts w:ascii="仿宋" w:hAnsi="仿宋" w:eastAsia="仿宋" w:cs="仿宋"/>
          <w:spacing w:val="-7"/>
          <w:sz w:val="32"/>
          <w:szCs w:val="32"/>
        </w:rPr>
        <w:t>万元，占</w:t>
      </w:r>
      <w:r>
        <w:rPr>
          <w:rFonts w:hint="eastAsia" w:ascii="仿宋" w:hAnsi="仿宋" w:eastAsia="仿宋" w:cs="仿宋"/>
          <w:spacing w:val="-7"/>
          <w:sz w:val="32"/>
          <w:szCs w:val="32"/>
          <w:lang w:val="en-US" w:eastAsia="zh-CN"/>
        </w:rPr>
        <w:t>3.28</w:t>
      </w:r>
      <w:r>
        <w:rPr>
          <w:rFonts w:ascii="仿宋" w:hAnsi="仿宋" w:eastAsia="仿宋" w:cs="仿宋"/>
          <w:spacing w:val="-7"/>
          <w:sz w:val="32"/>
          <w:szCs w:val="32"/>
        </w:rPr>
        <w:t>%。</w:t>
      </w:r>
    </w:p>
    <w:p>
      <w:pPr>
        <w:spacing w:before="237" w:line="221" w:lineRule="auto"/>
        <w:ind w:left="654"/>
        <w:outlineLvl w:val="0"/>
        <w:rPr>
          <w:rFonts w:ascii="黑体" w:hAnsi="黑体" w:eastAsia="黑体" w:cs="黑体"/>
          <w:sz w:val="32"/>
          <w:szCs w:val="32"/>
        </w:rPr>
      </w:pPr>
      <w:r>
        <w:rPr>
          <w:rFonts w:ascii="黑体" w:hAnsi="黑体" w:eastAsia="黑体" w:cs="黑体"/>
          <w:b/>
          <w:bCs/>
          <w:spacing w:val="-9"/>
          <w:sz w:val="32"/>
          <w:szCs w:val="32"/>
        </w:rPr>
        <w:t>二、支出决算情况说明</w:t>
      </w:r>
    </w:p>
    <w:p>
      <w:pPr>
        <w:spacing w:before="249" w:line="364" w:lineRule="auto"/>
        <w:ind w:right="83" w:firstLine="649"/>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本单位2022年度支出总计9025.42万元，较2021年减少3959.05万元。其中本年支出合计4641.51万元，较2021 年减少3427.63万元，下降42.48%,主要原因是：减少项目、土地补偿及报批规费等资金;年末结转和结余 4383.91 万元，较2021年减少531.41万元，下降10.81%,主要原因是：减少项目资金结转。</w:t>
      </w:r>
    </w:p>
    <w:p>
      <w:pPr>
        <w:spacing w:before="240" w:line="361" w:lineRule="auto"/>
        <w:ind w:right="38" w:firstLine="649"/>
        <w:jc w:val="both"/>
        <w:rPr>
          <w:rFonts w:ascii="黑体" w:hAnsi="黑体" w:eastAsia="黑体" w:cs="黑体"/>
          <w:b/>
          <w:bCs/>
          <w:spacing w:val="-14"/>
          <w:sz w:val="32"/>
          <w:szCs w:val="32"/>
        </w:rPr>
      </w:pPr>
      <w:r>
        <w:rPr>
          <w:rFonts w:hint="eastAsia" w:ascii="仿宋" w:hAnsi="仿宋" w:eastAsia="仿宋" w:cs="仿宋"/>
          <w:spacing w:val="20"/>
          <w:sz w:val="32"/>
          <w:szCs w:val="32"/>
          <w:lang w:val="en-US" w:eastAsia="zh-CN"/>
        </w:rPr>
        <w:t>本年支出的具体构成为：基本支出1993.86万元，占42.96%;项目 支出2647.65万元，占57.04%;经营支出0万元，占0%;其他支出(对附属单位补助支出、上缴上级支出)0万元，占0%。</w:t>
      </w:r>
    </w:p>
    <w:p>
      <w:pPr>
        <w:spacing w:before="215" w:line="221" w:lineRule="auto"/>
        <w:ind w:left="654"/>
        <w:outlineLvl w:val="0"/>
        <w:rPr>
          <w:rFonts w:ascii="黑体" w:hAnsi="黑体" w:eastAsia="黑体" w:cs="黑体"/>
          <w:sz w:val="32"/>
          <w:szCs w:val="32"/>
        </w:rPr>
        <w:sectPr>
          <w:footerReference r:id="rId10" w:type="default"/>
          <w:pgSz w:w="11880" w:h="16760"/>
          <w:pgMar w:top="400" w:right="1470" w:bottom="1635" w:left="1630" w:header="0" w:footer="1317" w:gutter="0"/>
          <w:cols w:space="720" w:num="1"/>
        </w:sectPr>
      </w:pPr>
      <w:r>
        <w:rPr>
          <w:rFonts w:ascii="黑体" w:hAnsi="黑体" w:eastAsia="黑体" w:cs="黑体"/>
          <w:b/>
          <w:bCs/>
          <w:spacing w:val="-14"/>
          <w:sz w:val="32"/>
          <w:szCs w:val="32"/>
        </w:rPr>
        <w:t>三</w:t>
      </w:r>
      <w:r>
        <w:rPr>
          <w:rFonts w:ascii="黑体" w:hAnsi="黑体" w:eastAsia="黑体" w:cs="黑体"/>
          <w:spacing w:val="-67"/>
          <w:sz w:val="32"/>
          <w:szCs w:val="32"/>
        </w:rPr>
        <w:t xml:space="preserve"> </w:t>
      </w:r>
      <w:r>
        <w:rPr>
          <w:rFonts w:ascii="黑体" w:hAnsi="黑体" w:eastAsia="黑体" w:cs="黑体"/>
          <w:b/>
          <w:bCs/>
          <w:spacing w:val="-14"/>
          <w:sz w:val="32"/>
          <w:szCs w:val="32"/>
        </w:rPr>
        <w:t>、财政拨款支出决算情况说明</w:t>
      </w:r>
    </w:p>
    <w:p>
      <w:pPr>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val="en-US" w:eastAsia="en-US" w:bidi="ar-SA"/>
        </w:rPr>
      </w:pPr>
    </w:p>
    <w:p>
      <w:pPr>
        <w:spacing w:before="240" w:line="361" w:lineRule="auto"/>
        <w:ind w:right="38" w:firstLine="649"/>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本单位2022年度财政拨款本年支出年初预算数为1773.33万元，决算数为4641.51万元，完成年初预算的261.74%。其中：</w:t>
      </w:r>
    </w:p>
    <w:p>
      <w:pPr>
        <w:spacing w:before="240" w:line="361" w:lineRule="auto"/>
        <w:ind w:right="38" w:firstLine="649"/>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 一 )社会保障和就业支出年初预算数为：105.43万元，决算数为105.43万元，完成年初预算的100 %,主要原因是：完成养老保险缴费支出。</w:t>
      </w:r>
    </w:p>
    <w:p>
      <w:pPr>
        <w:spacing w:before="240" w:line="361" w:lineRule="auto"/>
        <w:ind w:right="38" w:firstLine="649"/>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 二 )卫生健康支出年初预算数为35.13万元，决算数为35.13万元，完成年初预算的100%,主要原因是：完成单位医疗保险支出。</w:t>
      </w:r>
    </w:p>
    <w:p>
      <w:pPr>
        <w:spacing w:before="240" w:line="361" w:lineRule="auto"/>
        <w:ind w:right="38" w:firstLine="649"/>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 三)节能环保支出年初预算数为0万元，决算数为0.49万元，主要原因是：完成单位职员绩效工资支出。</w:t>
      </w:r>
    </w:p>
    <w:p>
      <w:pPr>
        <w:spacing w:before="240" w:line="361" w:lineRule="auto"/>
        <w:ind w:right="38" w:firstLine="649"/>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 四)城乡社区支出年初预算数为0万元，决算数为2009.45万元，主要原因是：主要用于建设用地报批规费及技术服务等经费。</w:t>
      </w:r>
    </w:p>
    <w:p>
      <w:pPr>
        <w:spacing w:before="240" w:line="361" w:lineRule="auto"/>
        <w:ind w:right="38" w:firstLine="649"/>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 五 )自然资源海洋气象等支出年初预算数为1632.77万元，决算数为2308.83万元，完成年初预算的141.41%,主要原因是：增加浮梁县农村乱占耕地建房调查摸排、自然资源统一确权登记及成果编制归档工作经费等项目支出。</w:t>
      </w:r>
    </w:p>
    <w:p>
      <w:pPr>
        <w:spacing w:before="240" w:line="361" w:lineRule="auto"/>
        <w:ind w:right="38" w:firstLine="649"/>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(六)灾害防治及应急管理支出年初预算数为0万元，决算数为182.18万元，主要原因是：地灾风险调查与区划、西湖乡杨家坪、瑶里新屋下郑家山等地灾治理支出。</w:t>
      </w:r>
    </w:p>
    <w:p>
      <w:pPr>
        <w:spacing w:before="237" w:line="222" w:lineRule="auto"/>
        <w:ind w:firstLine="692" w:firstLineChars="200"/>
        <w:rPr>
          <w:rFonts w:ascii="仿宋" w:hAnsi="仿宋" w:eastAsia="仿宋" w:cs="仿宋"/>
          <w:sz w:val="31"/>
          <w:szCs w:val="31"/>
        </w:rPr>
      </w:pPr>
      <w:r>
        <w:rPr>
          <w:rFonts w:ascii="仿宋" w:hAnsi="仿宋" w:eastAsia="仿宋" w:cs="仿宋"/>
          <w:spacing w:val="18"/>
          <w:sz w:val="31"/>
          <w:szCs w:val="31"/>
        </w:rPr>
        <w:t>(按财决01-1表支出功能类级科目分别说明)</w:t>
      </w:r>
    </w:p>
    <w:p>
      <w:pPr>
        <w:spacing w:before="235" w:line="221" w:lineRule="auto"/>
        <w:ind w:left="624"/>
        <w:outlineLvl w:val="0"/>
        <w:rPr>
          <w:rFonts w:ascii="黑体" w:hAnsi="黑体" w:eastAsia="黑体" w:cs="黑体"/>
          <w:sz w:val="31"/>
          <w:szCs w:val="31"/>
        </w:rPr>
      </w:pPr>
      <w:r>
        <w:rPr>
          <w:rFonts w:ascii="黑体" w:hAnsi="黑体" w:eastAsia="黑体" w:cs="黑体"/>
          <w:b/>
          <w:bCs/>
          <w:sz w:val="31"/>
          <w:szCs w:val="31"/>
        </w:rPr>
        <w:t>四、</w:t>
      </w:r>
      <w:r>
        <w:rPr>
          <w:rFonts w:ascii="黑体" w:hAnsi="黑体" w:eastAsia="黑体" w:cs="黑体"/>
          <w:spacing w:val="-87"/>
          <w:sz w:val="31"/>
          <w:szCs w:val="31"/>
        </w:rPr>
        <w:t xml:space="preserve"> </w:t>
      </w:r>
      <w:r>
        <w:rPr>
          <w:rFonts w:ascii="黑体" w:hAnsi="黑体" w:eastAsia="黑体" w:cs="黑体"/>
          <w:b/>
          <w:bCs/>
          <w:sz w:val="31"/>
          <w:szCs w:val="31"/>
        </w:rPr>
        <w:t>一般公共预算财政拨款基本支出决算情况说明</w:t>
      </w:r>
    </w:p>
    <w:p>
      <w:pPr>
        <w:spacing w:before="240" w:line="361" w:lineRule="auto"/>
        <w:ind w:right="38" w:firstLine="649"/>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本单位2022年度一般公共预算财政拨款基本支出万元，其中：</w:t>
      </w:r>
    </w:p>
    <w:p>
      <w:pPr>
        <w:spacing w:before="240" w:line="361" w:lineRule="auto"/>
        <w:ind w:right="38" w:firstLine="649"/>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 一 )工资福利支出1498.9万元，较2021年增加183.4万元，增长13.94% , 主要原因是：工资基数上调。</w:t>
      </w:r>
    </w:p>
    <w:p>
      <w:pPr>
        <w:spacing w:before="240" w:line="361" w:lineRule="auto"/>
        <w:ind w:right="38" w:firstLine="649"/>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 二 )商品和服务支出330.4万元，较2021年增加45.65万元，增长16.03% , 主要原因是：委托业务费增加了。</w:t>
      </w:r>
    </w:p>
    <w:p>
      <w:pPr>
        <w:spacing w:before="240" w:line="361" w:lineRule="auto"/>
        <w:ind w:right="38" w:firstLine="649"/>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 三 )对个人和家庭补助支出30.11万元，较2021年减少328.06万元，下降91.59%,主要原因是：奖励金减少了。</w:t>
      </w:r>
    </w:p>
    <w:p>
      <w:pPr>
        <w:spacing w:before="240" w:line="361" w:lineRule="auto"/>
        <w:ind w:right="38" w:firstLine="649"/>
        <w:jc w:val="both"/>
        <w:rPr>
          <w:rFonts w:hint="default"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 四 )资本性支出50.96万元，较 2021 年减少208.2万元，下降80.34% , 主要原因是：2021年购买了密集架固定资产104.57万元和信息系统安全等级保护设备136.98万元。</w:t>
      </w:r>
    </w:p>
    <w:p>
      <w:pPr>
        <w:spacing w:before="232" w:line="221" w:lineRule="auto"/>
        <w:ind w:left="674"/>
        <w:outlineLvl w:val="0"/>
        <w:rPr>
          <w:rFonts w:ascii="黑体" w:hAnsi="黑体" w:eastAsia="黑体" w:cs="黑体"/>
          <w:sz w:val="31"/>
          <w:szCs w:val="31"/>
        </w:rPr>
      </w:pPr>
      <w:r>
        <w:rPr>
          <w:rFonts w:ascii="黑体" w:hAnsi="黑体" w:eastAsia="黑体" w:cs="黑体"/>
          <w:b/>
          <w:bCs/>
          <w:spacing w:val="-2"/>
          <w:sz w:val="31"/>
          <w:szCs w:val="31"/>
        </w:rPr>
        <w:t>五</w:t>
      </w:r>
      <w:r>
        <w:rPr>
          <w:rFonts w:ascii="黑体" w:hAnsi="黑体" w:eastAsia="黑体" w:cs="黑体"/>
          <w:spacing w:val="-40"/>
          <w:sz w:val="31"/>
          <w:szCs w:val="31"/>
        </w:rPr>
        <w:t xml:space="preserve"> </w:t>
      </w:r>
      <w:r>
        <w:rPr>
          <w:rFonts w:ascii="黑体" w:hAnsi="黑体" w:eastAsia="黑体" w:cs="黑体"/>
          <w:b/>
          <w:bCs/>
          <w:spacing w:val="-2"/>
          <w:sz w:val="31"/>
          <w:szCs w:val="31"/>
        </w:rPr>
        <w:t>、财政拨款“三公”经费支出决算情况说明</w:t>
      </w:r>
    </w:p>
    <w:p>
      <w:pPr>
        <w:spacing w:before="240" w:line="361" w:lineRule="auto"/>
        <w:ind w:right="38" w:firstLine="649"/>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本单位2022年度财政拨款“三公”经费支出全年预算数为62.34万元，决算数为41.16万元，完成全年预算的66.03%,决算数较2021年减少6.84万元，下降14.25%, 其中 ：</w:t>
      </w:r>
    </w:p>
    <w:p>
      <w:pPr>
        <w:spacing w:before="240" w:line="361" w:lineRule="auto"/>
        <w:ind w:right="38" w:firstLine="649"/>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 一 )因公出国(境)支出全年预算数为0万元，决算数为0万元，完成全年预算的0%,决算数较2021年增加(减少)0万元，增长(下降)0%。</w:t>
      </w:r>
    </w:p>
    <w:p>
      <w:pPr>
        <w:spacing w:before="240" w:line="361" w:lineRule="auto"/>
        <w:ind w:right="38" w:firstLine="649"/>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 二 )公务接待费支出全年预算数为40.58万元，决算数为20.3万元，完成全年预算的50.02%,决算数较2021年减少6.48万元 ，下降 24.20% , 主要原因是严格执行“八项规定”，控制公务接待支出。决算数较全年预算数减少的主要原因是：严格执行“八项规定”，按照公务接待标准落实公务接待工作。全年国内公务接待229批，累计接待986人次，其中外事接待0批，累计接待0人次，主要原因：无外事接待。</w:t>
      </w:r>
    </w:p>
    <w:p>
      <w:pPr>
        <w:spacing w:before="240" w:line="361" w:lineRule="auto"/>
        <w:ind w:right="38" w:firstLine="649"/>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 三 )公务用车购置及运行维护费支出20.86万元，其中公务用车购置全年预算数为0万元，决算数为0万元。公务用车运行维护费支出全年预算数为21.76万元，决算数为20.86万元，完成全年预算的95.86%,决算数较 2021年减少0.35万元，下降1.65%,主要原因是严格执行公务用车要求，控制公务用车费用支出,年末公务用车保有7辆。决算数较全年预算数减少的主要原因是：严格执行“八项规定”，控制公务用车运行维护费支出。</w:t>
      </w:r>
    </w:p>
    <w:p>
      <w:pPr>
        <w:spacing w:before="226" w:line="221" w:lineRule="auto"/>
        <w:ind w:left="644"/>
        <w:outlineLvl w:val="0"/>
        <w:rPr>
          <w:rFonts w:ascii="黑体" w:hAnsi="黑体" w:eastAsia="黑体" w:cs="黑体"/>
          <w:sz w:val="32"/>
          <w:szCs w:val="32"/>
        </w:rPr>
      </w:pPr>
      <w:r>
        <w:rPr>
          <w:rFonts w:ascii="黑体" w:hAnsi="黑体" w:eastAsia="黑体" w:cs="黑体"/>
          <w:b/>
          <w:bCs/>
          <w:spacing w:val="-7"/>
          <w:sz w:val="32"/>
          <w:szCs w:val="32"/>
        </w:rPr>
        <w:t>六、机关运行经费支出情况说明</w:t>
      </w:r>
    </w:p>
    <w:p>
      <w:pPr>
        <w:spacing w:before="240" w:line="361" w:lineRule="auto"/>
        <w:ind w:right="38" w:firstLine="649"/>
        <w:jc w:val="both"/>
        <w:rPr>
          <w:rFonts w:hint="eastAsia" w:ascii="仿宋_GB2312" w:hAnsi="仿宋_GB2312" w:eastAsia="仿宋_GB2312"/>
          <w:sz w:val="30"/>
          <w:szCs w:val="30"/>
          <w:lang w:val="en-US" w:eastAsia="zh-CN"/>
        </w:rPr>
      </w:pPr>
      <w:r>
        <w:rPr>
          <w:rFonts w:hint="eastAsia" w:ascii="仿宋" w:hAnsi="仿宋" w:eastAsia="仿宋" w:cs="仿宋"/>
          <w:spacing w:val="20"/>
          <w:sz w:val="32"/>
          <w:szCs w:val="32"/>
          <w:lang w:val="en-US" w:eastAsia="zh-CN"/>
        </w:rPr>
        <w:t>本单位2022 年度机关运行经费支出416.06万元(与部门决算中行政单位和参照公务员法管理事业单位财政拨款基本支出中公用经费之和一致),较上年决算数减少127.86万元，降低23.51%,主要原因是：办公设施设备购置经费减少，2021年购买密集架设备104.57万元(具体增减原因由部门根据实际情况填列 ) 。</w:t>
      </w:r>
    </w:p>
    <w:p>
      <w:pPr>
        <w:spacing w:before="276" w:line="358" w:lineRule="auto"/>
        <w:ind w:right="47" w:firstLine="819"/>
        <w:jc w:val="both"/>
        <w:rPr>
          <w:rFonts w:ascii="仿宋" w:hAnsi="仿宋" w:eastAsia="仿宋" w:cs="仿宋"/>
          <w:sz w:val="32"/>
          <w:szCs w:val="32"/>
        </w:rPr>
      </w:pPr>
      <w:r>
        <w:rPr>
          <w:rFonts w:ascii="仿宋" w:hAnsi="仿宋" w:eastAsia="仿宋" w:cs="仿宋"/>
          <w:sz w:val="32"/>
          <w:szCs w:val="32"/>
        </w:rPr>
        <w:t>(若本单位不是行政单位或参照公务员法管理事业单位，</w:t>
      </w:r>
      <w:r>
        <w:rPr>
          <w:rFonts w:ascii="仿宋" w:hAnsi="仿宋" w:eastAsia="仿宋" w:cs="仿宋"/>
          <w:spacing w:val="18"/>
          <w:sz w:val="32"/>
          <w:szCs w:val="32"/>
        </w:rPr>
        <w:t xml:space="preserve"> </w:t>
      </w:r>
      <w:r>
        <w:rPr>
          <w:rFonts w:ascii="仿宋" w:hAnsi="仿宋" w:eastAsia="仿宋" w:cs="仿宋"/>
          <w:spacing w:val="-14"/>
          <w:sz w:val="32"/>
          <w:szCs w:val="32"/>
        </w:rPr>
        <w:t>则按以下格式说明：“本单位不是行政单位或参照公务员法管</w:t>
      </w:r>
    </w:p>
    <w:p>
      <w:pPr>
        <w:spacing w:before="1" w:line="220" w:lineRule="auto"/>
        <w:rPr>
          <w:rFonts w:ascii="仿宋" w:hAnsi="仿宋" w:eastAsia="仿宋" w:cs="仿宋"/>
          <w:sz w:val="32"/>
          <w:szCs w:val="32"/>
        </w:rPr>
      </w:pPr>
      <w:r>
        <w:rPr>
          <w:rFonts w:ascii="仿宋" w:hAnsi="仿宋" w:eastAsia="仿宋" w:cs="仿宋"/>
          <w:spacing w:val="2"/>
          <w:sz w:val="32"/>
          <w:szCs w:val="32"/>
        </w:rPr>
        <w:t>理事业单位，故无机关运行经费支出”)</w:t>
      </w:r>
    </w:p>
    <w:p>
      <w:pPr>
        <w:spacing w:before="245" w:line="221" w:lineRule="auto"/>
        <w:ind w:left="644"/>
        <w:outlineLvl w:val="0"/>
        <w:rPr>
          <w:rFonts w:ascii="黑体" w:hAnsi="黑体" w:eastAsia="黑体" w:cs="黑体"/>
          <w:sz w:val="32"/>
          <w:szCs w:val="32"/>
        </w:rPr>
      </w:pPr>
      <w:r>
        <w:rPr>
          <w:rFonts w:ascii="黑体" w:hAnsi="黑体" w:eastAsia="黑体" w:cs="黑体"/>
          <w:b/>
          <w:bCs/>
          <w:spacing w:val="-8"/>
          <w:sz w:val="32"/>
          <w:szCs w:val="32"/>
        </w:rPr>
        <w:t>七、政府采购支出情况说明</w:t>
      </w:r>
    </w:p>
    <w:p>
      <w:pPr>
        <w:spacing w:before="240" w:line="361" w:lineRule="auto"/>
        <w:ind w:right="38" w:firstLine="649"/>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本单位2022年度政府采购支出总额55.71万元，其中：政府采购货物支出44.47万元、政府采购工程支出0万元、政府采购服务支出11.24万元。授予中小企业合同金额  55.71万元，占政府采购支出总额的100%,其中：授予小微企业合同金额55.71万元，占授予中小企业合同金额的100 %;货物采购授予中小企业合同金额占货物支出金额的100%,无工程采购，服务采购授予中小企业合同金额占服务支出金额的100%。</w:t>
      </w:r>
      <w:bookmarkStart w:id="0" w:name="_GoBack"/>
      <w:bookmarkEnd w:id="0"/>
    </w:p>
    <w:p>
      <w:pPr>
        <w:spacing w:before="225" w:line="221" w:lineRule="auto"/>
        <w:ind w:left="654"/>
        <w:outlineLvl w:val="0"/>
        <w:rPr>
          <w:rFonts w:ascii="黑体" w:hAnsi="黑体" w:eastAsia="黑体" w:cs="黑体"/>
          <w:sz w:val="31"/>
          <w:szCs w:val="31"/>
        </w:rPr>
      </w:pPr>
      <w:r>
        <w:rPr>
          <w:rFonts w:ascii="黑体" w:hAnsi="黑体" w:eastAsia="黑体" w:cs="黑体"/>
          <w:b/>
          <w:bCs/>
          <w:spacing w:val="-7"/>
          <w:sz w:val="31"/>
          <w:szCs w:val="31"/>
        </w:rPr>
        <w:t>八、</w:t>
      </w:r>
      <w:r>
        <w:rPr>
          <w:rFonts w:ascii="黑体" w:hAnsi="黑体" w:eastAsia="黑体" w:cs="黑体"/>
          <w:spacing w:val="-50"/>
          <w:sz w:val="31"/>
          <w:szCs w:val="31"/>
        </w:rPr>
        <w:t xml:space="preserve"> </w:t>
      </w:r>
      <w:r>
        <w:rPr>
          <w:rFonts w:ascii="黑体" w:hAnsi="黑体" w:eastAsia="黑体" w:cs="黑体"/>
          <w:b/>
          <w:bCs/>
          <w:spacing w:val="-7"/>
          <w:sz w:val="31"/>
          <w:szCs w:val="31"/>
        </w:rPr>
        <w:t>国有资产占用情况说明</w:t>
      </w:r>
    </w:p>
    <w:p>
      <w:pPr>
        <w:spacing w:before="240" w:line="361" w:lineRule="auto"/>
        <w:ind w:right="38" w:firstLine="649"/>
        <w:jc w:val="both"/>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截止2022年12月31日，本单位国有资产占用情况见公开 10 表《国有资产占用情况表》。其中车辆中的其他用车主要是执法执勤用车7辆。</w:t>
      </w:r>
    </w:p>
    <w:p>
      <w:pPr>
        <w:spacing w:before="235" w:line="221" w:lineRule="auto"/>
        <w:ind w:left="654"/>
        <w:outlineLvl w:val="0"/>
        <w:rPr>
          <w:rFonts w:ascii="黑体" w:hAnsi="黑体" w:eastAsia="黑体" w:cs="黑体"/>
          <w:sz w:val="31"/>
          <w:szCs w:val="31"/>
        </w:rPr>
      </w:pPr>
      <w:r>
        <w:rPr>
          <w:rFonts w:ascii="黑体" w:hAnsi="黑体" w:eastAsia="黑体" w:cs="黑体"/>
          <w:b/>
          <w:bCs/>
          <w:spacing w:val="-10"/>
          <w:sz w:val="31"/>
          <w:szCs w:val="31"/>
        </w:rPr>
        <w:t>九</w:t>
      </w:r>
      <w:r>
        <w:rPr>
          <w:rFonts w:ascii="黑体" w:hAnsi="黑体" w:eastAsia="黑体" w:cs="黑体"/>
          <w:spacing w:val="-44"/>
          <w:sz w:val="31"/>
          <w:szCs w:val="31"/>
        </w:rPr>
        <w:t xml:space="preserve"> </w:t>
      </w:r>
      <w:r>
        <w:rPr>
          <w:rFonts w:ascii="黑体" w:hAnsi="黑体" w:eastAsia="黑体" w:cs="黑体"/>
          <w:b/>
          <w:bCs/>
          <w:spacing w:val="-10"/>
          <w:sz w:val="31"/>
          <w:szCs w:val="31"/>
        </w:rPr>
        <w:t>、预算绩效评价情况说明</w:t>
      </w:r>
    </w:p>
    <w:p>
      <w:pPr>
        <w:spacing w:before="260" w:line="220" w:lineRule="auto"/>
        <w:ind w:left="799"/>
        <w:rPr>
          <w:rFonts w:ascii="仿宋" w:hAnsi="仿宋" w:eastAsia="仿宋" w:cs="仿宋"/>
          <w:sz w:val="31"/>
          <w:szCs w:val="31"/>
        </w:rPr>
      </w:pPr>
      <w:r>
        <w:rPr>
          <w:rFonts w:ascii="仿宋" w:hAnsi="仿宋" w:eastAsia="仿宋" w:cs="仿宋"/>
          <w:spacing w:val="14"/>
          <w:sz w:val="31"/>
          <w:szCs w:val="31"/>
        </w:rPr>
        <w:t>(一)绩效评价工作开展情况。</w:t>
      </w:r>
    </w:p>
    <w:p>
      <w:pPr>
        <w:spacing w:before="253" w:line="376" w:lineRule="auto"/>
        <w:ind w:right="59" w:firstLine="650"/>
        <w:rPr>
          <w:rFonts w:ascii="仿宋" w:hAnsi="仿宋" w:eastAsia="仿宋" w:cs="仿宋"/>
          <w:sz w:val="31"/>
          <w:szCs w:val="31"/>
        </w:rPr>
      </w:pPr>
      <w:r>
        <w:rPr>
          <w:rFonts w:ascii="仿宋" w:hAnsi="仿宋" w:eastAsia="仿宋" w:cs="仿宋"/>
          <w:spacing w:val="9"/>
          <w:sz w:val="31"/>
          <w:szCs w:val="31"/>
        </w:rPr>
        <w:t>根据预算绩效管理要求，我单位组织对纳入2022年</w:t>
      </w:r>
      <w:r>
        <w:rPr>
          <w:rFonts w:ascii="仿宋" w:hAnsi="仿宋" w:eastAsia="仿宋" w:cs="仿宋"/>
          <w:spacing w:val="8"/>
          <w:sz w:val="31"/>
          <w:szCs w:val="31"/>
        </w:rPr>
        <w:t>度部门</w:t>
      </w:r>
      <w:r>
        <w:rPr>
          <w:rFonts w:ascii="仿宋" w:hAnsi="仿宋" w:eastAsia="仿宋" w:cs="仿宋"/>
          <w:sz w:val="31"/>
          <w:szCs w:val="31"/>
        </w:rPr>
        <w:t xml:space="preserve"> </w:t>
      </w:r>
      <w:r>
        <w:rPr>
          <w:rFonts w:ascii="仿宋" w:hAnsi="仿宋" w:eastAsia="仿宋" w:cs="仿宋"/>
          <w:spacing w:val="9"/>
          <w:sz w:val="31"/>
          <w:szCs w:val="31"/>
        </w:rPr>
        <w:t>预算范围的二级项目</w:t>
      </w:r>
      <w:r>
        <w:rPr>
          <w:rFonts w:hint="eastAsia" w:ascii="仿宋" w:hAnsi="仿宋" w:eastAsia="仿宋" w:cs="仿宋"/>
          <w:spacing w:val="9"/>
          <w:sz w:val="31"/>
          <w:szCs w:val="31"/>
          <w:lang w:val="en-US" w:eastAsia="zh-CN"/>
        </w:rPr>
        <w:t>34</w:t>
      </w:r>
      <w:r>
        <w:rPr>
          <w:rFonts w:ascii="仿宋" w:hAnsi="仿宋" w:eastAsia="仿宋" w:cs="仿宋"/>
          <w:spacing w:val="9"/>
          <w:sz w:val="31"/>
          <w:szCs w:val="31"/>
        </w:rPr>
        <w:t>个全面开展绩效自评，共涉及资金</w:t>
      </w:r>
      <w:r>
        <w:rPr>
          <w:rFonts w:hint="eastAsia" w:ascii="仿宋" w:hAnsi="仿宋" w:eastAsia="仿宋" w:cs="仿宋"/>
          <w:spacing w:val="9"/>
          <w:sz w:val="31"/>
          <w:szCs w:val="31"/>
          <w:lang w:val="en-US" w:eastAsia="zh-CN"/>
        </w:rPr>
        <w:t>2111.87</w:t>
      </w:r>
      <w:r>
        <w:rPr>
          <w:rFonts w:ascii="仿宋" w:hAnsi="仿宋" w:eastAsia="仿宋" w:cs="仿宋"/>
          <w:spacing w:val="8"/>
          <w:sz w:val="31"/>
          <w:szCs w:val="31"/>
        </w:rPr>
        <w:t>万</w:t>
      </w:r>
      <w:r>
        <w:rPr>
          <w:rFonts w:ascii="仿宋" w:hAnsi="仿宋" w:eastAsia="仿宋" w:cs="仿宋"/>
          <w:spacing w:val="3"/>
          <w:sz w:val="31"/>
          <w:szCs w:val="31"/>
        </w:rPr>
        <w:t>元，占项目支出总额的</w:t>
      </w:r>
      <w:r>
        <w:rPr>
          <w:rFonts w:hint="eastAsia" w:ascii="仿宋" w:hAnsi="仿宋" w:eastAsia="仿宋" w:cs="仿宋"/>
          <w:spacing w:val="69"/>
          <w:sz w:val="31"/>
          <w:szCs w:val="31"/>
          <w:lang w:val="en-US" w:eastAsia="zh-CN"/>
        </w:rPr>
        <w:t>79.76</w:t>
      </w:r>
      <w:r>
        <w:rPr>
          <w:rFonts w:ascii="仿宋" w:hAnsi="仿宋" w:eastAsia="仿宋" w:cs="仿宋"/>
          <w:spacing w:val="3"/>
          <w:sz w:val="31"/>
          <w:szCs w:val="31"/>
        </w:rPr>
        <w:t>%。</w:t>
      </w:r>
    </w:p>
    <w:p>
      <w:pPr>
        <w:spacing w:before="242" w:line="221" w:lineRule="auto"/>
        <w:ind w:left="829"/>
        <w:rPr>
          <w:rFonts w:ascii="仿宋" w:hAnsi="仿宋" w:eastAsia="仿宋" w:cs="仿宋"/>
          <w:sz w:val="31"/>
          <w:szCs w:val="31"/>
        </w:rPr>
      </w:pPr>
      <w:r>
        <w:rPr>
          <w:rFonts w:ascii="仿宋" w:hAnsi="仿宋" w:eastAsia="仿宋" w:cs="仿宋"/>
          <w:spacing w:val="12"/>
          <w:sz w:val="31"/>
          <w:szCs w:val="31"/>
        </w:rPr>
        <w:t>(二)单位决算中项目绩效自评结果。</w:t>
      </w:r>
    </w:p>
    <w:p>
      <w:pPr>
        <w:spacing w:before="239" w:line="642" w:lineRule="exact"/>
        <w:ind w:right="49"/>
        <w:jc w:val="right"/>
        <w:rPr>
          <w:rFonts w:ascii="仿宋" w:hAnsi="仿宋" w:eastAsia="仿宋" w:cs="仿宋"/>
          <w:sz w:val="31"/>
          <w:szCs w:val="31"/>
        </w:rPr>
      </w:pPr>
      <w:r>
        <w:rPr>
          <w:rFonts w:ascii="仿宋" w:hAnsi="仿宋" w:eastAsia="仿宋" w:cs="仿宋"/>
          <w:spacing w:val="14"/>
          <w:position w:val="25"/>
          <w:sz w:val="31"/>
          <w:szCs w:val="31"/>
        </w:rPr>
        <w:t>将2022年度《项目支出绩效自评表》(自选1个项目)进行</w:t>
      </w:r>
    </w:p>
    <w:p>
      <w:pPr>
        <w:spacing w:before="1" w:line="222" w:lineRule="auto"/>
        <w:rPr>
          <w:rFonts w:ascii="仿宋" w:hAnsi="仿宋" w:eastAsia="仿宋" w:cs="仿宋"/>
          <w:sz w:val="31"/>
          <w:szCs w:val="31"/>
        </w:rPr>
      </w:pPr>
      <w:r>
        <w:rPr>
          <w:rFonts w:ascii="仿宋" w:hAnsi="仿宋" w:eastAsia="仿宋" w:cs="仿宋"/>
          <w:spacing w:val="-8"/>
          <w:sz w:val="31"/>
          <w:szCs w:val="31"/>
        </w:rPr>
        <w:t>公开。</w:t>
      </w:r>
    </w:p>
    <w:p>
      <w:pPr>
        <w:spacing w:line="222" w:lineRule="auto"/>
        <w:rPr>
          <w:rFonts w:ascii="仿宋" w:hAnsi="仿宋" w:eastAsia="仿宋" w:cs="仿宋"/>
          <w:sz w:val="31"/>
          <w:szCs w:val="31"/>
        </w:rPr>
      </w:pPr>
    </w:p>
    <w:tbl>
      <w:tblPr>
        <w:tblStyle w:val="4"/>
        <w:tblW w:w="9886" w:type="dxa"/>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660"/>
        <w:gridCol w:w="705"/>
        <w:gridCol w:w="960"/>
        <w:gridCol w:w="960"/>
        <w:gridCol w:w="240"/>
        <w:gridCol w:w="1185"/>
        <w:gridCol w:w="961"/>
        <w:gridCol w:w="630"/>
        <w:gridCol w:w="105"/>
        <w:gridCol w:w="750"/>
        <w:gridCol w:w="87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86"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86"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86"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9886" w:type="dxa"/>
            <w:gridSpan w:val="1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919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浮府办抄字【2021】446号浮梁县农村乱占耕地建房调查摸排项目131万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47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35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全年预算数</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项目资金（万元）</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130.0742</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130.0742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130.0742</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130.0742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86"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执行率偏差原因及整改措施</w:t>
            </w:r>
          </w:p>
        </w:tc>
        <w:tc>
          <w:tcPr>
            <w:tcW w:w="919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47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44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摸清全县2013年以来11334宗农村乱占耕地建房宗地涉及的用地、房屋建设、使用和出售、处罚等情况，建立全县农村乱占耕地建房问题摸排工作台账和数据库，为分步整治、分类处置存量问题奠定基础，重点整治强占多占、非法出售等恶意占用耕地建房行为，保障农民合理的建房需求。</w:t>
            </w:r>
          </w:p>
        </w:tc>
        <w:tc>
          <w:tcPr>
            <w:tcW w:w="44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摸清全县2013年以来11334宗农村乱占耕地建房宗地涉及的用地、房屋建设、使用和出售、处罚等情况，建立全县农村乱占耕地建房问题摸排工作台账和数据库，为分步整治、分类处置存量问题奠定基础，重点整治强占多占、非法出售等恶意占用耕地建房行为，保障农民合理的建房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年度指标</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偏差原因及整改措施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摸排工作成果</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形成全县2013年以来农村乱占耕地建房摸排数据库、台账、电子档案及工作总结报告</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摸清全县农村乱占耕地建房底数</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=11334宗</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11334宗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成果编制符合相关技术标准</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符合（协调机制办发【2020】1号）相关技术要求</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通过自然资源主管部门审核，取得省自然资源厅审核意见</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相关成果通过江西省自然资源厅评审验收</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是否在合同规定时间内完成</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摸排农村乱占耕地建房工作支出总额</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=131万元</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130.0742万元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合同金额为1300742元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支撑浮梁县完成农村乱占耕地建房摸排工作</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全面摸清浮梁县自2013年以来各类占用耕地建设的没有合法合规用地手续的房屋</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农村乱占耕地数据进一步完善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加强耕地保护，切实守住耕地红线</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通过开展摸排工作，摸清全县农村乱占耕地建房底数</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加强耕地保护意识进一步提高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政府机构主体、自然资源主管部门满意度</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&gt;=90%</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86"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9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sectPr>
          <w:footerReference r:id="rId11" w:type="default"/>
          <w:pgSz w:w="11870" w:h="16740"/>
          <w:pgMar w:top="400" w:right="1558" w:bottom="1588" w:left="1610" w:header="0" w:footer="1279" w:gutter="0"/>
          <w:cols w:space="720" w:num="1"/>
        </w:sectPr>
      </w:pPr>
    </w:p>
    <w:p>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pPr>
        <w:spacing w:before="140" w:line="219" w:lineRule="auto"/>
        <w:ind w:left="2406"/>
        <w:rPr>
          <w:rFonts w:ascii="宋体" w:hAnsi="宋体" w:eastAsia="宋体" w:cs="宋体"/>
          <w:sz w:val="43"/>
          <w:szCs w:val="43"/>
        </w:rPr>
      </w:pPr>
      <w:r>
        <w:rPr>
          <w:rFonts w:ascii="宋体" w:hAnsi="宋体" w:eastAsia="宋体" w:cs="宋体"/>
          <w:b/>
          <w:bCs/>
          <w:spacing w:val="-3"/>
          <w:sz w:val="43"/>
          <w:szCs w:val="43"/>
        </w:rPr>
        <w:t>第四部分</w:t>
      </w:r>
      <w:r>
        <w:rPr>
          <w:rFonts w:ascii="宋体" w:hAnsi="宋体" w:eastAsia="宋体" w:cs="宋体"/>
          <w:spacing w:val="-3"/>
          <w:sz w:val="43"/>
          <w:szCs w:val="43"/>
        </w:rPr>
        <w:t xml:space="preserve">  </w:t>
      </w:r>
      <w:r>
        <w:rPr>
          <w:rFonts w:ascii="宋体" w:hAnsi="宋体" w:eastAsia="宋体" w:cs="宋体"/>
          <w:b/>
          <w:bCs/>
          <w:spacing w:val="-3"/>
          <w:sz w:val="43"/>
          <w:szCs w:val="43"/>
        </w:rPr>
        <w:t>名词解释</w:t>
      </w:r>
    </w:p>
    <w:p>
      <w:pPr>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val="en-US" w:eastAsia="en-US" w:bidi="ar-SA"/>
        </w:rPr>
      </w:pPr>
    </w:p>
    <w:p>
      <w:pPr>
        <w:spacing w:before="104" w:line="325" w:lineRule="auto"/>
        <w:ind w:firstLine="644"/>
        <w:rPr>
          <w:rFonts w:ascii="仿宋" w:hAnsi="仿宋" w:eastAsia="仿宋" w:cs="仿宋"/>
          <w:sz w:val="32"/>
          <w:szCs w:val="32"/>
        </w:rPr>
      </w:pPr>
      <w:r>
        <w:rPr>
          <w:rFonts w:ascii="仿宋" w:hAnsi="仿宋" w:eastAsia="仿宋" w:cs="仿宋"/>
          <w:b/>
          <w:bCs/>
          <w:spacing w:val="-9"/>
          <w:sz w:val="32"/>
          <w:szCs w:val="32"/>
        </w:rPr>
        <w:t>应对报表项目、政府收支分类科目进行适当说明。</w:t>
      </w:r>
      <w:r>
        <w:rPr>
          <w:rFonts w:ascii="仿宋" w:hAnsi="仿宋" w:eastAsia="仿宋" w:cs="仿宋"/>
          <w:spacing w:val="-9"/>
          <w:sz w:val="32"/>
          <w:szCs w:val="32"/>
        </w:rPr>
        <w:t xml:space="preserve">  (以财</w:t>
      </w:r>
      <w:r>
        <w:rPr>
          <w:rFonts w:ascii="仿宋" w:hAnsi="仿宋" w:eastAsia="仿宋" w:cs="仿宋"/>
          <w:spacing w:val="9"/>
          <w:sz w:val="32"/>
          <w:szCs w:val="32"/>
        </w:rPr>
        <w:t xml:space="preserve"> </w:t>
      </w:r>
      <w:r>
        <w:rPr>
          <w:rFonts w:ascii="仿宋" w:hAnsi="仿宋" w:eastAsia="仿宋" w:cs="仿宋"/>
          <w:spacing w:val="-8"/>
          <w:sz w:val="32"/>
          <w:szCs w:val="32"/>
        </w:rPr>
        <w:t>务会计制度、政府收支分类科目以及部门预算</w:t>
      </w:r>
      <w:r>
        <w:rPr>
          <w:rFonts w:ascii="仿宋" w:hAnsi="仿宋" w:eastAsia="仿宋" w:cs="仿宋"/>
          <w:spacing w:val="-9"/>
          <w:sz w:val="32"/>
          <w:szCs w:val="32"/>
        </w:rPr>
        <w:t>管理等规定为准，</w:t>
      </w:r>
    </w:p>
    <w:p>
      <w:pPr>
        <w:spacing w:before="1" w:line="221" w:lineRule="auto"/>
        <w:rPr>
          <w:rFonts w:ascii="仿宋" w:hAnsi="仿宋" w:eastAsia="仿宋" w:cs="仿宋"/>
          <w:sz w:val="32"/>
          <w:szCs w:val="32"/>
        </w:rPr>
      </w:pPr>
      <w:r>
        <w:rPr>
          <w:rFonts w:ascii="仿宋" w:hAnsi="仿宋" w:eastAsia="仿宋" w:cs="仿宋"/>
          <w:sz w:val="32"/>
          <w:szCs w:val="32"/>
        </w:rPr>
        <w:t>可结合部门实际情况适当细化)</w:t>
      </w:r>
    </w:p>
    <w:p>
      <w:pPr>
        <w:spacing w:before="184" w:line="560" w:lineRule="exact"/>
        <w:ind w:right="67"/>
        <w:jc w:val="right"/>
        <w:rPr>
          <w:rFonts w:ascii="仿宋" w:hAnsi="仿宋" w:eastAsia="仿宋" w:cs="仿宋"/>
          <w:sz w:val="32"/>
          <w:szCs w:val="32"/>
        </w:rPr>
      </w:pPr>
      <w:r>
        <w:rPr>
          <w:rFonts w:ascii="仿宋" w:hAnsi="仿宋" w:eastAsia="仿宋" w:cs="仿宋"/>
          <w:position w:val="17"/>
          <w:sz w:val="32"/>
          <w:szCs w:val="32"/>
        </w:rPr>
        <w:t>“三公”经费支出和机关运行经费支出口径必须予以说明</w:t>
      </w:r>
    </w:p>
    <w:p>
      <w:pPr>
        <w:spacing w:before="1" w:line="220" w:lineRule="auto"/>
        <w:ind w:left="140"/>
        <w:rPr>
          <w:rFonts w:ascii="仿宋" w:hAnsi="仿宋" w:eastAsia="仿宋" w:cs="仿宋"/>
          <w:sz w:val="32"/>
          <w:szCs w:val="32"/>
        </w:rPr>
      </w:pPr>
      <w:r>
        <w:rPr>
          <w:rFonts w:ascii="仿宋" w:hAnsi="仿宋" w:eastAsia="仿宋" w:cs="仿宋"/>
          <w:spacing w:val="9"/>
          <w:sz w:val="32"/>
          <w:szCs w:val="32"/>
        </w:rPr>
        <w:t>(可参照如下格式进行说明):</w:t>
      </w:r>
    </w:p>
    <w:p>
      <w:pPr>
        <w:spacing w:before="179" w:line="323" w:lineRule="auto"/>
        <w:ind w:right="57" w:firstLine="630"/>
        <w:rPr>
          <w:rFonts w:ascii="仿宋" w:hAnsi="仿宋" w:eastAsia="仿宋" w:cs="仿宋"/>
          <w:sz w:val="32"/>
          <w:szCs w:val="32"/>
        </w:rPr>
      </w:pPr>
      <w:r>
        <w:rPr>
          <w:rFonts w:ascii="仿宋" w:hAnsi="仿宋" w:eastAsia="仿宋" w:cs="仿宋"/>
          <w:spacing w:val="9"/>
          <w:sz w:val="32"/>
          <w:szCs w:val="32"/>
        </w:rPr>
        <w:t>“三公”经费支出：指用</w:t>
      </w:r>
      <w:r>
        <w:rPr>
          <w:rFonts w:ascii="仿宋" w:hAnsi="仿宋" w:eastAsia="仿宋" w:cs="仿宋"/>
          <w:b/>
          <w:bCs/>
          <w:spacing w:val="9"/>
          <w:sz w:val="32"/>
          <w:szCs w:val="32"/>
        </w:rPr>
        <w:t>财政拨款安</w:t>
      </w:r>
      <w:r>
        <w:rPr>
          <w:rFonts w:ascii="仿宋" w:hAnsi="仿宋" w:eastAsia="仿宋" w:cs="仿宋"/>
          <w:spacing w:val="9"/>
          <w:sz w:val="32"/>
          <w:szCs w:val="32"/>
        </w:rPr>
        <w:t>排的因公出国(境)</w:t>
      </w:r>
      <w:r>
        <w:rPr>
          <w:rFonts w:ascii="仿宋" w:hAnsi="仿宋" w:eastAsia="仿宋" w:cs="仿宋"/>
          <w:spacing w:val="18"/>
          <w:sz w:val="32"/>
          <w:szCs w:val="32"/>
        </w:rPr>
        <w:t xml:space="preserve"> </w:t>
      </w:r>
      <w:r>
        <w:rPr>
          <w:rFonts w:ascii="仿宋" w:hAnsi="仿宋" w:eastAsia="仿宋" w:cs="仿宋"/>
          <w:spacing w:val="-1"/>
          <w:sz w:val="32"/>
          <w:szCs w:val="32"/>
        </w:rPr>
        <w:t>费、公务用车购置及运行维护费和公务接待费。</w:t>
      </w:r>
      <w:r>
        <w:rPr>
          <w:rFonts w:ascii="仿宋" w:hAnsi="仿宋" w:eastAsia="仿宋" w:cs="仿宋"/>
          <w:spacing w:val="-2"/>
          <w:sz w:val="32"/>
          <w:szCs w:val="32"/>
        </w:rPr>
        <w:t>其中，因公出</w:t>
      </w:r>
      <w:r>
        <w:rPr>
          <w:rFonts w:ascii="仿宋" w:hAnsi="仿宋" w:eastAsia="仿宋" w:cs="仿宋"/>
          <w:sz w:val="32"/>
          <w:szCs w:val="32"/>
        </w:rPr>
        <w:t xml:space="preserve"> </w:t>
      </w:r>
      <w:r>
        <w:rPr>
          <w:rFonts w:ascii="仿宋" w:hAnsi="仿宋" w:eastAsia="仿宋" w:cs="仿宋"/>
          <w:spacing w:val="23"/>
          <w:sz w:val="32"/>
          <w:szCs w:val="32"/>
        </w:rPr>
        <w:t>国(境)费反映单位公务出国(境)的国际旅费、国外城市间</w:t>
      </w:r>
      <w:r>
        <w:rPr>
          <w:rFonts w:ascii="仿宋" w:hAnsi="仿宋" w:eastAsia="仿宋" w:cs="仿宋"/>
          <w:spacing w:val="1"/>
          <w:sz w:val="32"/>
          <w:szCs w:val="32"/>
        </w:rPr>
        <w:t xml:space="preserve"> </w:t>
      </w:r>
      <w:r>
        <w:rPr>
          <w:rFonts w:ascii="仿宋" w:hAnsi="仿宋" w:eastAsia="仿宋" w:cs="仿宋"/>
          <w:sz w:val="32"/>
          <w:szCs w:val="32"/>
        </w:rPr>
        <w:t>交通费、住宿费、伙食费、培训费、公杂费等支出；公务用车</w:t>
      </w:r>
      <w:r>
        <w:rPr>
          <w:rFonts w:ascii="仿宋" w:hAnsi="仿宋" w:eastAsia="仿宋" w:cs="仿宋"/>
          <w:spacing w:val="9"/>
          <w:sz w:val="32"/>
          <w:szCs w:val="32"/>
        </w:rPr>
        <w:t xml:space="preserve"> </w:t>
      </w:r>
      <w:r>
        <w:rPr>
          <w:rFonts w:ascii="仿宋" w:hAnsi="仿宋" w:eastAsia="仿宋" w:cs="仿宋"/>
          <w:spacing w:val="6"/>
          <w:sz w:val="32"/>
          <w:szCs w:val="32"/>
        </w:rPr>
        <w:t>购置及运行维护费反映单位公务用车车辆购置支出(含车辆购</w:t>
      </w:r>
      <w:r>
        <w:rPr>
          <w:rFonts w:ascii="仿宋" w:hAnsi="仿宋" w:eastAsia="仿宋" w:cs="仿宋"/>
          <w:spacing w:val="3"/>
          <w:sz w:val="32"/>
          <w:szCs w:val="32"/>
        </w:rPr>
        <w:t xml:space="preserve"> </w:t>
      </w:r>
      <w:r>
        <w:rPr>
          <w:rFonts w:ascii="仿宋" w:hAnsi="仿宋" w:eastAsia="仿宋" w:cs="仿宋"/>
          <w:spacing w:val="12"/>
          <w:sz w:val="32"/>
          <w:szCs w:val="32"/>
        </w:rPr>
        <w:t>置税、牌照费),按规定保留的公务用车燃料费、维修费、过</w:t>
      </w:r>
      <w:r>
        <w:rPr>
          <w:rFonts w:ascii="仿宋" w:hAnsi="仿宋" w:eastAsia="仿宋" w:cs="仿宋"/>
          <w:spacing w:val="1"/>
          <w:sz w:val="32"/>
          <w:szCs w:val="32"/>
        </w:rPr>
        <w:t xml:space="preserve"> 桥过路费、保险费、安全奖励费用等支出；公务接待费反映单</w:t>
      </w:r>
    </w:p>
    <w:p>
      <w:pPr>
        <w:spacing w:before="1" w:line="221" w:lineRule="auto"/>
        <w:rPr>
          <w:rFonts w:ascii="仿宋" w:hAnsi="仿宋" w:eastAsia="仿宋" w:cs="仿宋"/>
          <w:sz w:val="32"/>
          <w:szCs w:val="32"/>
        </w:rPr>
      </w:pPr>
      <w:r>
        <w:rPr>
          <w:rFonts w:ascii="仿宋" w:hAnsi="仿宋" w:eastAsia="仿宋" w:cs="仿宋"/>
          <w:spacing w:val="8"/>
          <w:sz w:val="32"/>
          <w:szCs w:val="32"/>
        </w:rPr>
        <w:t>位按规定开支的各类公务接待(含外宾接待)支出。</w:t>
      </w:r>
    </w:p>
    <w:p>
      <w:pPr>
        <w:tabs>
          <w:tab w:val="left" w:pos="168"/>
        </w:tabs>
        <w:spacing w:before="172" w:line="323" w:lineRule="auto"/>
        <w:ind w:right="28" w:firstLine="619"/>
        <w:rPr>
          <w:rFonts w:ascii="仿宋" w:hAnsi="仿宋" w:eastAsia="仿宋" w:cs="仿宋"/>
          <w:sz w:val="32"/>
          <w:szCs w:val="32"/>
        </w:rPr>
      </w:pPr>
      <w:r>
        <w:rPr>
          <w:rFonts w:ascii="仿宋" w:hAnsi="仿宋" w:eastAsia="仿宋" w:cs="仿宋"/>
          <w:spacing w:val="1"/>
          <w:sz w:val="32"/>
          <w:szCs w:val="32"/>
        </w:rPr>
        <w:t>机关运行经费支出：指用</w:t>
      </w:r>
      <w:r>
        <w:rPr>
          <w:rFonts w:ascii="仿宋" w:hAnsi="仿宋" w:eastAsia="仿宋" w:cs="仿宋"/>
          <w:b/>
          <w:bCs/>
          <w:spacing w:val="1"/>
          <w:sz w:val="32"/>
          <w:szCs w:val="32"/>
        </w:rPr>
        <w:t>财政拨款安</w:t>
      </w:r>
      <w:r>
        <w:rPr>
          <w:rFonts w:ascii="仿宋" w:hAnsi="仿宋" w:eastAsia="仿宋" w:cs="仿宋"/>
          <w:spacing w:val="1"/>
          <w:sz w:val="32"/>
          <w:szCs w:val="32"/>
        </w:rPr>
        <w:t>排的为保障行政单位</w:t>
      </w:r>
      <w:r>
        <w:rPr>
          <w:rFonts w:ascii="仿宋" w:hAnsi="仿宋" w:eastAsia="仿宋" w:cs="仿宋"/>
          <w:spacing w:val="7"/>
          <w:sz w:val="32"/>
          <w:szCs w:val="32"/>
        </w:rPr>
        <w:t xml:space="preserve"> </w:t>
      </w:r>
      <w:r>
        <w:rPr>
          <w:rFonts w:ascii="仿宋" w:hAnsi="仿宋" w:eastAsia="仿宋" w:cs="仿宋"/>
          <w:sz w:val="32"/>
          <w:szCs w:val="32"/>
        </w:rPr>
        <w:tab/>
      </w:r>
      <w:r>
        <w:rPr>
          <w:rFonts w:ascii="仿宋" w:hAnsi="仿宋" w:eastAsia="仿宋" w:cs="仿宋"/>
          <w:spacing w:val="8"/>
          <w:sz w:val="32"/>
          <w:szCs w:val="32"/>
        </w:rPr>
        <w:t>(包括参照公务员法管理的事业单位)运行用于购</w:t>
      </w:r>
      <w:r>
        <w:rPr>
          <w:rFonts w:ascii="仿宋" w:hAnsi="仿宋" w:eastAsia="仿宋" w:cs="仿宋"/>
          <w:spacing w:val="7"/>
          <w:sz w:val="32"/>
          <w:szCs w:val="32"/>
        </w:rPr>
        <w:t>买货物和服</w:t>
      </w:r>
      <w:r>
        <w:rPr>
          <w:rFonts w:ascii="仿宋" w:hAnsi="仿宋" w:eastAsia="仿宋" w:cs="仿宋"/>
          <w:sz w:val="32"/>
          <w:szCs w:val="32"/>
        </w:rPr>
        <w:t xml:space="preserve"> 务的各项资金，包括办公费、印刷费、邮电费、差旅费、会议 费、福利费、日常维修费、专用材料及一般设备购置费、办公</w:t>
      </w:r>
      <w:r>
        <w:rPr>
          <w:rFonts w:ascii="仿宋" w:hAnsi="仿宋" w:eastAsia="仿宋" w:cs="仿宋"/>
          <w:spacing w:val="1"/>
          <w:sz w:val="32"/>
          <w:szCs w:val="32"/>
        </w:rPr>
        <w:t xml:space="preserve"> 用房水电费、办公用房取暖费、办公用房物业管理费、公务用</w:t>
      </w:r>
    </w:p>
    <w:p>
      <w:pPr>
        <w:spacing w:before="1" w:line="219" w:lineRule="auto"/>
        <w:rPr>
          <w:rFonts w:ascii="仿宋" w:hAnsi="仿宋" w:eastAsia="仿宋" w:cs="仿宋"/>
          <w:sz w:val="32"/>
          <w:szCs w:val="32"/>
        </w:rPr>
        <w:sectPr>
          <w:footerReference r:id="rId12" w:type="default"/>
          <w:pgSz w:w="11870" w:h="16800"/>
          <w:pgMar w:top="400" w:right="1510" w:bottom="1665" w:left="1629" w:header="0" w:footer="1346" w:gutter="0"/>
          <w:cols w:space="720" w:num="1"/>
        </w:sectPr>
      </w:pPr>
      <w:r>
        <w:rPr>
          <w:rFonts w:ascii="仿宋" w:hAnsi="仿宋" w:eastAsia="仿宋" w:cs="仿宋"/>
          <w:spacing w:val="-9"/>
          <w:sz w:val="32"/>
          <w:szCs w:val="32"/>
        </w:rPr>
        <w:t>车运行维护费以及其他费用。</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val="en-US" w:eastAsia="en-US"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9"/>
        <w:szCs w:val="2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val="en-US" w:eastAsia="en-US"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OTdlNmM3NzBiMTQyMmRlNjIxNzM2MzMxNTU1YzYifQ=="/>
  </w:docVars>
  <w:rsids>
    <w:rsidRoot w:val="00000000"/>
    <w:rsid w:val="01267613"/>
    <w:rsid w:val="03C70711"/>
    <w:rsid w:val="0AC21C32"/>
    <w:rsid w:val="0B00275A"/>
    <w:rsid w:val="0FD752ED"/>
    <w:rsid w:val="15B12D04"/>
    <w:rsid w:val="1D2D5631"/>
    <w:rsid w:val="26DD6079"/>
    <w:rsid w:val="2AC5334C"/>
    <w:rsid w:val="2E0F48DF"/>
    <w:rsid w:val="2FA06DDA"/>
    <w:rsid w:val="314B3E80"/>
    <w:rsid w:val="31D326E5"/>
    <w:rsid w:val="3EEF6792"/>
    <w:rsid w:val="3FC76DC7"/>
    <w:rsid w:val="44625310"/>
    <w:rsid w:val="44847CD1"/>
    <w:rsid w:val="46B5206F"/>
    <w:rsid w:val="46DE6A3B"/>
    <w:rsid w:val="48D04F3E"/>
    <w:rsid w:val="4B35405C"/>
    <w:rsid w:val="4C2630C7"/>
    <w:rsid w:val="4F09543A"/>
    <w:rsid w:val="5144471C"/>
    <w:rsid w:val="530C29FC"/>
    <w:rsid w:val="545E206C"/>
    <w:rsid w:val="5B084A0C"/>
    <w:rsid w:val="5C1B076F"/>
    <w:rsid w:val="5C4F0418"/>
    <w:rsid w:val="5CBA1D36"/>
    <w:rsid w:val="5D3F68DF"/>
    <w:rsid w:val="6155027F"/>
    <w:rsid w:val="64986E00"/>
    <w:rsid w:val="68120C78"/>
    <w:rsid w:val="69992CD3"/>
    <w:rsid w:val="69E2467A"/>
    <w:rsid w:val="6AB37DC4"/>
    <w:rsid w:val="6CA125CA"/>
    <w:rsid w:val="6E4D386A"/>
    <w:rsid w:val="6F234E4B"/>
    <w:rsid w:val="6FDD7DBD"/>
    <w:rsid w:val="705931BC"/>
    <w:rsid w:val="706B361B"/>
    <w:rsid w:val="75501031"/>
    <w:rsid w:val="75CF01A8"/>
    <w:rsid w:val="7A54672D"/>
    <w:rsid w:val="7A6C2163"/>
    <w:rsid w:val="7B407452"/>
    <w:rsid w:val="7DFD787D"/>
    <w:rsid w:val="7E447259"/>
    <w:rsid w:val="7F2B48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jc w:val="both"/>
      <w:textAlignment w:val="baseline"/>
    </w:pPr>
    <w:rPr>
      <w:rFonts w:ascii="Cambria" w:hAnsi="Cambria" w:eastAsia="宋体" w:cs="Times New Roman"/>
      <w:b/>
      <w:bCs/>
      <w:kern w:val="2"/>
      <w:sz w:val="30"/>
      <w:szCs w:val="3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customStyle="1" w:styleId="6">
    <w:name w:val="Table Text"/>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17"/>
      <w:szCs w:val="17"/>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2023-12-14T09:34:55Z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4DA20CFE9A4D4F328BACF3D9C7F47973_12</vt:lpwstr>
  </property>
</Properties>
</file>