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135" w:type="dxa"/>
        <w:jc w:val="center"/>
        <w:tblInd w:w="-183" w:type="dxa"/>
        <w:tblLayout w:type="fixed"/>
        <w:tblCellMar>
          <w:top w:w="0" w:type="dxa"/>
          <w:left w:w="108" w:type="dxa"/>
          <w:bottom w:w="0" w:type="dxa"/>
          <w:right w:w="108" w:type="dxa"/>
        </w:tblCellMar>
      </w:tblPr>
      <w:tblGrid>
        <w:gridCol w:w="524"/>
        <w:gridCol w:w="754"/>
        <w:gridCol w:w="243"/>
        <w:gridCol w:w="1155"/>
        <w:gridCol w:w="538"/>
        <w:gridCol w:w="857"/>
        <w:gridCol w:w="285"/>
        <w:gridCol w:w="998"/>
        <w:gridCol w:w="1297"/>
        <w:gridCol w:w="287"/>
        <w:gridCol w:w="358"/>
        <w:gridCol w:w="320"/>
        <w:gridCol w:w="190"/>
        <w:gridCol w:w="589"/>
        <w:gridCol w:w="1740"/>
      </w:tblGrid>
      <w:tr>
        <w:tblPrEx>
          <w:tblLayout w:type="fixed"/>
          <w:tblCellMar>
            <w:top w:w="0" w:type="dxa"/>
            <w:left w:w="108" w:type="dxa"/>
            <w:bottom w:w="0" w:type="dxa"/>
            <w:right w:w="108" w:type="dxa"/>
          </w:tblCellMar>
        </w:tblPrEx>
        <w:trPr>
          <w:trHeight w:val="1048" w:hRule="exact"/>
          <w:jc w:val="center"/>
        </w:trPr>
        <w:tc>
          <w:tcPr>
            <w:tcW w:w="10135" w:type="dxa"/>
            <w:gridSpan w:val="15"/>
            <w:tcBorders>
              <w:top w:val="nil"/>
              <w:left w:val="nil"/>
              <w:bottom w:val="nil"/>
              <w:right w:val="nil"/>
            </w:tcBorders>
            <w:vAlign w:val="center"/>
          </w:tcPr>
          <w:p>
            <w:pPr>
              <w:spacing w:line="440" w:lineRule="exact"/>
              <w:jc w:val="lef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1</w:t>
            </w:r>
          </w:p>
          <w:p>
            <w:pPr>
              <w:spacing w:line="520" w:lineRule="exact"/>
              <w:jc w:val="center"/>
              <w:rPr>
                <w:rFonts w:ascii="仿宋" w:hAnsi="仿宋" w:eastAsia="仿宋"/>
                <w:b/>
                <w:bCs/>
                <w:kern w:val="0"/>
                <w:szCs w:val="21"/>
              </w:rPr>
            </w:pPr>
            <w:r>
              <w:rPr>
                <w:rFonts w:hint="eastAsia" w:ascii="方正小标宋简体" w:hAnsi="方正小标宋简体" w:eastAsia="方正小标宋简体" w:cs="方正小标宋简体"/>
                <w:kern w:val="0"/>
                <w:sz w:val="44"/>
                <w:szCs w:val="44"/>
              </w:rPr>
              <w:t>项目支出绩效自评表</w:t>
            </w:r>
            <w:r>
              <w:rPr>
                <w:rFonts w:hint="eastAsia" w:ascii="方正小标宋简体" w:hAnsi="方正小标宋简体" w:eastAsia="方正小标宋简体" w:cs="方正小标宋简体"/>
                <w:kern w:val="0"/>
                <w:sz w:val="44"/>
                <w:szCs w:val="44"/>
                <w:lang w:val="en-US" w:eastAsia="zh-CN"/>
              </w:rPr>
              <w:t>6</w:t>
            </w:r>
          </w:p>
        </w:tc>
      </w:tr>
      <w:tr>
        <w:tblPrEx>
          <w:tblLayout w:type="fixed"/>
          <w:tblCellMar>
            <w:top w:w="0" w:type="dxa"/>
            <w:left w:w="108" w:type="dxa"/>
            <w:bottom w:w="0" w:type="dxa"/>
            <w:right w:w="108" w:type="dxa"/>
          </w:tblCellMar>
        </w:tblPrEx>
        <w:trPr>
          <w:trHeight w:val="296" w:hRule="atLeast"/>
          <w:jc w:val="center"/>
        </w:trPr>
        <w:tc>
          <w:tcPr>
            <w:tcW w:w="10135" w:type="dxa"/>
            <w:gridSpan w:val="15"/>
            <w:tcBorders>
              <w:top w:val="nil"/>
              <w:left w:val="nil"/>
              <w:bottom w:val="nil"/>
              <w:right w:val="nil"/>
            </w:tcBorders>
          </w:tcPr>
          <w:p>
            <w:pPr>
              <w:jc w:val="center"/>
              <w:rPr>
                <w:rFonts w:ascii="宋体"/>
                <w:kern w:val="0"/>
                <w:sz w:val="22"/>
                <w:szCs w:val="22"/>
              </w:rPr>
            </w:pPr>
            <w:r>
              <w:rPr>
                <w:rFonts w:hint="eastAsia" w:ascii="楷体_GB2312" w:hAnsi="楷体_GB2312" w:eastAsia="楷体_GB2312" w:cs="楷体_GB2312"/>
                <w:kern w:val="0"/>
                <w:sz w:val="18"/>
                <w:szCs w:val="18"/>
              </w:rPr>
              <w:t>（2021年度）</w:t>
            </w:r>
          </w:p>
        </w:tc>
      </w:tr>
      <w:tr>
        <w:tblPrEx>
          <w:tblLayout w:type="fixed"/>
          <w:tblCellMar>
            <w:top w:w="0" w:type="dxa"/>
            <w:left w:w="108" w:type="dxa"/>
            <w:bottom w:w="0" w:type="dxa"/>
            <w:right w:w="108" w:type="dxa"/>
          </w:tblCellMar>
        </w:tblPrEx>
        <w:trPr>
          <w:trHeight w:val="300" w:hRule="exact"/>
          <w:jc w:val="center"/>
        </w:trPr>
        <w:tc>
          <w:tcPr>
            <w:tcW w:w="12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项目名称</w:t>
            </w:r>
          </w:p>
        </w:tc>
        <w:tc>
          <w:tcPr>
            <w:tcW w:w="8857" w:type="dxa"/>
            <w:gridSpan w:val="1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bookmarkStart w:id="0" w:name="_GoBack"/>
            <w:r>
              <w:rPr>
                <w:rFonts w:hint="eastAsia" w:ascii="宋体"/>
                <w:kern w:val="0"/>
                <w:sz w:val="18"/>
                <w:szCs w:val="18"/>
              </w:rPr>
              <w:t>浮梁县土地利用总体规划延续完善方案采购</w:t>
            </w:r>
            <w:bookmarkEnd w:id="0"/>
          </w:p>
        </w:tc>
      </w:tr>
      <w:tr>
        <w:tblPrEx>
          <w:tblLayout w:type="fixed"/>
          <w:tblCellMar>
            <w:top w:w="0" w:type="dxa"/>
            <w:left w:w="108" w:type="dxa"/>
            <w:bottom w:w="0" w:type="dxa"/>
            <w:right w:w="108" w:type="dxa"/>
          </w:tblCellMar>
        </w:tblPrEx>
        <w:trPr>
          <w:trHeight w:val="300" w:hRule="exact"/>
          <w:jc w:val="center"/>
        </w:trPr>
        <w:tc>
          <w:tcPr>
            <w:tcW w:w="127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主管部门</w:t>
            </w:r>
          </w:p>
        </w:tc>
        <w:tc>
          <w:tcPr>
            <w:tcW w:w="4076"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浮梁县自然资源和规划局</w:t>
            </w:r>
          </w:p>
        </w:tc>
        <w:tc>
          <w:tcPr>
            <w:tcW w:w="1584"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实施单位</w:t>
            </w:r>
          </w:p>
        </w:tc>
        <w:tc>
          <w:tcPr>
            <w:tcW w:w="3197" w:type="dxa"/>
            <w:gridSpan w:val="5"/>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浮梁县自然资源和规划局</w:t>
            </w:r>
          </w:p>
        </w:tc>
      </w:tr>
      <w:tr>
        <w:tblPrEx>
          <w:tblLayout w:type="fixed"/>
          <w:tblCellMar>
            <w:top w:w="0" w:type="dxa"/>
            <w:left w:w="108" w:type="dxa"/>
            <w:bottom w:w="0" w:type="dxa"/>
            <w:right w:w="108" w:type="dxa"/>
          </w:tblCellMar>
        </w:tblPrEx>
        <w:trPr>
          <w:trHeight w:val="300" w:hRule="exact"/>
          <w:jc w:val="center"/>
        </w:trPr>
        <w:tc>
          <w:tcPr>
            <w:tcW w:w="1278"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项目资金</w:t>
            </w:r>
          </w:p>
          <w:p>
            <w:pPr>
              <w:spacing w:line="240" w:lineRule="exact"/>
              <w:jc w:val="center"/>
              <w:rPr>
                <w:rFonts w:ascii="宋体"/>
                <w:kern w:val="0"/>
                <w:sz w:val="18"/>
                <w:szCs w:val="18"/>
              </w:rPr>
            </w:pPr>
            <w:r>
              <w:rPr>
                <w:rFonts w:hint="eastAsia" w:ascii="宋体" w:hAnsi="宋体" w:cs="宋体"/>
                <w:kern w:val="0"/>
                <w:sz w:val="18"/>
                <w:szCs w:val="18"/>
              </w:rPr>
              <w:t>（万元）</w:t>
            </w: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142"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年初预算数</w:t>
            </w:r>
          </w:p>
        </w:tc>
        <w:tc>
          <w:tcPr>
            <w:tcW w:w="998"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全年预算数</w:t>
            </w:r>
            <w:r>
              <w:rPr>
                <w:rFonts w:ascii="宋体" w:hAnsi="宋体" w:cs="宋体"/>
                <w:kern w:val="0"/>
                <w:sz w:val="18"/>
                <w:szCs w:val="18"/>
              </w:rPr>
              <w:t>A</w:t>
            </w:r>
          </w:p>
        </w:tc>
        <w:tc>
          <w:tcPr>
            <w:tcW w:w="1584"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全年执行数</w:t>
            </w:r>
            <w:r>
              <w:rPr>
                <w:rFonts w:ascii="宋体" w:hAnsi="宋体" w:cs="宋体"/>
                <w:kern w:val="0"/>
                <w:sz w:val="18"/>
                <w:szCs w:val="18"/>
              </w:rPr>
              <w:t>B</w:t>
            </w: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分值</w:t>
            </w:r>
          </w:p>
        </w:tc>
        <w:tc>
          <w:tcPr>
            <w:tcW w:w="77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执行率</w:t>
            </w:r>
          </w:p>
        </w:tc>
        <w:tc>
          <w:tcPr>
            <w:tcW w:w="1740"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rPr>
                <w:rFonts w:ascii="宋体"/>
                <w:kern w:val="0"/>
                <w:sz w:val="18"/>
                <w:szCs w:val="18"/>
              </w:rPr>
            </w:pPr>
            <w:r>
              <w:rPr>
                <w:rFonts w:hint="eastAsia" w:ascii="宋体" w:hAnsi="宋体" w:cs="宋体"/>
                <w:kern w:val="0"/>
                <w:sz w:val="18"/>
                <w:szCs w:val="18"/>
              </w:rPr>
              <w:t>年度资金总额</w:t>
            </w:r>
          </w:p>
        </w:tc>
        <w:tc>
          <w:tcPr>
            <w:tcW w:w="1142"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998"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65.28万元</w:t>
            </w:r>
          </w:p>
        </w:tc>
        <w:tc>
          <w:tcPr>
            <w:tcW w:w="1584"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65.28万</w:t>
            </w: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10</w:t>
            </w:r>
          </w:p>
        </w:tc>
        <w:tc>
          <w:tcPr>
            <w:tcW w:w="77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100%</w:t>
            </w: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tc>
        <w:tc>
          <w:tcPr>
            <w:tcW w:w="1740"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其中：当年财政拨款</w:t>
            </w:r>
          </w:p>
        </w:tc>
        <w:tc>
          <w:tcPr>
            <w:tcW w:w="1142"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998"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65.28万元</w:t>
            </w:r>
          </w:p>
        </w:tc>
        <w:tc>
          <w:tcPr>
            <w:tcW w:w="1584"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65.28万</w:t>
            </w: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c>
          <w:tcPr>
            <w:tcW w:w="77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740"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上年结转资金</w:t>
            </w:r>
          </w:p>
        </w:tc>
        <w:tc>
          <w:tcPr>
            <w:tcW w:w="1142"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998"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584"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c>
          <w:tcPr>
            <w:tcW w:w="77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740"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1142"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998"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584"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c>
          <w:tcPr>
            <w:tcW w:w="77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740"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24"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年度总体目标</w:t>
            </w:r>
          </w:p>
        </w:tc>
        <w:tc>
          <w:tcPr>
            <w:tcW w:w="4830"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预期目标</w:t>
            </w:r>
          </w:p>
        </w:tc>
        <w:tc>
          <w:tcPr>
            <w:tcW w:w="4781"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4270" w:hRule="exact"/>
          <w:jc w:val="center"/>
        </w:trPr>
        <w:tc>
          <w:tcPr>
            <w:tcW w:w="524"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4830"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lang w:eastAsia="zh-CN"/>
              </w:rPr>
              <w:t>保障</w:t>
            </w:r>
            <w:r>
              <w:rPr>
                <w:rFonts w:hint="eastAsia" w:ascii="宋体"/>
                <w:kern w:val="0"/>
                <w:sz w:val="18"/>
                <w:szCs w:val="18"/>
              </w:rPr>
              <w:t>障“十四五”近期重大基础设施和民生保障项目、重大产业项目建设依法依规用地，如期实现省委、省政府提出的“一年见成效、三年上台阶、五年树标杆”目标要求，做好过渡期内浮梁县土地利用总体规划和城市总体规划的融合衔接，加强“两规”实施管理工作，促进景德镇国家陶瓷文化传承创新试验区建设和社会经济平稳健康发展。规划的多项控制性和预期性指标得到切实执行，土地利用程度不断提高，用地结构和布局趋于优化，土地规划在用地方向的引导和整体管控方面效果显著，各项规则和措施得到较好执行，经济、社会、生态综合效益明显。严格依据土地利用总体规划，从严审查各类规划的用地规模和标准，切实落实土地用途管制制度。有效控制各乡镇的土地利用总体规划的各项指标，引导城市、村镇、交通、水利、能源、生态建设等相关规划的编制。实行差别化的土地利用政策，科学合理安排新增建设用地规模、结构和时序，并通过土地利用年度计划进行调控。</w:t>
            </w:r>
          </w:p>
        </w:tc>
        <w:tc>
          <w:tcPr>
            <w:tcW w:w="4781"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保障“十四五”近期重大基础设施和民生保障项目、重大产业项目建设依法依规用地，如期实现省委、省政府提出的“一年见成效、三年上台阶、五年树标杆”目标要求，做好过渡期内浮梁县土地利用总体规划和城市总体规划的融合衔接，加强“两规”实施管理工作，促进景德镇国家陶瓷文化传承创新试验区建设和社会经济平稳健康发展。规划的多项控制性和预期性指标得到切实执行，土地利用程度不断提高，用地结构和布局趋于优化，土地规划在用地方向的引导和整体管控方面效果显著，各项规则和措施得到较好执行，经济、社会、生态综合效益明显。严格依据土地利用总体规划，从严审查各类规划的用地规模和标准，切实落实土地用途管制制度。有效控制各乡镇的土地利用总体规划的各项指标，引导城市、村镇、交通、水利、能源、生态建设等相关规划的编制。实行差别化的土地利用政策，科学合理安排新增建设用地规模、结构和时序，并通过土地利用年度计划进行调控。</w:t>
            </w:r>
          </w:p>
        </w:tc>
      </w:tr>
      <w:tr>
        <w:tblPrEx>
          <w:tblLayout w:type="fixed"/>
          <w:tblCellMar>
            <w:top w:w="0" w:type="dxa"/>
            <w:left w:w="108" w:type="dxa"/>
            <w:bottom w:w="0" w:type="dxa"/>
            <w:right w:w="108" w:type="dxa"/>
          </w:tblCellMar>
        </w:tblPrEx>
        <w:trPr>
          <w:trHeight w:val="533" w:hRule="exact"/>
          <w:jc w:val="center"/>
        </w:trPr>
        <w:tc>
          <w:tcPr>
            <w:tcW w:w="524" w:type="dxa"/>
            <w:vMerge w:val="restart"/>
            <w:tcBorders>
              <w:top w:val="nil"/>
              <w:left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绩</w:t>
            </w:r>
          </w:p>
          <w:p>
            <w:pPr>
              <w:spacing w:line="240" w:lineRule="exact"/>
              <w:jc w:val="center"/>
              <w:rPr>
                <w:rFonts w:ascii="宋体" w:hAnsi="宋体" w:cs="宋体"/>
                <w:kern w:val="0"/>
                <w:sz w:val="18"/>
                <w:szCs w:val="18"/>
              </w:rPr>
            </w:pPr>
            <w:r>
              <w:rPr>
                <w:rFonts w:hint="eastAsia" w:ascii="宋体" w:hAnsi="宋体" w:cs="宋体"/>
                <w:kern w:val="0"/>
                <w:sz w:val="18"/>
                <w:szCs w:val="18"/>
              </w:rPr>
              <w:t>效</w:t>
            </w:r>
          </w:p>
          <w:p>
            <w:pPr>
              <w:spacing w:line="240" w:lineRule="exact"/>
              <w:jc w:val="center"/>
              <w:rPr>
                <w:rFonts w:ascii="宋体" w:hAnsi="宋体" w:cs="宋体"/>
                <w:kern w:val="0"/>
                <w:sz w:val="18"/>
                <w:szCs w:val="18"/>
              </w:rPr>
            </w:pPr>
            <w:r>
              <w:rPr>
                <w:rFonts w:hint="eastAsia" w:ascii="宋体" w:hAnsi="宋体" w:cs="宋体"/>
                <w:kern w:val="0"/>
                <w:sz w:val="18"/>
                <w:szCs w:val="18"/>
              </w:rPr>
              <w:t>指</w:t>
            </w:r>
          </w:p>
          <w:p>
            <w:pPr>
              <w:spacing w:line="240" w:lineRule="exact"/>
              <w:jc w:val="center"/>
              <w:rPr>
                <w:rFonts w:ascii="宋体"/>
                <w:kern w:val="0"/>
                <w:sz w:val="18"/>
                <w:szCs w:val="18"/>
              </w:rPr>
            </w:pPr>
            <w:r>
              <w:rPr>
                <w:rFonts w:hint="eastAsia" w:ascii="宋体" w:hAnsi="宋体" w:cs="宋体"/>
                <w:kern w:val="0"/>
                <w:sz w:val="18"/>
                <w:szCs w:val="18"/>
              </w:rPr>
              <w:t>标</w:t>
            </w:r>
          </w:p>
        </w:tc>
        <w:tc>
          <w:tcPr>
            <w:tcW w:w="99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一级指标</w:t>
            </w:r>
          </w:p>
        </w:tc>
        <w:tc>
          <w:tcPr>
            <w:tcW w:w="115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二级指标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三级指标</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年度</w:t>
            </w:r>
          </w:p>
          <w:p>
            <w:pPr>
              <w:spacing w:line="240" w:lineRule="exact"/>
              <w:jc w:val="center"/>
              <w:rPr>
                <w:rFonts w:ascii="宋体"/>
                <w:kern w:val="0"/>
                <w:sz w:val="18"/>
                <w:szCs w:val="18"/>
              </w:rPr>
            </w:pPr>
            <w:r>
              <w:rPr>
                <w:rFonts w:hint="eastAsia" w:ascii="宋体" w:hAnsi="宋体" w:cs="宋体"/>
                <w:kern w:val="0"/>
                <w:sz w:val="18"/>
                <w:szCs w:val="18"/>
              </w:rPr>
              <w:t>指标值</w:t>
            </w:r>
          </w:p>
        </w:tc>
        <w:tc>
          <w:tcPr>
            <w:tcW w:w="1297"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实际</w:t>
            </w:r>
          </w:p>
          <w:p>
            <w:pPr>
              <w:spacing w:line="240" w:lineRule="exact"/>
              <w:jc w:val="center"/>
              <w:rPr>
                <w:rFonts w:ascii="宋体"/>
                <w:kern w:val="0"/>
                <w:sz w:val="18"/>
                <w:szCs w:val="18"/>
              </w:rPr>
            </w:pPr>
            <w:r>
              <w:rPr>
                <w:rFonts w:hint="eastAsia" w:ascii="宋体" w:hAnsi="宋体" w:cs="宋体"/>
                <w:kern w:val="0"/>
                <w:sz w:val="18"/>
                <w:szCs w:val="18"/>
              </w:rPr>
              <w:t>完成值</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分值</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得分</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497"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vMerge w:val="restart"/>
            <w:tcBorders>
              <w:top w:val="nil"/>
              <w:left w:val="single" w:color="auto" w:sz="4" w:space="0"/>
              <w:right w:val="single" w:color="auto" w:sz="4" w:space="0"/>
            </w:tcBorders>
            <w:textDirection w:val="lrTb"/>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数量指标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eastAsia="宋体"/>
                <w:color w:val="000000"/>
                <w:kern w:val="0"/>
                <w:sz w:val="18"/>
                <w:szCs w:val="18"/>
                <w:lang w:eastAsia="zh-CN"/>
              </w:rPr>
            </w:pPr>
            <w:r>
              <w:rPr>
                <w:rFonts w:hint="eastAsia" w:ascii="宋体"/>
                <w:color w:val="000000"/>
                <w:kern w:val="0"/>
                <w:sz w:val="18"/>
                <w:szCs w:val="18"/>
                <w:lang w:eastAsia="zh-CN"/>
              </w:rPr>
              <w:t>总规模面积（公顷）</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318.22</w:t>
            </w:r>
          </w:p>
        </w:tc>
        <w:tc>
          <w:tcPr>
            <w:tcW w:w="1297"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val="en-US" w:eastAsia="zh-CN"/>
              </w:rPr>
              <w:t>318.22</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752"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质量指标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hAnsi="宋体" w:cs="宋体"/>
                <w:color w:val="000000"/>
                <w:kern w:val="0"/>
                <w:sz w:val="18"/>
                <w:szCs w:val="18"/>
              </w:rPr>
              <w:t>方案通过并省厅批复</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相关成果通过省厅批复</w:t>
            </w:r>
          </w:p>
        </w:tc>
        <w:tc>
          <w:tcPr>
            <w:tcW w:w="1297"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相关成果通过省厅批复</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12</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总体规划延续方案全面性有待提高</w:t>
            </w:r>
          </w:p>
        </w:tc>
      </w:tr>
      <w:tr>
        <w:tblPrEx>
          <w:tblLayout w:type="fixed"/>
          <w:tblCellMar>
            <w:top w:w="0" w:type="dxa"/>
            <w:left w:w="108" w:type="dxa"/>
            <w:bottom w:w="0" w:type="dxa"/>
            <w:right w:w="108" w:type="dxa"/>
          </w:tblCellMar>
        </w:tblPrEx>
        <w:trPr>
          <w:trHeight w:val="467"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vMerge w:val="continue"/>
            <w:tcBorders>
              <w:left w:val="single" w:color="auto" w:sz="4" w:space="0"/>
              <w:right w:val="single" w:color="auto" w:sz="4" w:space="0"/>
            </w:tcBorders>
            <w:textDirection w:val="lrTb"/>
            <w:vAlign w:val="center"/>
          </w:tcPr>
          <w:p>
            <w:pPr>
              <w:spacing w:line="240" w:lineRule="exact"/>
              <w:jc w:val="center"/>
              <w:rPr>
                <w:rFonts w:ascii="宋体"/>
                <w:kern w:val="0"/>
                <w:sz w:val="18"/>
                <w:szCs w:val="18"/>
              </w:rPr>
            </w:pP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时效指标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在合同规定时间内完成</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lang w:eastAsia="zh-CN"/>
              </w:rPr>
              <w:t>及时完成</w:t>
            </w:r>
          </w:p>
        </w:tc>
        <w:tc>
          <w:tcPr>
            <w:tcW w:w="1297"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及时完成</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482"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vMerge w:val="continue"/>
            <w:tcBorders>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成本指标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hAnsi="宋体" w:cs="宋体"/>
                <w:color w:val="000000"/>
                <w:kern w:val="0"/>
                <w:sz w:val="18"/>
                <w:szCs w:val="18"/>
              </w:rPr>
              <w:t>费用支出</w:t>
            </w:r>
            <w:r>
              <w:rPr>
                <w:rFonts w:hint="eastAsia" w:ascii="宋体" w:hAnsi="宋体" w:cs="宋体"/>
                <w:color w:val="000000"/>
                <w:kern w:val="0"/>
                <w:sz w:val="18"/>
                <w:szCs w:val="18"/>
                <w:lang w:eastAsia="zh-CN"/>
              </w:rPr>
              <w:t>是否</w:t>
            </w:r>
            <w:r>
              <w:rPr>
                <w:rFonts w:hint="eastAsia" w:ascii="宋体" w:hAnsi="宋体" w:cs="宋体"/>
                <w:color w:val="000000"/>
                <w:kern w:val="0"/>
                <w:sz w:val="18"/>
                <w:szCs w:val="18"/>
              </w:rPr>
              <w:t>不超过成本预算</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lang w:eastAsia="zh-CN"/>
              </w:rPr>
              <w:t>是</w:t>
            </w:r>
          </w:p>
        </w:tc>
        <w:tc>
          <w:tcPr>
            <w:tcW w:w="1297"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是</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692"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vMerge w:val="restart"/>
            <w:tcBorders>
              <w:top w:val="nil"/>
              <w:left w:val="single" w:color="auto" w:sz="4" w:space="0"/>
              <w:right w:val="single" w:color="auto" w:sz="4" w:space="0"/>
            </w:tcBorders>
            <w:vAlign w:val="center"/>
          </w:tcPr>
          <w:p>
            <w:pPr>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spacing w:line="240" w:lineRule="exact"/>
              <w:jc w:val="center"/>
              <w:rPr>
                <w:rFonts w:ascii="宋体"/>
                <w:kern w:val="0"/>
                <w:sz w:val="18"/>
                <w:szCs w:val="18"/>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30分</w:t>
            </w:r>
            <w:r>
              <w:rPr>
                <w:rFonts w:hint="eastAsia" w:ascii="宋体" w:hAnsi="宋体" w:cs="宋体"/>
                <w:kern w:val="0"/>
                <w:sz w:val="18"/>
                <w:szCs w:val="18"/>
                <w:lang w:eastAsia="zh-CN"/>
              </w:rPr>
              <w:t>）</w:t>
            </w: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社会效益</w:t>
            </w:r>
          </w:p>
          <w:p>
            <w:pPr>
              <w:spacing w:line="240" w:lineRule="exact"/>
              <w:jc w:val="center"/>
              <w:rPr>
                <w:rFonts w:ascii="宋体"/>
                <w:kern w:val="0"/>
                <w:sz w:val="18"/>
                <w:szCs w:val="18"/>
              </w:rPr>
            </w:pPr>
            <w:r>
              <w:rPr>
                <w:rFonts w:hint="eastAsia" w:ascii="宋体" w:hAnsi="宋体" w:cs="宋体"/>
                <w:kern w:val="0"/>
                <w:sz w:val="18"/>
                <w:szCs w:val="18"/>
              </w:rPr>
              <w:t>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调整前后全县新增建设用地总规模</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完成修改方案，建设规划数据库</w:t>
            </w:r>
          </w:p>
        </w:tc>
        <w:tc>
          <w:tcPr>
            <w:tcW w:w="1297"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完成修改方案，建设规划数据库</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12</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全县新增建设用地进一步完善</w:t>
            </w:r>
          </w:p>
        </w:tc>
      </w:tr>
      <w:tr>
        <w:tblPrEx>
          <w:tblLayout w:type="fixed"/>
          <w:tblCellMar>
            <w:top w:w="0" w:type="dxa"/>
            <w:left w:w="108" w:type="dxa"/>
            <w:bottom w:w="0" w:type="dxa"/>
            <w:right w:w="108" w:type="dxa"/>
          </w:tblCellMar>
        </w:tblPrEx>
        <w:trPr>
          <w:trHeight w:val="767"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vMerge w:val="continue"/>
            <w:tcBorders>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可持续影响指标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保障重大产业项目建设依法依规用地</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新增建设用地总规范增加201.5公顷</w:t>
            </w:r>
          </w:p>
        </w:tc>
        <w:tc>
          <w:tcPr>
            <w:tcW w:w="1297"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新增建设用地总规范增加201.5公顷</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12</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进一步完善</w:t>
            </w:r>
          </w:p>
        </w:tc>
      </w:tr>
      <w:tr>
        <w:tblPrEx>
          <w:tblLayout w:type="fixed"/>
          <w:tblCellMar>
            <w:top w:w="0" w:type="dxa"/>
            <w:left w:w="108" w:type="dxa"/>
            <w:bottom w:w="0" w:type="dxa"/>
            <w:right w:w="108" w:type="dxa"/>
          </w:tblCellMar>
        </w:tblPrEx>
        <w:trPr>
          <w:trHeight w:val="737" w:hRule="exact"/>
          <w:jc w:val="center"/>
        </w:trPr>
        <w:tc>
          <w:tcPr>
            <w:tcW w:w="524"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97" w:type="dxa"/>
            <w:gridSpan w:val="2"/>
            <w:tcBorders>
              <w:top w:val="nil"/>
              <w:left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满意度</w:t>
            </w:r>
          </w:p>
          <w:p>
            <w:pPr>
              <w:spacing w:line="240" w:lineRule="exact"/>
              <w:jc w:val="center"/>
              <w:rPr>
                <w:rFonts w:ascii="宋体" w:hAnsi="宋体" w:cs="宋体"/>
                <w:kern w:val="0"/>
                <w:sz w:val="18"/>
                <w:szCs w:val="18"/>
              </w:rPr>
            </w:pPr>
            <w:r>
              <w:rPr>
                <w:rFonts w:hint="eastAsia" w:ascii="宋体" w:hAnsi="宋体" w:cs="宋体"/>
                <w:kern w:val="0"/>
                <w:sz w:val="18"/>
                <w:szCs w:val="18"/>
              </w:rPr>
              <w:t>指标</w:t>
            </w:r>
          </w:p>
          <w:p>
            <w:pPr>
              <w:spacing w:line="240" w:lineRule="exact"/>
              <w:jc w:val="center"/>
              <w:rPr>
                <w:rFonts w:ascii="宋体"/>
                <w:kern w:val="0"/>
                <w:sz w:val="18"/>
                <w:szCs w:val="18"/>
              </w:rPr>
            </w:pPr>
            <w:r>
              <w:rPr>
                <w:rFonts w:hint="eastAsia" w:ascii="宋体" w:hAnsi="宋体" w:cs="宋体"/>
                <w:kern w:val="0"/>
                <w:sz w:val="18"/>
                <w:szCs w:val="18"/>
              </w:rPr>
              <w:t>（10分）</w:t>
            </w:r>
          </w:p>
        </w:tc>
        <w:tc>
          <w:tcPr>
            <w:tcW w:w="115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服务对象满意度指标</w:t>
            </w:r>
          </w:p>
        </w:tc>
        <w:tc>
          <w:tcPr>
            <w:tcW w:w="1395" w:type="dxa"/>
            <w:gridSpan w:val="2"/>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政府机构主体、自然资源主管部门满意度</w:t>
            </w:r>
          </w:p>
        </w:tc>
        <w:tc>
          <w:tcPr>
            <w:tcW w:w="1283"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≧90%</w:t>
            </w:r>
          </w:p>
        </w:tc>
        <w:tc>
          <w:tcPr>
            <w:tcW w:w="1297"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9</w:t>
            </w:r>
            <w:r>
              <w:rPr>
                <w:rFonts w:hint="eastAsia" w:ascii="宋体"/>
                <w:kern w:val="0"/>
                <w:sz w:val="18"/>
                <w:szCs w:val="18"/>
                <w:lang w:val="en-US" w:eastAsia="zh-CN"/>
              </w:rPr>
              <w:t>0</w:t>
            </w:r>
            <w:r>
              <w:rPr>
                <w:rFonts w:hint="eastAsia" w:ascii="宋体"/>
                <w:kern w:val="0"/>
                <w:sz w:val="18"/>
                <w:szCs w:val="18"/>
              </w:rPr>
              <w:t>%</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8</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kern w:val="0"/>
                <w:sz w:val="18"/>
                <w:szCs w:val="18"/>
                <w:lang w:eastAsia="zh-CN"/>
              </w:rPr>
            </w:pPr>
            <w:r>
              <w:rPr>
                <w:rFonts w:hint="eastAsia" w:ascii="宋体"/>
                <w:kern w:val="0"/>
                <w:sz w:val="18"/>
                <w:szCs w:val="18"/>
                <w:lang w:eastAsia="zh-CN"/>
              </w:rPr>
              <w:t>相对较为复杂的业务未能快速处理完成</w:t>
            </w:r>
          </w:p>
        </w:tc>
      </w:tr>
      <w:tr>
        <w:tblPrEx>
          <w:tblLayout w:type="fixed"/>
          <w:tblCellMar>
            <w:top w:w="0" w:type="dxa"/>
            <w:left w:w="108" w:type="dxa"/>
            <w:bottom w:w="0" w:type="dxa"/>
            <w:right w:w="108" w:type="dxa"/>
          </w:tblCellMar>
        </w:tblPrEx>
        <w:trPr>
          <w:trHeight w:val="356" w:hRule="exact"/>
          <w:jc w:val="center"/>
        </w:trPr>
        <w:tc>
          <w:tcPr>
            <w:tcW w:w="6651" w:type="dxa"/>
            <w:gridSpan w:val="9"/>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color w:val="000000"/>
                <w:kern w:val="0"/>
                <w:sz w:val="18"/>
                <w:szCs w:val="18"/>
              </w:rPr>
            </w:pPr>
            <w:r>
              <w:rPr>
                <w:rFonts w:hint="eastAsia" w:ascii="宋体" w:hAnsi="宋体" w:cs="宋体"/>
                <w:color w:val="000000"/>
                <w:kern w:val="0"/>
                <w:sz w:val="18"/>
                <w:szCs w:val="18"/>
              </w:rPr>
              <w:t>总分</w:t>
            </w:r>
          </w:p>
        </w:tc>
        <w:tc>
          <w:tcPr>
            <w:tcW w:w="645" w:type="dxa"/>
            <w:gridSpan w:val="2"/>
            <w:tcBorders>
              <w:top w:val="nil"/>
              <w:left w:val="nil"/>
              <w:bottom w:val="single" w:color="auto" w:sz="4" w:space="0"/>
              <w:right w:val="single" w:color="auto" w:sz="4" w:space="0"/>
            </w:tcBorders>
            <w:vAlign w:val="center"/>
          </w:tcPr>
          <w:p>
            <w:pPr>
              <w:spacing w:line="240" w:lineRule="exact"/>
              <w:jc w:val="center"/>
              <w:rPr>
                <w:rFonts w:ascii="宋体"/>
                <w:color w:val="000000"/>
                <w:kern w:val="0"/>
                <w:sz w:val="18"/>
                <w:szCs w:val="18"/>
              </w:rPr>
            </w:pPr>
            <w:r>
              <w:rPr>
                <w:rFonts w:ascii="宋体" w:hAnsi="宋体" w:cs="宋体"/>
                <w:color w:val="000000"/>
                <w:kern w:val="0"/>
                <w:sz w:val="18"/>
                <w:szCs w:val="18"/>
              </w:rPr>
              <w:t>100</w:t>
            </w:r>
          </w:p>
        </w:tc>
        <w:tc>
          <w:tcPr>
            <w:tcW w:w="510"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color w:val="000000"/>
                <w:kern w:val="0"/>
                <w:sz w:val="18"/>
                <w:szCs w:val="18"/>
                <w:lang w:val="en-US" w:eastAsia="zh-CN"/>
              </w:rPr>
            </w:pPr>
            <w:r>
              <w:rPr>
                <w:rFonts w:hint="eastAsia" w:ascii="宋体"/>
                <w:color w:val="000000"/>
                <w:kern w:val="0"/>
                <w:sz w:val="18"/>
                <w:szCs w:val="18"/>
                <w:lang w:val="en-US" w:eastAsia="zh-CN"/>
              </w:rPr>
              <w:t>89</w:t>
            </w:r>
          </w:p>
        </w:tc>
        <w:tc>
          <w:tcPr>
            <w:tcW w:w="232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bl>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舒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 氀ႂȶ恀ضꞹ墅氀ႂȶ恀ضꞹ墅氀ႂȶ恀＀ضꞹ墅氀ႂȶ恀ضꞹ墅氀蠀ႂȶ恀ضꞹ墅栀氀ႂȶ恀πȵꞹ墅怀氀ႂȶ恀ࠠȵꞹ墅堀氀ႂȶ恀ಀȵꞹ墅倀氀ႂȶ恀쥠ѿꞹ墅䠀 氀ႂȶ恀촠ѿꞹ墅䀀_x000a_氀ႂȶ恀ѿꞹ墅㠀氀ƙႂȶ恀ѿꞹ墅㦙氀ƙႂȶ恀盠פꞹ墅㬲_x000a_氀ƙႂȶ恀销פꞹ墅㳋氀ƙႂȶ恀骠פꞹ墅㹤氀ƙႂȶ恀鴠פꞹ墅㿽氀ƙႂȶ恀劀׫ꞹ墅䆖氀ƙႂȶ恀唀׫ꞹ墅䌯氀ƙႂȶ恀奠׫ꞹ墅䓈氀ƙႂȶ恀寠׫ꞹ墅䙡氀ƙႂȶ恀退׫ꞹ墅䟺氀ƙႂȶ恀鏀׫ꞹ墅䦓氀ႂȶ恀陀׫ꞹ墅䆓氀ႂȶ恀늀׫ꞹ墅㦓氀ႂȶ恀떠׫ꞹ墅㆓氀ႂȶ恀"/>
  </w:docVars>
  <w:rsids>
    <w:rsidRoot w:val="008616BC"/>
    <w:rsid w:val="00051163"/>
    <w:rsid w:val="004B697F"/>
    <w:rsid w:val="008616BC"/>
    <w:rsid w:val="00A602F4"/>
    <w:rsid w:val="00C00CA7"/>
    <w:rsid w:val="01BC37B8"/>
    <w:rsid w:val="02D50A7D"/>
    <w:rsid w:val="03012727"/>
    <w:rsid w:val="03244455"/>
    <w:rsid w:val="032D3A1D"/>
    <w:rsid w:val="046B35E2"/>
    <w:rsid w:val="05932E2C"/>
    <w:rsid w:val="06976591"/>
    <w:rsid w:val="06CA6364"/>
    <w:rsid w:val="06D717DE"/>
    <w:rsid w:val="097C40A9"/>
    <w:rsid w:val="0A9252C5"/>
    <w:rsid w:val="0B8F541C"/>
    <w:rsid w:val="0BC64E3C"/>
    <w:rsid w:val="0C101657"/>
    <w:rsid w:val="0FDA65C2"/>
    <w:rsid w:val="124B7CFC"/>
    <w:rsid w:val="1356766E"/>
    <w:rsid w:val="14C86362"/>
    <w:rsid w:val="14EC4DE7"/>
    <w:rsid w:val="17D616E5"/>
    <w:rsid w:val="1922098E"/>
    <w:rsid w:val="1A59269C"/>
    <w:rsid w:val="1A701E6E"/>
    <w:rsid w:val="1A9A5D21"/>
    <w:rsid w:val="1C493B8F"/>
    <w:rsid w:val="1D2475C1"/>
    <w:rsid w:val="1D3D29F5"/>
    <w:rsid w:val="1E6B4FA7"/>
    <w:rsid w:val="1EC448FE"/>
    <w:rsid w:val="1ED15C97"/>
    <w:rsid w:val="1F993824"/>
    <w:rsid w:val="21037016"/>
    <w:rsid w:val="21827B99"/>
    <w:rsid w:val="24C63185"/>
    <w:rsid w:val="2694347B"/>
    <w:rsid w:val="27E87206"/>
    <w:rsid w:val="282C0B4A"/>
    <w:rsid w:val="29C63995"/>
    <w:rsid w:val="2AF52150"/>
    <w:rsid w:val="2B7005B9"/>
    <w:rsid w:val="2E9B2641"/>
    <w:rsid w:val="322B3CDB"/>
    <w:rsid w:val="356D795E"/>
    <w:rsid w:val="36B7267D"/>
    <w:rsid w:val="37E306DA"/>
    <w:rsid w:val="3BD27899"/>
    <w:rsid w:val="3CFA1BF6"/>
    <w:rsid w:val="3D7F2B29"/>
    <w:rsid w:val="3DB71F93"/>
    <w:rsid w:val="3E150F0B"/>
    <w:rsid w:val="3F3E5D35"/>
    <w:rsid w:val="3FA835BF"/>
    <w:rsid w:val="43C17013"/>
    <w:rsid w:val="43F243E5"/>
    <w:rsid w:val="444A67F8"/>
    <w:rsid w:val="457C25DE"/>
    <w:rsid w:val="4632496D"/>
    <w:rsid w:val="470726EB"/>
    <w:rsid w:val="496416C0"/>
    <w:rsid w:val="497776BB"/>
    <w:rsid w:val="4AA542EE"/>
    <w:rsid w:val="4B9959B9"/>
    <w:rsid w:val="4C370FB3"/>
    <w:rsid w:val="4C750D19"/>
    <w:rsid w:val="4DAD1D50"/>
    <w:rsid w:val="4E0513F3"/>
    <w:rsid w:val="4F860712"/>
    <w:rsid w:val="508C7B93"/>
    <w:rsid w:val="52474F87"/>
    <w:rsid w:val="52624798"/>
    <w:rsid w:val="53751BDB"/>
    <w:rsid w:val="53F94F82"/>
    <w:rsid w:val="543D7C7C"/>
    <w:rsid w:val="59523ABF"/>
    <w:rsid w:val="5A5D1C20"/>
    <w:rsid w:val="5AF06C92"/>
    <w:rsid w:val="5B9C5FA2"/>
    <w:rsid w:val="5BC73C08"/>
    <w:rsid w:val="60F7419E"/>
    <w:rsid w:val="610801E3"/>
    <w:rsid w:val="63D84A28"/>
    <w:rsid w:val="63EC30AB"/>
    <w:rsid w:val="643C2A7A"/>
    <w:rsid w:val="65897FB6"/>
    <w:rsid w:val="67D801F7"/>
    <w:rsid w:val="67FA3127"/>
    <w:rsid w:val="68092F1C"/>
    <w:rsid w:val="693E50D2"/>
    <w:rsid w:val="69856B73"/>
    <w:rsid w:val="69FD6B9F"/>
    <w:rsid w:val="6A900E1B"/>
    <w:rsid w:val="6BDE03FA"/>
    <w:rsid w:val="6BFC3756"/>
    <w:rsid w:val="6CB45682"/>
    <w:rsid w:val="6D4439D0"/>
    <w:rsid w:val="6EC836D0"/>
    <w:rsid w:val="6FF84039"/>
    <w:rsid w:val="70C84C9E"/>
    <w:rsid w:val="72B834A5"/>
    <w:rsid w:val="73E138F7"/>
    <w:rsid w:val="73F301FE"/>
    <w:rsid w:val="73FA36CF"/>
    <w:rsid w:val="74B72E35"/>
    <w:rsid w:val="768F7AD8"/>
    <w:rsid w:val="76EE52BA"/>
    <w:rsid w:val="78194684"/>
    <w:rsid w:val="79FE566C"/>
    <w:rsid w:val="7AE97F19"/>
    <w:rsid w:val="7B657094"/>
    <w:rsid w:val="7BF331F5"/>
    <w:rsid w:val="7CA56A1D"/>
    <w:rsid w:val="7E512DE8"/>
    <w:rsid w:val="7F04165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customStyle="1" w:styleId="5">
    <w:name w:val="正文1 Char Char Char"/>
    <w:qFormat/>
    <w:uiPriority w:val="99"/>
    <w:pPr>
      <w:widowControl w:val="0"/>
      <w:spacing w:line="360" w:lineRule="auto"/>
      <w:ind w:firstLine="20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5363</Words>
  <Characters>1860</Characters>
  <Lines>15</Lines>
  <Paragraphs>14</Paragraphs>
  <ScaleCrop>false</ScaleCrop>
  <LinksUpToDate>false</LinksUpToDate>
  <CharactersWithSpaces>7209</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2022-05-05T08:02:00Z</dcterms:created>
  <dc:creator>Administrator</dc:creator>
  <cp:lastModifiedBy>Administrator</cp:lastModifiedBy>
  <dcterms:modified xsi:type="dcterms:W3CDTF">2022-06-07T03:05:46Z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y fmtid="{D5CDD505-2E9C-101B-9397-08002B2CF9AE}" pid="3" name="ICV">
    <vt:lpwstr>3396F40CA568472BACF809E160575622</vt:lpwstr>
  </property>
</Properties>
</file>