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383" w:type="dxa"/>
        <w:jc w:val="center"/>
        <w:tblInd w:w="0" w:type="dxa"/>
        <w:tblLayout w:type="fixed"/>
        <w:tblCellMar>
          <w:top w:w="0" w:type="dxa"/>
          <w:left w:w="108" w:type="dxa"/>
          <w:bottom w:w="0" w:type="dxa"/>
          <w:right w:w="108" w:type="dxa"/>
        </w:tblCellMar>
      </w:tblPr>
      <w:tblGrid>
        <w:gridCol w:w="602"/>
        <w:gridCol w:w="493"/>
        <w:gridCol w:w="468"/>
        <w:gridCol w:w="1135"/>
        <w:gridCol w:w="333"/>
        <w:gridCol w:w="1142"/>
        <w:gridCol w:w="80"/>
        <w:gridCol w:w="1185"/>
        <w:gridCol w:w="945"/>
        <w:gridCol w:w="372"/>
        <w:gridCol w:w="183"/>
        <w:gridCol w:w="495"/>
        <w:gridCol w:w="779"/>
        <w:gridCol w:w="1171"/>
      </w:tblGrid>
      <w:tr>
        <w:tblPrEx>
          <w:tblLayout w:type="fixed"/>
          <w:tblCellMar>
            <w:top w:w="0" w:type="dxa"/>
            <w:left w:w="108" w:type="dxa"/>
            <w:bottom w:w="0" w:type="dxa"/>
            <w:right w:w="108" w:type="dxa"/>
          </w:tblCellMar>
        </w:tblPrEx>
        <w:trPr>
          <w:trHeight w:val="1048" w:hRule="exact"/>
          <w:jc w:val="center"/>
        </w:trPr>
        <w:tc>
          <w:tcPr>
            <w:tcW w:w="9383" w:type="dxa"/>
            <w:gridSpan w:val="14"/>
            <w:tcBorders>
              <w:top w:val="nil"/>
              <w:left w:val="nil"/>
              <w:bottom w:val="nil"/>
              <w:right w:val="nil"/>
            </w:tcBorders>
            <w:vAlign w:val="center"/>
          </w:tcPr>
          <w:p>
            <w:pPr>
              <w:spacing w:line="440" w:lineRule="exact"/>
              <w:jc w:val="left"/>
              <w:rPr>
                <w:rFonts w:ascii="黑体" w:hAnsi="黑体" w:eastAsia="黑体" w:cs="黑体"/>
                <w:sz w:val="32"/>
                <w:szCs w:val="32"/>
              </w:rPr>
            </w:pPr>
            <w:r>
              <w:rPr>
                <w:rFonts w:hint="eastAsia" w:ascii="黑体" w:hAnsi="黑体" w:eastAsia="黑体" w:cs="黑体"/>
                <w:sz w:val="32"/>
                <w:szCs w:val="32"/>
              </w:rPr>
              <w:t>附件</w:t>
            </w:r>
            <w:r>
              <w:rPr>
                <w:rFonts w:ascii="黑体" w:hAnsi="黑体" w:eastAsia="黑体" w:cs="黑体"/>
                <w:sz w:val="32"/>
                <w:szCs w:val="32"/>
              </w:rPr>
              <w:t>1</w:t>
            </w:r>
          </w:p>
          <w:p>
            <w:pPr>
              <w:spacing w:line="520" w:lineRule="exact"/>
              <w:jc w:val="center"/>
              <w:rPr>
                <w:rFonts w:ascii="仿宋" w:hAnsi="仿宋" w:eastAsia="仿宋"/>
                <w:b/>
                <w:bCs/>
                <w:kern w:val="0"/>
                <w:szCs w:val="21"/>
              </w:rPr>
            </w:pPr>
            <w:r>
              <w:rPr>
                <w:rFonts w:hint="eastAsia" w:ascii="方正小标宋简体" w:hAnsi="方正小标宋简体" w:eastAsia="方正小标宋简体" w:cs="方正小标宋简体"/>
                <w:kern w:val="0"/>
                <w:sz w:val="44"/>
                <w:szCs w:val="44"/>
              </w:rPr>
              <w:t>项目支出绩效自评表</w:t>
            </w:r>
            <w:r>
              <w:rPr>
                <w:rFonts w:hint="eastAsia" w:ascii="方正小标宋简体" w:hAnsi="方正小标宋简体" w:eastAsia="方正小标宋简体" w:cs="方正小标宋简体"/>
                <w:kern w:val="0"/>
                <w:sz w:val="44"/>
                <w:szCs w:val="44"/>
                <w:lang w:val="en-US" w:eastAsia="zh-CN"/>
              </w:rPr>
              <w:t>5</w:t>
            </w:r>
          </w:p>
        </w:tc>
      </w:tr>
      <w:tr>
        <w:tblPrEx>
          <w:tblLayout w:type="fixed"/>
          <w:tblCellMar>
            <w:top w:w="0" w:type="dxa"/>
            <w:left w:w="108" w:type="dxa"/>
            <w:bottom w:w="0" w:type="dxa"/>
            <w:right w:w="108" w:type="dxa"/>
          </w:tblCellMar>
        </w:tblPrEx>
        <w:trPr>
          <w:trHeight w:val="296" w:hRule="atLeast"/>
          <w:jc w:val="center"/>
        </w:trPr>
        <w:tc>
          <w:tcPr>
            <w:tcW w:w="9383" w:type="dxa"/>
            <w:gridSpan w:val="14"/>
            <w:tcBorders>
              <w:top w:val="nil"/>
              <w:left w:val="nil"/>
              <w:bottom w:val="nil"/>
              <w:right w:val="nil"/>
            </w:tcBorders>
          </w:tcPr>
          <w:p>
            <w:pPr>
              <w:jc w:val="center"/>
              <w:rPr>
                <w:rFonts w:ascii="宋体"/>
                <w:kern w:val="0"/>
                <w:sz w:val="22"/>
                <w:szCs w:val="22"/>
              </w:rPr>
            </w:pPr>
            <w:r>
              <w:rPr>
                <w:rFonts w:hint="eastAsia" w:ascii="楷体_GB2312" w:hAnsi="楷体_GB2312" w:eastAsia="楷体_GB2312" w:cs="楷体_GB2312"/>
                <w:kern w:val="0"/>
                <w:sz w:val="18"/>
                <w:szCs w:val="18"/>
              </w:rPr>
              <w:t>（2021年度）</w:t>
            </w:r>
          </w:p>
        </w:tc>
      </w:tr>
      <w:tr>
        <w:tblPrEx>
          <w:tblLayout w:type="fixed"/>
          <w:tblCellMar>
            <w:top w:w="0" w:type="dxa"/>
            <w:left w:w="108" w:type="dxa"/>
            <w:bottom w:w="0" w:type="dxa"/>
            <w:right w:w="108" w:type="dxa"/>
          </w:tblCellMar>
        </w:tblPrEx>
        <w:trPr>
          <w:trHeight w:val="300" w:hRule="exact"/>
          <w:jc w:val="center"/>
        </w:trPr>
        <w:tc>
          <w:tcPr>
            <w:tcW w:w="1095"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项目名称</w:t>
            </w:r>
          </w:p>
        </w:tc>
        <w:tc>
          <w:tcPr>
            <w:tcW w:w="8288" w:type="dxa"/>
            <w:gridSpan w:val="1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bookmarkStart w:id="0" w:name="_GoBack"/>
            <w:r>
              <w:rPr>
                <w:rFonts w:hint="eastAsia" w:ascii="宋体"/>
                <w:kern w:val="0"/>
                <w:sz w:val="18"/>
                <w:szCs w:val="18"/>
              </w:rPr>
              <w:t>浮梁县耕地后备资源调查评价项目</w:t>
            </w:r>
            <w:bookmarkEnd w:id="0"/>
          </w:p>
        </w:tc>
      </w:tr>
      <w:tr>
        <w:tblPrEx>
          <w:tblLayout w:type="fixed"/>
          <w:tblCellMar>
            <w:top w:w="0" w:type="dxa"/>
            <w:left w:w="108" w:type="dxa"/>
            <w:bottom w:w="0" w:type="dxa"/>
            <w:right w:w="108" w:type="dxa"/>
          </w:tblCellMar>
        </w:tblPrEx>
        <w:trPr>
          <w:trHeight w:val="300" w:hRule="exact"/>
          <w:jc w:val="center"/>
        </w:trPr>
        <w:tc>
          <w:tcPr>
            <w:tcW w:w="1095"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主管部门</w:t>
            </w:r>
          </w:p>
        </w:tc>
        <w:tc>
          <w:tcPr>
            <w:tcW w:w="4343" w:type="dxa"/>
            <w:gridSpan w:val="6"/>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浮梁县自然资源和规划局</w:t>
            </w:r>
          </w:p>
        </w:tc>
        <w:tc>
          <w:tcPr>
            <w:tcW w:w="1317"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实施单位</w:t>
            </w:r>
          </w:p>
        </w:tc>
        <w:tc>
          <w:tcPr>
            <w:tcW w:w="2628" w:type="dxa"/>
            <w:gridSpan w:val="4"/>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浮梁县自然资源和规划局</w:t>
            </w:r>
          </w:p>
        </w:tc>
      </w:tr>
      <w:tr>
        <w:tblPrEx>
          <w:tblLayout w:type="fixed"/>
          <w:tblCellMar>
            <w:top w:w="0" w:type="dxa"/>
            <w:left w:w="108" w:type="dxa"/>
            <w:bottom w:w="0" w:type="dxa"/>
            <w:right w:w="108" w:type="dxa"/>
          </w:tblCellMar>
        </w:tblPrEx>
        <w:trPr>
          <w:trHeight w:val="300" w:hRule="exact"/>
          <w:jc w:val="center"/>
        </w:trPr>
        <w:tc>
          <w:tcPr>
            <w:tcW w:w="1095"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项目资金</w:t>
            </w:r>
          </w:p>
          <w:p>
            <w:pPr>
              <w:spacing w:line="240" w:lineRule="exact"/>
              <w:jc w:val="center"/>
              <w:rPr>
                <w:rFonts w:ascii="宋体"/>
                <w:kern w:val="0"/>
                <w:sz w:val="18"/>
                <w:szCs w:val="18"/>
              </w:rPr>
            </w:pPr>
            <w:r>
              <w:rPr>
                <w:rFonts w:hint="eastAsia" w:ascii="宋体" w:hAnsi="宋体" w:cs="宋体"/>
                <w:kern w:val="0"/>
                <w:sz w:val="18"/>
                <w:szCs w:val="18"/>
              </w:rPr>
              <w:t>（万元）</w:t>
            </w:r>
          </w:p>
        </w:tc>
        <w:tc>
          <w:tcPr>
            <w:tcW w:w="1936"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142"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年初预算数</w:t>
            </w:r>
          </w:p>
        </w:tc>
        <w:tc>
          <w:tcPr>
            <w:tcW w:w="1265"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全年预算数</w:t>
            </w:r>
            <w:r>
              <w:rPr>
                <w:rFonts w:ascii="宋体" w:hAnsi="宋体" w:cs="宋体"/>
                <w:kern w:val="0"/>
                <w:sz w:val="18"/>
                <w:szCs w:val="18"/>
              </w:rPr>
              <w:t>A</w:t>
            </w:r>
          </w:p>
        </w:tc>
        <w:tc>
          <w:tcPr>
            <w:tcW w:w="1317"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全年执行数</w:t>
            </w:r>
            <w:r>
              <w:rPr>
                <w:rFonts w:ascii="宋体" w:hAnsi="宋体" w:cs="宋体"/>
                <w:kern w:val="0"/>
                <w:sz w:val="18"/>
                <w:szCs w:val="18"/>
              </w:rPr>
              <w:t>B</w:t>
            </w:r>
          </w:p>
        </w:tc>
        <w:tc>
          <w:tcPr>
            <w:tcW w:w="678"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分值</w:t>
            </w:r>
          </w:p>
        </w:tc>
        <w:tc>
          <w:tcPr>
            <w:tcW w:w="77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执行率</w:t>
            </w:r>
          </w:p>
        </w:tc>
        <w:tc>
          <w:tcPr>
            <w:tcW w:w="1171"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936" w:type="dxa"/>
            <w:gridSpan w:val="3"/>
            <w:tcBorders>
              <w:top w:val="single" w:color="auto" w:sz="4" w:space="0"/>
              <w:left w:val="nil"/>
              <w:bottom w:val="single" w:color="auto" w:sz="4" w:space="0"/>
              <w:right w:val="single" w:color="auto" w:sz="4" w:space="0"/>
            </w:tcBorders>
            <w:vAlign w:val="center"/>
          </w:tcPr>
          <w:p>
            <w:pPr>
              <w:spacing w:line="240" w:lineRule="exact"/>
              <w:rPr>
                <w:rFonts w:ascii="宋体"/>
                <w:kern w:val="0"/>
                <w:sz w:val="18"/>
                <w:szCs w:val="18"/>
              </w:rPr>
            </w:pPr>
            <w:r>
              <w:rPr>
                <w:rFonts w:hint="eastAsia" w:ascii="宋体" w:hAnsi="宋体" w:cs="宋体"/>
                <w:kern w:val="0"/>
                <w:sz w:val="18"/>
                <w:szCs w:val="18"/>
              </w:rPr>
              <w:t>年度资金总额</w:t>
            </w:r>
          </w:p>
        </w:tc>
        <w:tc>
          <w:tcPr>
            <w:tcW w:w="1142"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265"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lang w:val="en-US" w:eastAsia="zh-CN"/>
              </w:rPr>
              <w:t>47.54</w:t>
            </w:r>
            <w:r>
              <w:rPr>
                <w:rFonts w:hint="eastAsia" w:ascii="宋体"/>
                <w:kern w:val="0"/>
                <w:sz w:val="18"/>
                <w:szCs w:val="18"/>
              </w:rPr>
              <w:t>万元</w:t>
            </w:r>
          </w:p>
        </w:tc>
        <w:tc>
          <w:tcPr>
            <w:tcW w:w="1317"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lang w:val="en-US" w:eastAsia="zh-CN"/>
              </w:rPr>
              <w:t>47.54</w:t>
            </w:r>
            <w:r>
              <w:rPr>
                <w:rFonts w:hint="eastAsia" w:ascii="宋体"/>
                <w:kern w:val="0"/>
                <w:sz w:val="18"/>
                <w:szCs w:val="18"/>
              </w:rPr>
              <w:t>万</w:t>
            </w:r>
          </w:p>
        </w:tc>
        <w:tc>
          <w:tcPr>
            <w:tcW w:w="678"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10</w:t>
            </w:r>
          </w:p>
        </w:tc>
        <w:tc>
          <w:tcPr>
            <w:tcW w:w="77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100%</w:t>
            </w: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p>
            <w:pPr>
              <w:spacing w:line="240" w:lineRule="exact"/>
              <w:jc w:val="center"/>
              <w:rPr>
                <w:rFonts w:ascii="宋体"/>
                <w:kern w:val="0"/>
                <w:sz w:val="18"/>
                <w:szCs w:val="18"/>
              </w:rPr>
            </w:pPr>
          </w:p>
        </w:tc>
        <w:tc>
          <w:tcPr>
            <w:tcW w:w="1171"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10</w:t>
            </w:r>
          </w:p>
        </w:tc>
      </w:tr>
      <w:tr>
        <w:tblPrEx>
          <w:tblLayout w:type="fixed"/>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936"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其中：当年财政拨款</w:t>
            </w:r>
          </w:p>
        </w:tc>
        <w:tc>
          <w:tcPr>
            <w:tcW w:w="1142"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265"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lang w:val="en-US" w:eastAsia="zh-CN"/>
              </w:rPr>
              <w:t>47.54</w:t>
            </w:r>
            <w:r>
              <w:rPr>
                <w:rFonts w:hint="eastAsia" w:ascii="宋体"/>
                <w:kern w:val="0"/>
                <w:sz w:val="18"/>
                <w:szCs w:val="18"/>
              </w:rPr>
              <w:t>万元</w:t>
            </w:r>
          </w:p>
        </w:tc>
        <w:tc>
          <w:tcPr>
            <w:tcW w:w="1317"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lang w:val="en-US" w:eastAsia="zh-CN"/>
              </w:rPr>
              <w:t>47.54</w:t>
            </w:r>
            <w:r>
              <w:rPr>
                <w:rFonts w:hint="eastAsia" w:ascii="宋体"/>
                <w:kern w:val="0"/>
                <w:sz w:val="18"/>
                <w:szCs w:val="18"/>
              </w:rPr>
              <w:t>万</w:t>
            </w:r>
          </w:p>
        </w:tc>
        <w:tc>
          <w:tcPr>
            <w:tcW w:w="678"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c>
          <w:tcPr>
            <w:tcW w:w="77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171"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936"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上年结转资金</w:t>
            </w:r>
          </w:p>
        </w:tc>
        <w:tc>
          <w:tcPr>
            <w:tcW w:w="1142"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265"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317"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678"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c>
          <w:tcPr>
            <w:tcW w:w="77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171"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936"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其他资金</w:t>
            </w:r>
          </w:p>
        </w:tc>
        <w:tc>
          <w:tcPr>
            <w:tcW w:w="1142"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265"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317"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678"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c>
          <w:tcPr>
            <w:tcW w:w="77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c>
          <w:tcPr>
            <w:tcW w:w="1171"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602" w:type="dxa"/>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年度总体目标</w:t>
            </w:r>
          </w:p>
        </w:tc>
        <w:tc>
          <w:tcPr>
            <w:tcW w:w="4836" w:type="dxa"/>
            <w:gridSpan w:val="7"/>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预期目标</w:t>
            </w:r>
          </w:p>
        </w:tc>
        <w:tc>
          <w:tcPr>
            <w:tcW w:w="3945" w:type="dxa"/>
            <w:gridSpan w:val="6"/>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2875" w:hRule="exact"/>
          <w:jc w:val="center"/>
        </w:trPr>
        <w:tc>
          <w:tcPr>
            <w:tcW w:w="602" w:type="dxa"/>
            <w:vMerge w:val="continue"/>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4836" w:type="dxa"/>
            <w:gridSpan w:val="7"/>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江西省自然资源厅办公室关于开展全省耕地后备资源调查评价工作的通知》（赣自然资办发[2021]70号），为科学合理开发耕地后备资源、规范耕地占补平衡管理提供支撑。以第三次全国国土调查和2020年度国土变更调查成果为基础，以其他草地、盐碱地、沙地、裸土地以及标注“工程恢复”属性的种植园用地、林地、坑塘水面为评价对象，从生态、气候、土壤、区位等方面，构建耕地后备资源分类评价指标体系。逐地块开展调查评价，形成集面积、类型和分布于一体的全省耕地后备资源潜力数据，并与国土调查数据库实现集成。</w:t>
            </w:r>
          </w:p>
        </w:tc>
        <w:tc>
          <w:tcPr>
            <w:tcW w:w="3945" w:type="dxa"/>
            <w:gridSpan w:val="6"/>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江西省自然资源厅办公室关于开展全省耕地后备资源调查评价工作的通知》（赣自然资办发[2021]70号），为科学合理开发耕地后备资源、规范耕地占补平衡管理提供支撑。以第三次全国国土调查和2020年度国土变更调查成果为基础，以其他草地、盐碱地、沙地、裸土地以及标注“工程恢复”属性的种植园用地、林地、坑塘水面为评价对象，从生态、气候、土壤、区位等方面，构建耕地后备资源分类评价指标体系。逐地块开展调查评价，形成集面积、类型和分布于一体的全省耕地后备资源潜力数据，并与国土调查数据库实现集成。</w:t>
            </w:r>
          </w:p>
        </w:tc>
      </w:tr>
      <w:tr>
        <w:tblPrEx>
          <w:tblLayout w:type="fixed"/>
          <w:tblCellMar>
            <w:top w:w="0" w:type="dxa"/>
            <w:left w:w="108" w:type="dxa"/>
            <w:bottom w:w="0" w:type="dxa"/>
            <w:right w:w="108" w:type="dxa"/>
          </w:tblCellMar>
        </w:tblPrEx>
        <w:trPr>
          <w:trHeight w:val="533" w:hRule="exact"/>
          <w:jc w:val="center"/>
        </w:trPr>
        <w:tc>
          <w:tcPr>
            <w:tcW w:w="602" w:type="dxa"/>
            <w:vMerge w:val="restart"/>
            <w:tcBorders>
              <w:top w:val="nil"/>
              <w:left w:val="single" w:color="auto" w:sz="4" w:space="0"/>
              <w:right w:val="single" w:color="auto" w:sz="4" w:space="0"/>
            </w:tcBorders>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绩</w:t>
            </w:r>
          </w:p>
          <w:p>
            <w:pPr>
              <w:spacing w:line="240" w:lineRule="exact"/>
              <w:jc w:val="center"/>
              <w:rPr>
                <w:rFonts w:ascii="宋体" w:hAnsi="宋体" w:cs="宋体"/>
                <w:kern w:val="0"/>
                <w:sz w:val="18"/>
                <w:szCs w:val="18"/>
              </w:rPr>
            </w:pPr>
            <w:r>
              <w:rPr>
                <w:rFonts w:hint="eastAsia" w:ascii="宋体" w:hAnsi="宋体" w:cs="宋体"/>
                <w:kern w:val="0"/>
                <w:sz w:val="18"/>
                <w:szCs w:val="18"/>
              </w:rPr>
              <w:t>效</w:t>
            </w:r>
          </w:p>
          <w:p>
            <w:pPr>
              <w:spacing w:line="240" w:lineRule="exact"/>
              <w:jc w:val="center"/>
              <w:rPr>
                <w:rFonts w:ascii="宋体" w:hAnsi="宋体" w:cs="宋体"/>
                <w:kern w:val="0"/>
                <w:sz w:val="18"/>
                <w:szCs w:val="18"/>
              </w:rPr>
            </w:pPr>
            <w:r>
              <w:rPr>
                <w:rFonts w:hint="eastAsia" w:ascii="宋体" w:hAnsi="宋体" w:cs="宋体"/>
                <w:kern w:val="0"/>
                <w:sz w:val="18"/>
                <w:szCs w:val="18"/>
              </w:rPr>
              <w:t>指</w:t>
            </w:r>
          </w:p>
          <w:p>
            <w:pPr>
              <w:spacing w:line="240" w:lineRule="exact"/>
              <w:jc w:val="center"/>
              <w:rPr>
                <w:rFonts w:ascii="宋体"/>
                <w:kern w:val="0"/>
                <w:sz w:val="18"/>
                <w:szCs w:val="18"/>
              </w:rPr>
            </w:pPr>
            <w:r>
              <w:rPr>
                <w:rFonts w:hint="eastAsia" w:ascii="宋体" w:hAnsi="宋体" w:cs="宋体"/>
                <w:kern w:val="0"/>
                <w:sz w:val="18"/>
                <w:szCs w:val="18"/>
              </w:rPr>
              <w:t>标</w:t>
            </w:r>
          </w:p>
        </w:tc>
        <w:tc>
          <w:tcPr>
            <w:tcW w:w="961"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一级指标</w:t>
            </w:r>
          </w:p>
        </w:tc>
        <w:tc>
          <w:tcPr>
            <w:tcW w:w="113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二级指标</w:t>
            </w:r>
          </w:p>
        </w:tc>
        <w:tc>
          <w:tcPr>
            <w:tcW w:w="1555" w:type="dxa"/>
            <w:gridSpan w:val="3"/>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三级指标</w:t>
            </w:r>
          </w:p>
        </w:tc>
        <w:tc>
          <w:tcPr>
            <w:tcW w:w="118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年度</w:t>
            </w:r>
          </w:p>
          <w:p>
            <w:pPr>
              <w:spacing w:line="240" w:lineRule="exact"/>
              <w:jc w:val="center"/>
              <w:rPr>
                <w:rFonts w:ascii="宋体"/>
                <w:kern w:val="0"/>
                <w:sz w:val="18"/>
                <w:szCs w:val="18"/>
              </w:rPr>
            </w:pPr>
            <w:r>
              <w:rPr>
                <w:rFonts w:hint="eastAsia" w:ascii="宋体" w:hAnsi="宋体" w:cs="宋体"/>
                <w:kern w:val="0"/>
                <w:sz w:val="18"/>
                <w:szCs w:val="18"/>
              </w:rPr>
              <w:t>指标值</w:t>
            </w:r>
          </w:p>
        </w:tc>
        <w:tc>
          <w:tcPr>
            <w:tcW w:w="94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实际</w:t>
            </w:r>
          </w:p>
          <w:p>
            <w:pPr>
              <w:spacing w:line="240" w:lineRule="exact"/>
              <w:jc w:val="center"/>
              <w:rPr>
                <w:rFonts w:ascii="宋体"/>
                <w:kern w:val="0"/>
                <w:sz w:val="18"/>
                <w:szCs w:val="18"/>
              </w:rPr>
            </w:pPr>
            <w:r>
              <w:rPr>
                <w:rFonts w:hint="eastAsia" w:ascii="宋体" w:hAnsi="宋体" w:cs="宋体"/>
                <w:kern w:val="0"/>
                <w:sz w:val="18"/>
                <w:szCs w:val="18"/>
              </w:rPr>
              <w:t>完成值</w:t>
            </w:r>
          </w:p>
        </w:tc>
        <w:tc>
          <w:tcPr>
            <w:tcW w:w="555" w:type="dxa"/>
            <w:gridSpan w:val="2"/>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分值</w:t>
            </w:r>
          </w:p>
        </w:tc>
        <w:tc>
          <w:tcPr>
            <w:tcW w:w="49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得分</w:t>
            </w:r>
          </w:p>
        </w:tc>
        <w:tc>
          <w:tcPr>
            <w:tcW w:w="195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512" w:hRule="exact"/>
          <w:jc w:val="center"/>
        </w:trPr>
        <w:tc>
          <w:tcPr>
            <w:tcW w:w="602"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61" w:type="dxa"/>
            <w:gridSpan w:val="2"/>
            <w:vMerge w:val="restart"/>
            <w:tcBorders>
              <w:top w:val="nil"/>
              <w:left w:val="single" w:color="auto" w:sz="4" w:space="0"/>
              <w:right w:val="single" w:color="auto" w:sz="4" w:space="0"/>
            </w:tcBorders>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产出指标</w:t>
            </w:r>
          </w:p>
          <w:p>
            <w:pPr>
              <w:spacing w:line="240" w:lineRule="exact"/>
              <w:jc w:val="center"/>
              <w:rPr>
                <w:rFonts w:ascii="宋体" w:hAnsi="宋体" w:cs="宋体"/>
                <w:kern w:val="0"/>
                <w:sz w:val="18"/>
                <w:szCs w:val="18"/>
              </w:rPr>
            </w:pPr>
            <w:r>
              <w:rPr>
                <w:rFonts w:hint="eastAsia" w:ascii="宋体" w:hAnsi="宋体" w:cs="宋体"/>
                <w:kern w:val="0"/>
                <w:sz w:val="18"/>
                <w:szCs w:val="18"/>
              </w:rPr>
              <w:t>（50分）</w:t>
            </w:r>
          </w:p>
        </w:tc>
        <w:tc>
          <w:tcPr>
            <w:tcW w:w="1135" w:type="dxa"/>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数量指标</w:t>
            </w:r>
          </w:p>
        </w:tc>
        <w:tc>
          <w:tcPr>
            <w:tcW w:w="1555" w:type="dxa"/>
            <w:gridSpan w:val="3"/>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color w:val="000000"/>
                <w:kern w:val="0"/>
                <w:sz w:val="18"/>
                <w:szCs w:val="18"/>
              </w:rPr>
              <w:t>评价指标矢量数据</w:t>
            </w:r>
            <w:r>
              <w:rPr>
                <w:rFonts w:hint="eastAsia" w:ascii="宋体"/>
                <w:color w:val="000000"/>
                <w:kern w:val="0"/>
                <w:sz w:val="18"/>
                <w:szCs w:val="18"/>
                <w:lang w:eastAsia="zh-CN"/>
              </w:rPr>
              <w:t>（个）</w:t>
            </w:r>
          </w:p>
        </w:tc>
        <w:tc>
          <w:tcPr>
            <w:tcW w:w="118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=28017</w:t>
            </w:r>
          </w:p>
        </w:tc>
        <w:tc>
          <w:tcPr>
            <w:tcW w:w="945"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eastAsia="zh-CN"/>
              </w:rPr>
            </w:pPr>
            <w:r>
              <w:rPr>
                <w:rFonts w:hint="eastAsia" w:ascii="宋体"/>
                <w:kern w:val="0"/>
                <w:sz w:val="18"/>
                <w:szCs w:val="18"/>
                <w:lang w:val="en-US" w:eastAsia="zh-CN"/>
              </w:rPr>
              <w:t>28017</w:t>
            </w:r>
          </w:p>
        </w:tc>
        <w:tc>
          <w:tcPr>
            <w:tcW w:w="55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495"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195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r>
      <w:tr>
        <w:tblPrEx>
          <w:tblLayout w:type="fixed"/>
          <w:tblCellMar>
            <w:top w:w="0" w:type="dxa"/>
            <w:left w:w="108" w:type="dxa"/>
            <w:bottom w:w="0" w:type="dxa"/>
            <w:right w:w="108" w:type="dxa"/>
          </w:tblCellMar>
        </w:tblPrEx>
        <w:trPr>
          <w:trHeight w:val="932" w:hRule="exact"/>
          <w:jc w:val="center"/>
        </w:trPr>
        <w:tc>
          <w:tcPr>
            <w:tcW w:w="602"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61" w:type="dxa"/>
            <w:gridSpan w:val="2"/>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1135" w:type="dxa"/>
            <w:vMerge w:val="continue"/>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555" w:type="dxa"/>
            <w:gridSpan w:val="3"/>
            <w:tcBorders>
              <w:top w:val="single" w:color="auto" w:sz="4" w:space="0"/>
              <w:left w:val="nil"/>
              <w:bottom w:val="single" w:color="auto" w:sz="4" w:space="0"/>
              <w:right w:val="single" w:color="auto" w:sz="4" w:space="0"/>
            </w:tcBorders>
            <w:vAlign w:val="center"/>
          </w:tcPr>
          <w:p>
            <w:pPr>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文本成果编制</w:t>
            </w:r>
          </w:p>
        </w:tc>
        <w:tc>
          <w:tcPr>
            <w:tcW w:w="118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耕地后备资源调查评价分析报告</w:t>
            </w:r>
          </w:p>
        </w:tc>
        <w:tc>
          <w:tcPr>
            <w:tcW w:w="94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耕地后备资源调查评价分析报告</w:t>
            </w:r>
          </w:p>
        </w:tc>
        <w:tc>
          <w:tcPr>
            <w:tcW w:w="55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495"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8</w:t>
            </w:r>
          </w:p>
        </w:tc>
        <w:tc>
          <w:tcPr>
            <w:tcW w:w="195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eastAsia="zh-CN"/>
              </w:rPr>
            </w:pPr>
            <w:r>
              <w:rPr>
                <w:rFonts w:hint="eastAsia" w:ascii="宋体"/>
                <w:kern w:val="0"/>
                <w:sz w:val="18"/>
                <w:szCs w:val="18"/>
                <w:lang w:eastAsia="zh-CN"/>
              </w:rPr>
              <w:t>资源调查分析全面性有待提高</w:t>
            </w:r>
          </w:p>
        </w:tc>
      </w:tr>
      <w:tr>
        <w:tblPrEx>
          <w:tblLayout w:type="fixed"/>
          <w:tblCellMar>
            <w:top w:w="0" w:type="dxa"/>
            <w:left w:w="108" w:type="dxa"/>
            <w:bottom w:w="0" w:type="dxa"/>
            <w:right w:w="108" w:type="dxa"/>
          </w:tblCellMar>
        </w:tblPrEx>
        <w:trPr>
          <w:trHeight w:val="557" w:hRule="exact"/>
          <w:jc w:val="center"/>
        </w:trPr>
        <w:tc>
          <w:tcPr>
            <w:tcW w:w="602"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61" w:type="dxa"/>
            <w:gridSpan w:val="2"/>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113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质量指标</w:t>
            </w:r>
          </w:p>
        </w:tc>
        <w:tc>
          <w:tcPr>
            <w:tcW w:w="1555" w:type="dxa"/>
            <w:gridSpan w:val="3"/>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hAnsi="宋体" w:cs="宋体"/>
                <w:color w:val="000000"/>
                <w:kern w:val="0"/>
                <w:sz w:val="18"/>
                <w:szCs w:val="18"/>
              </w:rPr>
              <w:t>成果编制符合相关技术标准</w:t>
            </w:r>
          </w:p>
        </w:tc>
        <w:tc>
          <w:tcPr>
            <w:tcW w:w="118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符合要求</w:t>
            </w:r>
          </w:p>
        </w:tc>
        <w:tc>
          <w:tcPr>
            <w:tcW w:w="94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符合要求</w:t>
            </w:r>
          </w:p>
        </w:tc>
        <w:tc>
          <w:tcPr>
            <w:tcW w:w="55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495"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195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r>
      <w:tr>
        <w:tblPrEx>
          <w:tblLayout w:type="fixed"/>
          <w:tblCellMar>
            <w:top w:w="0" w:type="dxa"/>
            <w:left w:w="108" w:type="dxa"/>
            <w:bottom w:w="0" w:type="dxa"/>
            <w:right w:w="108" w:type="dxa"/>
          </w:tblCellMar>
        </w:tblPrEx>
        <w:trPr>
          <w:trHeight w:val="527" w:hRule="exact"/>
          <w:jc w:val="center"/>
        </w:trPr>
        <w:tc>
          <w:tcPr>
            <w:tcW w:w="602"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61" w:type="dxa"/>
            <w:gridSpan w:val="2"/>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113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时效指标</w:t>
            </w:r>
          </w:p>
        </w:tc>
        <w:tc>
          <w:tcPr>
            <w:tcW w:w="1555" w:type="dxa"/>
            <w:gridSpan w:val="3"/>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color w:val="000000"/>
                <w:kern w:val="0"/>
                <w:sz w:val="18"/>
                <w:szCs w:val="18"/>
              </w:rPr>
              <w:t>按实施方案规定时间内完成率</w:t>
            </w:r>
          </w:p>
        </w:tc>
        <w:tc>
          <w:tcPr>
            <w:tcW w:w="118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按时完成</w:t>
            </w:r>
          </w:p>
        </w:tc>
        <w:tc>
          <w:tcPr>
            <w:tcW w:w="94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按时完成</w:t>
            </w:r>
          </w:p>
        </w:tc>
        <w:tc>
          <w:tcPr>
            <w:tcW w:w="55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495"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195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r>
      <w:tr>
        <w:tblPrEx>
          <w:tblLayout w:type="fixed"/>
          <w:tblCellMar>
            <w:top w:w="0" w:type="dxa"/>
            <w:left w:w="108" w:type="dxa"/>
            <w:bottom w:w="0" w:type="dxa"/>
            <w:right w:w="108" w:type="dxa"/>
          </w:tblCellMar>
        </w:tblPrEx>
        <w:trPr>
          <w:trHeight w:val="557" w:hRule="exact"/>
          <w:jc w:val="center"/>
        </w:trPr>
        <w:tc>
          <w:tcPr>
            <w:tcW w:w="602"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61" w:type="dxa"/>
            <w:gridSpan w:val="2"/>
            <w:vMerge w:val="continue"/>
            <w:tcBorders>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13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成本指标</w:t>
            </w:r>
          </w:p>
        </w:tc>
        <w:tc>
          <w:tcPr>
            <w:tcW w:w="1555" w:type="dxa"/>
            <w:gridSpan w:val="3"/>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hAnsi="宋体" w:cs="宋体"/>
                <w:color w:val="000000"/>
                <w:kern w:val="0"/>
                <w:sz w:val="18"/>
                <w:szCs w:val="18"/>
              </w:rPr>
              <w:t>按方案规定项目费用控制</w:t>
            </w:r>
          </w:p>
        </w:tc>
        <w:tc>
          <w:tcPr>
            <w:tcW w:w="118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成本不超预算</w:t>
            </w:r>
          </w:p>
        </w:tc>
        <w:tc>
          <w:tcPr>
            <w:tcW w:w="94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成本不超预算</w:t>
            </w:r>
          </w:p>
        </w:tc>
        <w:tc>
          <w:tcPr>
            <w:tcW w:w="55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495"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195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r>
      <w:tr>
        <w:tblPrEx>
          <w:tblLayout w:type="fixed"/>
          <w:tblCellMar>
            <w:top w:w="0" w:type="dxa"/>
            <w:left w:w="108" w:type="dxa"/>
            <w:bottom w:w="0" w:type="dxa"/>
            <w:right w:w="108" w:type="dxa"/>
          </w:tblCellMar>
        </w:tblPrEx>
        <w:trPr>
          <w:trHeight w:val="587" w:hRule="exact"/>
          <w:jc w:val="center"/>
        </w:trPr>
        <w:tc>
          <w:tcPr>
            <w:tcW w:w="602"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61" w:type="dxa"/>
            <w:gridSpan w:val="2"/>
            <w:vMerge w:val="restart"/>
            <w:tcBorders>
              <w:top w:val="nil"/>
              <w:left w:val="single" w:color="auto" w:sz="4" w:space="0"/>
              <w:right w:val="single" w:color="auto" w:sz="4" w:space="0"/>
            </w:tcBorders>
            <w:vAlign w:val="center"/>
          </w:tcPr>
          <w:p>
            <w:pPr>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p>
            <w:pPr>
              <w:spacing w:line="240" w:lineRule="exact"/>
              <w:jc w:val="center"/>
              <w:rPr>
                <w:rFonts w:ascii="宋体"/>
                <w:kern w:val="0"/>
                <w:sz w:val="18"/>
                <w:szCs w:val="18"/>
              </w:rPr>
            </w:pPr>
            <w:r>
              <w:rPr>
                <w:rFonts w:hint="eastAsia" w:ascii="宋体" w:hAnsi="宋体" w:cs="宋体"/>
                <w:kern w:val="0"/>
                <w:sz w:val="18"/>
                <w:szCs w:val="18"/>
                <w:lang w:eastAsia="zh-CN"/>
              </w:rPr>
              <w:t>（</w:t>
            </w:r>
            <w:r>
              <w:rPr>
                <w:rFonts w:hint="eastAsia" w:ascii="宋体" w:hAnsi="宋体" w:cs="宋体"/>
                <w:kern w:val="0"/>
                <w:sz w:val="18"/>
                <w:szCs w:val="18"/>
                <w:lang w:val="en-US" w:eastAsia="zh-CN"/>
              </w:rPr>
              <w:t>30分</w:t>
            </w:r>
            <w:r>
              <w:rPr>
                <w:rFonts w:hint="eastAsia" w:ascii="宋体" w:hAnsi="宋体" w:cs="宋体"/>
                <w:kern w:val="0"/>
                <w:sz w:val="18"/>
                <w:szCs w:val="18"/>
                <w:lang w:eastAsia="zh-CN"/>
              </w:rPr>
              <w:t>）</w:t>
            </w:r>
          </w:p>
        </w:tc>
        <w:tc>
          <w:tcPr>
            <w:tcW w:w="113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社会效益</w:t>
            </w:r>
          </w:p>
          <w:p>
            <w:pPr>
              <w:spacing w:line="240" w:lineRule="exact"/>
              <w:jc w:val="center"/>
              <w:rPr>
                <w:rFonts w:ascii="宋体"/>
                <w:kern w:val="0"/>
                <w:sz w:val="18"/>
                <w:szCs w:val="18"/>
              </w:rPr>
            </w:pPr>
            <w:r>
              <w:rPr>
                <w:rFonts w:hint="eastAsia" w:ascii="宋体" w:hAnsi="宋体" w:cs="宋体"/>
                <w:kern w:val="0"/>
                <w:sz w:val="18"/>
                <w:szCs w:val="18"/>
              </w:rPr>
              <w:t>指标</w:t>
            </w:r>
          </w:p>
        </w:tc>
        <w:tc>
          <w:tcPr>
            <w:tcW w:w="1555" w:type="dxa"/>
            <w:gridSpan w:val="3"/>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color w:val="000000"/>
                <w:kern w:val="0"/>
                <w:sz w:val="18"/>
                <w:szCs w:val="18"/>
              </w:rPr>
              <w:t>构建耕地后备资源分类指标体系</w:t>
            </w:r>
          </w:p>
        </w:tc>
        <w:tc>
          <w:tcPr>
            <w:tcW w:w="118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建成体系</w:t>
            </w:r>
          </w:p>
        </w:tc>
        <w:tc>
          <w:tcPr>
            <w:tcW w:w="945"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eastAsia="zh-CN"/>
              </w:rPr>
            </w:pPr>
            <w:r>
              <w:rPr>
                <w:rFonts w:hint="eastAsia" w:ascii="宋体"/>
                <w:kern w:val="0"/>
                <w:sz w:val="18"/>
                <w:szCs w:val="18"/>
                <w:lang w:eastAsia="zh-CN"/>
              </w:rPr>
              <w:t>基本建成</w:t>
            </w:r>
          </w:p>
        </w:tc>
        <w:tc>
          <w:tcPr>
            <w:tcW w:w="55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15</w:t>
            </w:r>
          </w:p>
        </w:tc>
        <w:tc>
          <w:tcPr>
            <w:tcW w:w="495"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12</w:t>
            </w:r>
          </w:p>
        </w:tc>
        <w:tc>
          <w:tcPr>
            <w:tcW w:w="195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eastAsia="zh-CN"/>
              </w:rPr>
            </w:pPr>
            <w:r>
              <w:rPr>
                <w:rFonts w:hint="eastAsia" w:ascii="宋体"/>
                <w:kern w:val="0"/>
                <w:sz w:val="18"/>
                <w:szCs w:val="18"/>
                <w:lang w:eastAsia="zh-CN"/>
              </w:rPr>
              <w:t>进一步完善中</w:t>
            </w:r>
          </w:p>
        </w:tc>
      </w:tr>
      <w:tr>
        <w:tblPrEx>
          <w:tblLayout w:type="fixed"/>
          <w:tblCellMar>
            <w:top w:w="0" w:type="dxa"/>
            <w:left w:w="108" w:type="dxa"/>
            <w:bottom w:w="0" w:type="dxa"/>
            <w:right w:w="108" w:type="dxa"/>
          </w:tblCellMar>
        </w:tblPrEx>
        <w:trPr>
          <w:trHeight w:val="602" w:hRule="exact"/>
          <w:jc w:val="center"/>
        </w:trPr>
        <w:tc>
          <w:tcPr>
            <w:tcW w:w="602"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61" w:type="dxa"/>
            <w:gridSpan w:val="2"/>
            <w:vMerge w:val="continue"/>
            <w:tcBorders>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p>
        </w:tc>
        <w:tc>
          <w:tcPr>
            <w:tcW w:w="113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可持续影响指标</w:t>
            </w:r>
          </w:p>
        </w:tc>
        <w:tc>
          <w:tcPr>
            <w:tcW w:w="1555" w:type="dxa"/>
            <w:gridSpan w:val="3"/>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color w:val="000000"/>
                <w:kern w:val="0"/>
                <w:sz w:val="18"/>
                <w:szCs w:val="18"/>
              </w:rPr>
              <w:t>耕地后备资源合理开发</w:t>
            </w:r>
          </w:p>
        </w:tc>
        <w:tc>
          <w:tcPr>
            <w:tcW w:w="118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实现耕地占补平衡</w:t>
            </w:r>
          </w:p>
        </w:tc>
        <w:tc>
          <w:tcPr>
            <w:tcW w:w="94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实现耕地占补平衡</w:t>
            </w:r>
          </w:p>
        </w:tc>
        <w:tc>
          <w:tcPr>
            <w:tcW w:w="55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15</w:t>
            </w:r>
          </w:p>
        </w:tc>
        <w:tc>
          <w:tcPr>
            <w:tcW w:w="495"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12</w:t>
            </w:r>
          </w:p>
        </w:tc>
        <w:tc>
          <w:tcPr>
            <w:tcW w:w="195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eastAsia="zh-CN"/>
              </w:rPr>
            </w:pPr>
            <w:r>
              <w:rPr>
                <w:rFonts w:hint="eastAsia" w:ascii="宋体"/>
                <w:kern w:val="0"/>
                <w:sz w:val="18"/>
                <w:szCs w:val="18"/>
                <w:lang w:eastAsia="zh-CN"/>
              </w:rPr>
              <w:t>进一步完善中</w:t>
            </w:r>
          </w:p>
        </w:tc>
      </w:tr>
      <w:tr>
        <w:tblPrEx>
          <w:tblLayout w:type="fixed"/>
          <w:tblCellMar>
            <w:top w:w="0" w:type="dxa"/>
            <w:left w:w="108" w:type="dxa"/>
            <w:bottom w:w="0" w:type="dxa"/>
            <w:right w:w="108" w:type="dxa"/>
          </w:tblCellMar>
        </w:tblPrEx>
        <w:trPr>
          <w:trHeight w:val="902" w:hRule="exact"/>
          <w:jc w:val="center"/>
        </w:trPr>
        <w:tc>
          <w:tcPr>
            <w:tcW w:w="602" w:type="dxa"/>
            <w:vMerge w:val="continue"/>
            <w:tcBorders>
              <w:left w:val="single" w:color="auto" w:sz="4" w:space="0"/>
              <w:right w:val="single" w:color="auto" w:sz="4" w:space="0"/>
            </w:tcBorders>
            <w:vAlign w:val="center"/>
          </w:tcPr>
          <w:p>
            <w:pPr>
              <w:spacing w:line="240" w:lineRule="exact"/>
              <w:jc w:val="center"/>
              <w:rPr>
                <w:rFonts w:ascii="宋体"/>
                <w:kern w:val="0"/>
                <w:sz w:val="18"/>
                <w:szCs w:val="18"/>
              </w:rPr>
            </w:pPr>
          </w:p>
        </w:tc>
        <w:tc>
          <w:tcPr>
            <w:tcW w:w="961" w:type="dxa"/>
            <w:gridSpan w:val="2"/>
            <w:tcBorders>
              <w:top w:val="nil"/>
              <w:left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满意度</w:t>
            </w:r>
          </w:p>
          <w:p>
            <w:pPr>
              <w:spacing w:line="240" w:lineRule="exact"/>
              <w:jc w:val="center"/>
              <w:rPr>
                <w:rFonts w:ascii="宋体" w:hAnsi="宋体" w:cs="宋体"/>
                <w:kern w:val="0"/>
                <w:sz w:val="18"/>
                <w:szCs w:val="18"/>
              </w:rPr>
            </w:pPr>
            <w:r>
              <w:rPr>
                <w:rFonts w:hint="eastAsia" w:ascii="宋体" w:hAnsi="宋体" w:cs="宋体"/>
                <w:kern w:val="0"/>
                <w:sz w:val="18"/>
                <w:szCs w:val="18"/>
              </w:rPr>
              <w:t>指标</w:t>
            </w:r>
          </w:p>
          <w:p>
            <w:pPr>
              <w:spacing w:line="240" w:lineRule="exact"/>
              <w:jc w:val="center"/>
              <w:rPr>
                <w:rFonts w:ascii="宋体"/>
                <w:kern w:val="0"/>
                <w:sz w:val="18"/>
                <w:szCs w:val="18"/>
              </w:rPr>
            </w:pPr>
            <w:r>
              <w:rPr>
                <w:rFonts w:hint="eastAsia" w:ascii="宋体" w:hAnsi="宋体" w:cs="宋体"/>
                <w:kern w:val="0"/>
                <w:sz w:val="18"/>
                <w:szCs w:val="18"/>
              </w:rPr>
              <w:t>（10分）</w:t>
            </w:r>
          </w:p>
        </w:tc>
        <w:tc>
          <w:tcPr>
            <w:tcW w:w="1135" w:type="dxa"/>
            <w:tcBorders>
              <w:top w:val="nil"/>
              <w:left w:val="single" w:color="auto" w:sz="4" w:space="0"/>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服务对象满意度指标</w:t>
            </w:r>
          </w:p>
        </w:tc>
        <w:tc>
          <w:tcPr>
            <w:tcW w:w="1555" w:type="dxa"/>
            <w:gridSpan w:val="3"/>
            <w:tcBorders>
              <w:top w:val="single" w:color="auto" w:sz="4" w:space="0"/>
              <w:left w:val="nil"/>
              <w:bottom w:val="single" w:color="auto" w:sz="4" w:space="0"/>
              <w:right w:val="single" w:color="auto" w:sz="4" w:space="0"/>
            </w:tcBorders>
            <w:vAlign w:val="center"/>
          </w:tcPr>
          <w:p>
            <w:pPr>
              <w:spacing w:line="240" w:lineRule="exact"/>
              <w:jc w:val="left"/>
              <w:rPr>
                <w:rFonts w:ascii="宋体"/>
                <w:color w:val="000000"/>
                <w:kern w:val="0"/>
                <w:sz w:val="18"/>
                <w:szCs w:val="18"/>
              </w:rPr>
            </w:pPr>
            <w:r>
              <w:rPr>
                <w:rFonts w:hint="eastAsia" w:ascii="宋体"/>
                <w:color w:val="000000"/>
                <w:kern w:val="0"/>
                <w:sz w:val="18"/>
                <w:szCs w:val="18"/>
              </w:rPr>
              <w:t>政府主体机构、自然资源主管部门满意度意度</w:t>
            </w:r>
          </w:p>
        </w:tc>
        <w:tc>
          <w:tcPr>
            <w:tcW w:w="118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hAnsi="宋体" w:cs="宋体"/>
                <w:kern w:val="0"/>
                <w:sz w:val="18"/>
                <w:szCs w:val="18"/>
              </w:rPr>
              <w:t>≧90%</w:t>
            </w:r>
          </w:p>
        </w:tc>
        <w:tc>
          <w:tcPr>
            <w:tcW w:w="945" w:type="dxa"/>
            <w:tcBorders>
              <w:top w:val="nil"/>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rPr>
              <w:t>9</w:t>
            </w:r>
            <w:r>
              <w:rPr>
                <w:rFonts w:hint="eastAsia" w:ascii="宋体"/>
                <w:kern w:val="0"/>
                <w:sz w:val="18"/>
                <w:szCs w:val="18"/>
                <w:lang w:val="en-US" w:eastAsia="zh-CN"/>
              </w:rPr>
              <w:t>0</w:t>
            </w:r>
            <w:r>
              <w:rPr>
                <w:rFonts w:hint="eastAsia" w:ascii="宋体"/>
                <w:kern w:val="0"/>
                <w:sz w:val="18"/>
                <w:szCs w:val="18"/>
              </w:rPr>
              <w:t>%</w:t>
            </w:r>
          </w:p>
        </w:tc>
        <w:tc>
          <w:tcPr>
            <w:tcW w:w="555" w:type="dxa"/>
            <w:gridSpan w:val="2"/>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10</w:t>
            </w:r>
          </w:p>
        </w:tc>
        <w:tc>
          <w:tcPr>
            <w:tcW w:w="495"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kern w:val="0"/>
                <w:sz w:val="18"/>
                <w:szCs w:val="18"/>
                <w:lang w:val="en-US" w:eastAsia="zh-CN"/>
              </w:rPr>
            </w:pPr>
            <w:r>
              <w:rPr>
                <w:rFonts w:hint="eastAsia" w:ascii="宋体"/>
                <w:kern w:val="0"/>
                <w:sz w:val="18"/>
                <w:szCs w:val="18"/>
                <w:lang w:val="en-US" w:eastAsia="zh-CN"/>
              </w:rPr>
              <w:t>7</w:t>
            </w:r>
          </w:p>
        </w:tc>
        <w:tc>
          <w:tcPr>
            <w:tcW w:w="195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r>
              <w:rPr>
                <w:rFonts w:hint="eastAsia" w:ascii="宋体"/>
                <w:kern w:val="0"/>
                <w:sz w:val="18"/>
                <w:szCs w:val="18"/>
                <w:lang w:eastAsia="zh-CN"/>
              </w:rPr>
              <w:t>服务群众、解决问题的能力有待提高。</w:t>
            </w:r>
          </w:p>
        </w:tc>
      </w:tr>
      <w:tr>
        <w:tblPrEx>
          <w:tblLayout w:type="fixed"/>
          <w:tblCellMar>
            <w:top w:w="0" w:type="dxa"/>
            <w:left w:w="108" w:type="dxa"/>
            <w:bottom w:w="0" w:type="dxa"/>
            <w:right w:w="108" w:type="dxa"/>
          </w:tblCellMar>
        </w:tblPrEx>
        <w:trPr>
          <w:trHeight w:val="356" w:hRule="exact"/>
          <w:jc w:val="center"/>
        </w:trPr>
        <w:tc>
          <w:tcPr>
            <w:tcW w:w="6383" w:type="dxa"/>
            <w:gridSpan w:val="9"/>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color w:val="000000"/>
                <w:kern w:val="0"/>
                <w:sz w:val="18"/>
                <w:szCs w:val="18"/>
              </w:rPr>
            </w:pPr>
            <w:r>
              <w:rPr>
                <w:rFonts w:hint="eastAsia" w:ascii="宋体" w:hAnsi="宋体" w:cs="宋体"/>
                <w:color w:val="000000"/>
                <w:kern w:val="0"/>
                <w:sz w:val="18"/>
                <w:szCs w:val="18"/>
              </w:rPr>
              <w:t>总分</w:t>
            </w:r>
          </w:p>
        </w:tc>
        <w:tc>
          <w:tcPr>
            <w:tcW w:w="555" w:type="dxa"/>
            <w:gridSpan w:val="2"/>
            <w:tcBorders>
              <w:top w:val="nil"/>
              <w:left w:val="nil"/>
              <w:bottom w:val="single" w:color="auto" w:sz="4" w:space="0"/>
              <w:right w:val="single" w:color="auto" w:sz="4" w:space="0"/>
            </w:tcBorders>
            <w:vAlign w:val="center"/>
          </w:tcPr>
          <w:p>
            <w:pPr>
              <w:spacing w:line="240" w:lineRule="exact"/>
              <w:jc w:val="center"/>
              <w:rPr>
                <w:rFonts w:ascii="宋体"/>
                <w:color w:val="000000"/>
                <w:kern w:val="0"/>
                <w:sz w:val="18"/>
                <w:szCs w:val="18"/>
              </w:rPr>
            </w:pPr>
            <w:r>
              <w:rPr>
                <w:rFonts w:ascii="宋体" w:hAnsi="宋体" w:cs="宋体"/>
                <w:color w:val="000000"/>
                <w:kern w:val="0"/>
                <w:sz w:val="18"/>
                <w:szCs w:val="18"/>
              </w:rPr>
              <w:t>100</w:t>
            </w:r>
          </w:p>
        </w:tc>
        <w:tc>
          <w:tcPr>
            <w:tcW w:w="495" w:type="dxa"/>
            <w:tcBorders>
              <w:top w:val="nil"/>
              <w:left w:val="nil"/>
              <w:bottom w:val="single" w:color="auto" w:sz="4" w:space="0"/>
              <w:right w:val="single" w:color="auto" w:sz="4" w:space="0"/>
            </w:tcBorders>
            <w:vAlign w:val="center"/>
          </w:tcPr>
          <w:p>
            <w:pPr>
              <w:spacing w:line="240" w:lineRule="exact"/>
              <w:jc w:val="center"/>
              <w:rPr>
                <w:rFonts w:hint="eastAsia" w:ascii="宋体" w:eastAsia="宋体"/>
                <w:color w:val="000000"/>
                <w:kern w:val="0"/>
                <w:sz w:val="18"/>
                <w:szCs w:val="18"/>
                <w:lang w:val="en-US" w:eastAsia="zh-CN"/>
              </w:rPr>
            </w:pPr>
            <w:r>
              <w:rPr>
                <w:rFonts w:hint="eastAsia" w:ascii="宋体"/>
                <w:color w:val="000000"/>
                <w:kern w:val="0"/>
                <w:sz w:val="18"/>
                <w:szCs w:val="18"/>
                <w:lang w:val="en-US" w:eastAsia="zh-CN"/>
              </w:rPr>
              <w:t>89</w:t>
            </w:r>
          </w:p>
        </w:tc>
        <w:tc>
          <w:tcPr>
            <w:tcW w:w="195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kern w:val="0"/>
                <w:sz w:val="18"/>
                <w:szCs w:val="18"/>
              </w:rPr>
            </w:pPr>
          </w:p>
        </w:tc>
      </w:tr>
    </w:tbl>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宋体"/>
    <w:panose1 w:val="00000000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 w:name="楷体">
    <w:panose1 w:val="02010609060101010101"/>
    <w:charset w:val="86"/>
    <w:family w:val="auto"/>
    <w:pitch w:val="default"/>
    <w:sig w:usb0="800002BF" w:usb1="38CF7CFA" w:usb2="00000016" w:usb3="00000000" w:csb0="00040001" w:csb1="00000000"/>
  </w:font>
  <w:font w:name="方正舒体">
    <w:altName w:val="宋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4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 氀ႂȶ恀ضꞹ墅氀ႂȶ恀ضꞹ墅氀ႂȶ恀＀ضꞹ墅氀ႂȶ恀ضꞹ墅氀蠀ႂȶ恀ضꞹ墅栀氀ႂȶ恀πȵꞹ墅怀氀ႂȶ恀ࠠȵꞹ墅堀氀ႂȶ恀ಀȵꞹ墅倀氀ႂȶ恀쥠ѿꞹ墅䠀 氀ႂȶ恀촠ѿꞹ墅䀀_x000a_氀ႂȶ恀ѿꞹ墅㠀氀ƙႂȶ恀ѿꞹ墅㦙氀ƙႂȶ恀盠פꞹ墅㬲_x000a_氀ƙႂȶ恀销פꞹ墅㳋氀ƙႂȶ恀骠פꞹ墅㹤氀ƙႂȶ恀鴠פꞹ墅㿽氀ƙႂȶ恀劀׫ꞹ墅䆖氀ƙႂȶ恀唀׫ꞹ墅䌯氀ƙႂȶ恀奠׫ꞹ墅䓈氀ƙႂȶ恀寠׫ꞹ墅䙡氀ƙႂȶ恀退׫ꞹ墅䟺氀ƙႂȶ恀鏀׫ꞹ墅䦓氀ႂȶ恀陀׫ꞹ墅䆓氀ႂȶ恀늀׫ꞹ墅㦓氀ႂȶ恀떠׫ꞹ墅㆓氀ႂȶ恀"/>
  </w:docVars>
  <w:rsids>
    <w:rsidRoot w:val="008616BC"/>
    <w:rsid w:val="00051163"/>
    <w:rsid w:val="004B697F"/>
    <w:rsid w:val="008616BC"/>
    <w:rsid w:val="00A602F4"/>
    <w:rsid w:val="0244185C"/>
    <w:rsid w:val="02D50A7D"/>
    <w:rsid w:val="03244455"/>
    <w:rsid w:val="06D717DE"/>
    <w:rsid w:val="0A9252C5"/>
    <w:rsid w:val="0B8F541C"/>
    <w:rsid w:val="0BC64E3C"/>
    <w:rsid w:val="0C101657"/>
    <w:rsid w:val="0CC76F33"/>
    <w:rsid w:val="0FB66280"/>
    <w:rsid w:val="14EC4DE7"/>
    <w:rsid w:val="159F4DB8"/>
    <w:rsid w:val="1A701E6E"/>
    <w:rsid w:val="1A9A5D21"/>
    <w:rsid w:val="1CEC452E"/>
    <w:rsid w:val="1DF91B09"/>
    <w:rsid w:val="1E6B4FA7"/>
    <w:rsid w:val="1ED15C97"/>
    <w:rsid w:val="1ED92122"/>
    <w:rsid w:val="1F993824"/>
    <w:rsid w:val="1FC06EA5"/>
    <w:rsid w:val="21827B99"/>
    <w:rsid w:val="252B7E9E"/>
    <w:rsid w:val="260521D3"/>
    <w:rsid w:val="27E87206"/>
    <w:rsid w:val="345F453F"/>
    <w:rsid w:val="37E306DA"/>
    <w:rsid w:val="39342CAF"/>
    <w:rsid w:val="39CE656C"/>
    <w:rsid w:val="39DA2F4A"/>
    <w:rsid w:val="3A781C20"/>
    <w:rsid w:val="3BD27899"/>
    <w:rsid w:val="403E06C6"/>
    <w:rsid w:val="487D3E36"/>
    <w:rsid w:val="497776BB"/>
    <w:rsid w:val="4B160302"/>
    <w:rsid w:val="4B9959B9"/>
    <w:rsid w:val="4C750D19"/>
    <w:rsid w:val="4EEB689C"/>
    <w:rsid w:val="4F365087"/>
    <w:rsid w:val="52474F87"/>
    <w:rsid w:val="52624798"/>
    <w:rsid w:val="55D263BE"/>
    <w:rsid w:val="58CB351D"/>
    <w:rsid w:val="59523ABF"/>
    <w:rsid w:val="5A5D1C20"/>
    <w:rsid w:val="5AAF1906"/>
    <w:rsid w:val="5AF06C92"/>
    <w:rsid w:val="5B9C5FA2"/>
    <w:rsid w:val="5BC55349"/>
    <w:rsid w:val="5C626133"/>
    <w:rsid w:val="5CE17DF6"/>
    <w:rsid w:val="5DEB3859"/>
    <w:rsid w:val="610801E3"/>
    <w:rsid w:val="62D52B9B"/>
    <w:rsid w:val="63D84A28"/>
    <w:rsid w:val="63EC30AB"/>
    <w:rsid w:val="664712D2"/>
    <w:rsid w:val="68EC7D91"/>
    <w:rsid w:val="693E50D2"/>
    <w:rsid w:val="69856B73"/>
    <w:rsid w:val="6A900E1B"/>
    <w:rsid w:val="6A967831"/>
    <w:rsid w:val="6BDE03FA"/>
    <w:rsid w:val="6C825469"/>
    <w:rsid w:val="709E6602"/>
    <w:rsid w:val="72F772AE"/>
    <w:rsid w:val="73E138F7"/>
    <w:rsid w:val="768F7AD8"/>
    <w:rsid w:val="773C0707"/>
    <w:rsid w:val="79FE566C"/>
    <w:rsid w:val="7B657094"/>
    <w:rsid w:val="7E512DE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header"/>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customStyle="1" w:styleId="5">
    <w:name w:val="正文1 Char Char Char"/>
    <w:qFormat/>
    <w:uiPriority w:val="99"/>
    <w:pPr>
      <w:widowControl w:val="0"/>
      <w:spacing w:line="360" w:lineRule="auto"/>
      <w:ind w:firstLine="200" w:firstLineChars="20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5363</Words>
  <Characters>1860</Characters>
  <Lines>15</Lines>
  <Paragraphs>14</Paragraphs>
  <ScaleCrop>false</ScaleCrop>
  <LinksUpToDate>false</LinksUpToDate>
  <CharactersWithSpaces>7209</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2022-05-05T08:02:00Z</dcterms:created>
  <dc:creator>Administrator</dc:creator>
  <cp:lastModifiedBy>Administrator</cp:lastModifiedBy>
  <dcterms:modified xsi:type="dcterms:W3CDTF">2022-06-07T03:04:22Z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y fmtid="{D5CDD505-2E9C-101B-9397-08002B2CF9AE}" pid="3" name="ICV">
    <vt:lpwstr>3396F40CA568472BACF809E160575622</vt:lpwstr>
  </property>
</Properties>
</file>