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946" w:type="dxa"/>
        <w:tblInd w:w="-106" w:type="dxa"/>
        <w:tblLayout w:type="fixed"/>
        <w:tblCellMar>
          <w:top w:w="0" w:type="dxa"/>
          <w:left w:w="108" w:type="dxa"/>
          <w:bottom w:w="0" w:type="dxa"/>
          <w:right w:w="108" w:type="dxa"/>
        </w:tblCellMar>
      </w:tblPr>
      <w:tblGrid>
        <w:gridCol w:w="637"/>
        <w:gridCol w:w="253"/>
        <w:gridCol w:w="277"/>
        <w:gridCol w:w="168"/>
        <w:gridCol w:w="1447"/>
        <w:gridCol w:w="1005"/>
        <w:gridCol w:w="962"/>
        <w:gridCol w:w="634"/>
        <w:gridCol w:w="174"/>
        <w:gridCol w:w="754"/>
        <w:gridCol w:w="691"/>
        <w:gridCol w:w="616"/>
        <w:gridCol w:w="1328"/>
      </w:tblGrid>
      <w:tr>
        <w:tblPrEx>
          <w:tblCellMar>
            <w:top w:w="0" w:type="dxa"/>
            <w:left w:w="108" w:type="dxa"/>
            <w:bottom w:w="0" w:type="dxa"/>
            <w:right w:w="108" w:type="dxa"/>
          </w:tblCellMar>
        </w:tblPrEx>
        <w:trPr>
          <w:trHeight w:val="378" w:hRule="atLeast"/>
        </w:trPr>
        <w:tc>
          <w:tcPr>
            <w:tcW w:w="8946" w:type="dxa"/>
            <w:gridSpan w:val="13"/>
            <w:vAlign w:val="center"/>
          </w:tcPr>
          <w:p>
            <w:pPr>
              <w:autoSpaceDN w:val="0"/>
              <w:spacing w:line="400" w:lineRule="exact"/>
              <w:jc w:val="left"/>
              <w:textAlignment w:val="center"/>
              <w:rPr>
                <w:rFonts w:ascii="黑体" w:hAnsi="黑体" w:eastAsia="黑体"/>
                <w:color w:val="000000"/>
                <w:szCs w:val="21"/>
              </w:rPr>
            </w:pPr>
            <w:bookmarkStart w:id="0" w:name="_GoBack"/>
            <w:bookmarkEnd w:id="0"/>
            <w:r>
              <w:rPr>
                <w:rFonts w:hint="eastAsia" w:ascii="黑体" w:hAnsi="黑体" w:eastAsia="黑体" w:cs="黑体"/>
                <w:color w:val="000000"/>
                <w:sz w:val="32"/>
                <w:szCs w:val="32"/>
              </w:rPr>
              <w:t>附件</w:t>
            </w:r>
            <w:r>
              <w:rPr>
                <w:rFonts w:ascii="黑体" w:hAnsi="黑体" w:eastAsia="黑体" w:cs="黑体"/>
                <w:color w:val="000000"/>
                <w:sz w:val="32"/>
                <w:szCs w:val="32"/>
              </w:rPr>
              <w:t>4</w:t>
            </w:r>
          </w:p>
        </w:tc>
      </w:tr>
      <w:tr>
        <w:tblPrEx>
          <w:tblCellMar>
            <w:top w:w="0" w:type="dxa"/>
            <w:left w:w="108" w:type="dxa"/>
            <w:bottom w:w="0" w:type="dxa"/>
            <w:right w:w="108" w:type="dxa"/>
          </w:tblCellMar>
        </w:tblPrEx>
        <w:trPr>
          <w:trHeight w:val="729" w:hRule="atLeast"/>
        </w:trPr>
        <w:tc>
          <w:tcPr>
            <w:tcW w:w="8946" w:type="dxa"/>
            <w:gridSpan w:val="13"/>
            <w:vAlign w:val="center"/>
          </w:tcPr>
          <w:p>
            <w:pPr>
              <w:autoSpaceDN w:val="0"/>
              <w:spacing w:line="600" w:lineRule="exact"/>
              <w:jc w:val="center"/>
              <w:textAlignment w:val="center"/>
              <w:rPr>
                <w:rFonts w:ascii="仿宋" w:hAnsi="仿宋" w:eastAsia="仿宋"/>
                <w:b/>
                <w:bCs/>
                <w:color w:val="000000"/>
                <w:sz w:val="36"/>
                <w:szCs w:val="36"/>
              </w:rPr>
            </w:pPr>
            <w:r>
              <w:rPr>
                <w:rFonts w:hint="eastAsia" w:ascii="方正小标宋简体" w:hAnsi="方正小标宋简体" w:eastAsia="方正小标宋简体" w:cs="方正小标宋简体"/>
                <w:color w:val="000000"/>
                <w:sz w:val="44"/>
                <w:szCs w:val="44"/>
              </w:rPr>
              <w:t>部门整体支出绩效自评表</w:t>
            </w:r>
          </w:p>
        </w:tc>
      </w:tr>
      <w:tr>
        <w:tblPrEx>
          <w:tblCellMar>
            <w:top w:w="0" w:type="dxa"/>
            <w:left w:w="108" w:type="dxa"/>
            <w:bottom w:w="0" w:type="dxa"/>
            <w:right w:w="108" w:type="dxa"/>
          </w:tblCellMar>
        </w:tblPrEx>
        <w:trPr>
          <w:trHeight w:val="384" w:hRule="atLeast"/>
        </w:trPr>
        <w:tc>
          <w:tcPr>
            <w:tcW w:w="8946" w:type="dxa"/>
            <w:gridSpan w:val="13"/>
            <w:vAlign w:val="center"/>
          </w:tcPr>
          <w:p>
            <w:pPr>
              <w:autoSpaceDN w:val="0"/>
              <w:spacing w:line="400" w:lineRule="exact"/>
              <w:jc w:val="center"/>
              <w:textAlignment w:val="center"/>
              <w:rPr>
                <w:rFonts w:ascii="仿宋" w:hAnsi="仿宋" w:eastAsia="仿宋"/>
                <w:color w:val="000000"/>
                <w:sz w:val="18"/>
                <w:szCs w:val="18"/>
              </w:rPr>
            </w:pPr>
            <w:r>
              <w:rPr>
                <w:rFonts w:hint="eastAsia" w:ascii="楷体_GB2312" w:hAnsi="楷体_GB2312" w:eastAsia="楷体_GB2312" w:cs="楷体_GB2312"/>
                <w:color w:val="000000"/>
                <w:sz w:val="18"/>
                <w:szCs w:val="18"/>
              </w:rPr>
              <w:t>（2021年度）</w:t>
            </w:r>
          </w:p>
        </w:tc>
      </w:tr>
      <w:tr>
        <w:tblPrEx>
          <w:tblCellMar>
            <w:top w:w="0" w:type="dxa"/>
            <w:left w:w="108" w:type="dxa"/>
            <w:bottom w:w="0" w:type="dxa"/>
            <w:right w:w="108" w:type="dxa"/>
          </w:tblCellMar>
        </w:tblPrEx>
        <w:trPr>
          <w:trHeight w:val="228" w:hRule="atLeast"/>
        </w:trPr>
        <w:tc>
          <w:tcPr>
            <w:tcW w:w="1335" w:type="dxa"/>
            <w:gridSpan w:val="4"/>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评价部门名称</w:t>
            </w:r>
          </w:p>
        </w:tc>
        <w:tc>
          <w:tcPr>
            <w:tcW w:w="3414"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eastAsia="zh-CN"/>
              </w:rPr>
            </w:pPr>
            <w:r>
              <w:rPr>
                <w:rFonts w:hint="eastAsia" w:ascii="宋体"/>
                <w:color w:val="000000"/>
                <w:sz w:val="18"/>
                <w:szCs w:val="18"/>
                <w:lang w:eastAsia="zh-CN"/>
              </w:rPr>
              <w:t>浮梁县自然资源和规划局</w:t>
            </w:r>
          </w:p>
        </w:tc>
        <w:tc>
          <w:tcPr>
            <w:tcW w:w="2253" w:type="dxa"/>
            <w:gridSpan w:val="4"/>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下属单位个数</w:t>
            </w:r>
          </w:p>
        </w:tc>
        <w:tc>
          <w:tcPr>
            <w:tcW w:w="1944"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w:t>
            </w:r>
          </w:p>
        </w:tc>
      </w:tr>
      <w:tr>
        <w:tblPrEx>
          <w:tblCellMar>
            <w:top w:w="0" w:type="dxa"/>
            <w:left w:w="108" w:type="dxa"/>
            <w:bottom w:w="0" w:type="dxa"/>
            <w:right w:w="108" w:type="dxa"/>
          </w:tblCellMar>
        </w:tblPrEx>
        <w:trPr>
          <w:trHeight w:val="228" w:hRule="atLeast"/>
        </w:trPr>
        <w:tc>
          <w:tcPr>
            <w:tcW w:w="1335" w:type="dxa"/>
            <w:gridSpan w:val="4"/>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整体支出规模</w:t>
            </w:r>
          </w:p>
        </w:tc>
        <w:tc>
          <w:tcPr>
            <w:tcW w:w="245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596"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全年预算数</w:t>
            </w:r>
          </w:p>
        </w:tc>
        <w:tc>
          <w:tcPr>
            <w:tcW w:w="1619"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全年执行数</w:t>
            </w:r>
          </w:p>
        </w:tc>
        <w:tc>
          <w:tcPr>
            <w:tcW w:w="1944"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执行率</w:t>
            </w:r>
          </w:p>
        </w:tc>
      </w:tr>
      <w:tr>
        <w:tblPrEx>
          <w:tblCellMar>
            <w:top w:w="0" w:type="dxa"/>
            <w:left w:w="108" w:type="dxa"/>
            <w:bottom w:w="0" w:type="dxa"/>
            <w:right w:w="108" w:type="dxa"/>
          </w:tblCellMar>
        </w:tblPrEx>
        <w:trPr>
          <w:trHeight w:val="314" w:hRule="atLeast"/>
        </w:trPr>
        <w:tc>
          <w:tcPr>
            <w:tcW w:w="1335" w:type="dxa"/>
            <w:gridSpan w:val="4"/>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245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资金来源：（</w:t>
            </w:r>
            <w:r>
              <w:rPr>
                <w:rFonts w:ascii="宋体" w:hAnsi="宋体" w:cs="宋体"/>
                <w:color w:val="000000"/>
                <w:sz w:val="18"/>
                <w:szCs w:val="18"/>
              </w:rPr>
              <w:t>1</w:t>
            </w:r>
            <w:r>
              <w:rPr>
                <w:rFonts w:hint="eastAsia" w:ascii="宋体" w:hAnsi="宋体" w:cs="宋体"/>
                <w:color w:val="000000"/>
                <w:sz w:val="18"/>
                <w:szCs w:val="18"/>
              </w:rPr>
              <w:t>）财政</w:t>
            </w:r>
            <w:r>
              <w:rPr>
                <w:rFonts w:ascii="宋体" w:hAnsi="宋体" w:cs="宋体"/>
                <w:color w:val="000000"/>
                <w:sz w:val="18"/>
                <w:szCs w:val="18"/>
              </w:rPr>
              <w:t>*</w:t>
            </w:r>
            <w:r>
              <w:rPr>
                <w:rFonts w:hint="eastAsia" w:ascii="宋体" w:hAnsi="宋体" w:cs="宋体"/>
                <w:color w:val="000000"/>
                <w:sz w:val="18"/>
                <w:szCs w:val="18"/>
              </w:rPr>
              <w:t>拨款</w:t>
            </w:r>
          </w:p>
        </w:tc>
        <w:tc>
          <w:tcPr>
            <w:tcW w:w="1596"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16,431.2667万元</w:t>
            </w:r>
          </w:p>
        </w:tc>
        <w:tc>
          <w:tcPr>
            <w:tcW w:w="1619"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16,431.2667万元</w:t>
            </w:r>
          </w:p>
        </w:tc>
        <w:tc>
          <w:tcPr>
            <w:tcW w:w="1944"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100%</w:t>
            </w:r>
          </w:p>
        </w:tc>
      </w:tr>
      <w:tr>
        <w:tblPrEx>
          <w:tblCellMar>
            <w:top w:w="0" w:type="dxa"/>
            <w:left w:w="108" w:type="dxa"/>
            <w:bottom w:w="0" w:type="dxa"/>
            <w:right w:w="108" w:type="dxa"/>
          </w:tblCellMar>
        </w:tblPrEx>
        <w:trPr>
          <w:trHeight w:val="228" w:hRule="atLeast"/>
        </w:trPr>
        <w:tc>
          <w:tcPr>
            <w:tcW w:w="1335" w:type="dxa"/>
            <w:gridSpan w:val="4"/>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245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ascii="宋体" w:hAnsi="宋体" w:cs="宋体"/>
                <w:color w:val="000000"/>
                <w:sz w:val="18"/>
                <w:szCs w:val="18"/>
              </w:rPr>
              <w:t xml:space="preserve">         </w:t>
            </w:r>
            <w:r>
              <w:rPr>
                <w:rFonts w:hint="eastAsia" w:ascii="宋体" w:hAnsi="宋体" w:cs="宋体"/>
                <w:color w:val="000000"/>
                <w:sz w:val="18"/>
                <w:szCs w:val="18"/>
              </w:rPr>
              <w:t>（</w:t>
            </w:r>
            <w:r>
              <w:rPr>
                <w:rFonts w:ascii="宋体" w:hAnsi="宋体" w:cs="宋体"/>
                <w:color w:val="000000"/>
                <w:sz w:val="18"/>
                <w:szCs w:val="18"/>
              </w:rPr>
              <w:t>2</w:t>
            </w:r>
            <w:r>
              <w:rPr>
                <w:rFonts w:hint="eastAsia" w:ascii="宋体" w:hAnsi="宋体" w:cs="宋体"/>
                <w:color w:val="000000"/>
                <w:sz w:val="18"/>
                <w:szCs w:val="18"/>
              </w:rPr>
              <w:t>）其他资金</w:t>
            </w:r>
          </w:p>
        </w:tc>
        <w:tc>
          <w:tcPr>
            <w:tcW w:w="1596"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619"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944"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54" w:hRule="atLeast"/>
        </w:trPr>
        <w:tc>
          <w:tcPr>
            <w:tcW w:w="1335" w:type="dxa"/>
            <w:gridSpan w:val="4"/>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245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资金结构：（</w:t>
            </w:r>
            <w:r>
              <w:rPr>
                <w:rFonts w:ascii="宋体" w:hAnsi="宋体" w:cs="宋体"/>
                <w:color w:val="000000"/>
                <w:sz w:val="18"/>
                <w:szCs w:val="18"/>
              </w:rPr>
              <w:t>1</w:t>
            </w:r>
            <w:r>
              <w:rPr>
                <w:rFonts w:hint="eastAsia" w:ascii="宋体" w:hAnsi="宋体" w:cs="宋体"/>
                <w:color w:val="000000"/>
                <w:sz w:val="18"/>
                <w:szCs w:val="18"/>
              </w:rPr>
              <w:t>）基本支出</w:t>
            </w:r>
          </w:p>
        </w:tc>
        <w:tc>
          <w:tcPr>
            <w:tcW w:w="1596"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2,400.4967万元</w:t>
            </w:r>
          </w:p>
        </w:tc>
        <w:tc>
          <w:tcPr>
            <w:tcW w:w="1619"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2,400.4967万元</w:t>
            </w:r>
          </w:p>
        </w:tc>
        <w:tc>
          <w:tcPr>
            <w:tcW w:w="1944"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1335" w:type="dxa"/>
            <w:gridSpan w:val="4"/>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245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ascii="宋体" w:hAnsi="宋体" w:cs="宋体"/>
                <w:color w:val="000000"/>
                <w:sz w:val="18"/>
                <w:szCs w:val="18"/>
              </w:rPr>
              <w:t xml:space="preserve">         </w:t>
            </w:r>
            <w:r>
              <w:rPr>
                <w:rFonts w:hint="eastAsia" w:ascii="宋体" w:hAnsi="宋体" w:cs="宋体"/>
                <w:color w:val="000000"/>
                <w:sz w:val="18"/>
                <w:szCs w:val="18"/>
              </w:rPr>
              <w:t>（</w:t>
            </w:r>
            <w:r>
              <w:rPr>
                <w:rFonts w:ascii="宋体" w:hAnsi="宋体" w:cs="宋体"/>
                <w:color w:val="000000"/>
                <w:sz w:val="18"/>
                <w:szCs w:val="18"/>
              </w:rPr>
              <w:t>2</w:t>
            </w:r>
            <w:r>
              <w:rPr>
                <w:rFonts w:hint="eastAsia" w:ascii="宋体" w:hAnsi="宋体" w:cs="宋体"/>
                <w:color w:val="000000"/>
                <w:sz w:val="18"/>
                <w:szCs w:val="18"/>
              </w:rPr>
              <w:t>）项目支出</w:t>
            </w:r>
          </w:p>
        </w:tc>
        <w:tc>
          <w:tcPr>
            <w:tcW w:w="1596"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14030.77万元</w:t>
            </w:r>
          </w:p>
        </w:tc>
        <w:tc>
          <w:tcPr>
            <w:tcW w:w="1619"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14030.77万元</w:t>
            </w:r>
          </w:p>
        </w:tc>
        <w:tc>
          <w:tcPr>
            <w:tcW w:w="1944"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15" w:hRule="atLeast"/>
        </w:trPr>
        <w:tc>
          <w:tcPr>
            <w:tcW w:w="890"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年度总体目标</w:t>
            </w:r>
          </w:p>
        </w:tc>
        <w:tc>
          <w:tcPr>
            <w:tcW w:w="3859" w:type="dxa"/>
            <w:gridSpan w:val="5"/>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年初设定目标</w:t>
            </w:r>
          </w:p>
        </w:tc>
        <w:tc>
          <w:tcPr>
            <w:tcW w:w="4197" w:type="dxa"/>
            <w:gridSpan w:val="6"/>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全年完成情况</w:t>
            </w:r>
          </w:p>
        </w:tc>
      </w:tr>
      <w:tr>
        <w:tblPrEx>
          <w:tblCellMar>
            <w:top w:w="0" w:type="dxa"/>
            <w:left w:w="108" w:type="dxa"/>
            <w:bottom w:w="0" w:type="dxa"/>
            <w:right w:w="108" w:type="dxa"/>
          </w:tblCellMar>
        </w:tblPrEx>
        <w:trPr>
          <w:trHeight w:val="5585" w:hRule="atLeast"/>
        </w:trPr>
        <w:tc>
          <w:tcPr>
            <w:tcW w:w="890"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3859" w:type="dxa"/>
            <w:gridSpan w:val="5"/>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color w:val="000000"/>
                <w:sz w:val="18"/>
                <w:szCs w:val="18"/>
                <w:lang w:eastAsia="zh-CN"/>
              </w:rPr>
              <w:t>（</w:t>
            </w:r>
            <w:r>
              <w:rPr>
                <w:rFonts w:hint="eastAsia" w:ascii="宋体"/>
                <w:color w:val="000000"/>
                <w:sz w:val="18"/>
                <w:szCs w:val="18"/>
                <w:lang w:val="en-US" w:eastAsia="zh-CN"/>
              </w:rPr>
              <w:t>1</w:t>
            </w:r>
            <w:r>
              <w:rPr>
                <w:rFonts w:hint="eastAsia" w:ascii="宋体"/>
                <w:color w:val="000000"/>
                <w:sz w:val="18"/>
                <w:szCs w:val="18"/>
                <w:lang w:eastAsia="zh-CN"/>
              </w:rPr>
              <w:t>）</w:t>
            </w:r>
            <w:r>
              <w:rPr>
                <w:rFonts w:ascii="宋体"/>
                <w:kern w:val="0"/>
                <w:sz w:val="18"/>
                <w:szCs w:val="18"/>
              </w:rPr>
              <w:t>开展县级地形图采集更新、建库工作，数据成果必须满足国家相关规范的要求，完成地形图成果的汇总。</w:t>
            </w:r>
            <w:r>
              <w:rPr>
                <w:rFonts w:hint="eastAsia" w:ascii="宋体"/>
                <w:kern w:val="0"/>
                <w:sz w:val="18"/>
                <w:szCs w:val="18"/>
                <w:lang w:eastAsia="zh-CN"/>
              </w:rPr>
              <w:t>（</w:t>
            </w:r>
            <w:r>
              <w:rPr>
                <w:rFonts w:hint="eastAsia" w:ascii="宋体"/>
                <w:kern w:val="0"/>
                <w:sz w:val="18"/>
                <w:szCs w:val="18"/>
                <w:lang w:val="en-US" w:eastAsia="zh-CN"/>
              </w:rPr>
              <w:t>2</w:t>
            </w:r>
            <w:r>
              <w:rPr>
                <w:rFonts w:hint="eastAsia" w:ascii="宋体"/>
                <w:kern w:val="0"/>
                <w:sz w:val="18"/>
                <w:szCs w:val="18"/>
                <w:lang w:eastAsia="zh-CN"/>
              </w:rPr>
              <w:t>）</w:t>
            </w:r>
            <w:r>
              <w:rPr>
                <w:rFonts w:hint="eastAsia" w:ascii="宋体"/>
                <w:kern w:val="0"/>
                <w:sz w:val="18"/>
                <w:szCs w:val="18"/>
              </w:rPr>
              <w:t>根据信息系统的划分情况、信息系统定级情况、信息系统承载业务情况和安全需求等，设计合理得、满足等级保护要求的总体安全方案，并制定出安全实施规划</w:t>
            </w:r>
            <w:r>
              <w:rPr>
                <w:rFonts w:hint="eastAsia" w:ascii="宋体"/>
                <w:kern w:val="0"/>
                <w:sz w:val="18"/>
                <w:szCs w:val="18"/>
                <w:lang w:eastAsia="zh-CN"/>
              </w:rPr>
              <w:t>。（</w:t>
            </w:r>
            <w:r>
              <w:rPr>
                <w:rFonts w:hint="eastAsia" w:ascii="宋体"/>
                <w:kern w:val="0"/>
                <w:sz w:val="18"/>
                <w:szCs w:val="18"/>
                <w:lang w:val="en-US" w:eastAsia="zh-CN"/>
              </w:rPr>
              <w:t>3</w:t>
            </w:r>
            <w:r>
              <w:rPr>
                <w:rFonts w:hint="eastAsia" w:ascii="宋体"/>
                <w:kern w:val="0"/>
                <w:sz w:val="18"/>
                <w:szCs w:val="18"/>
                <w:lang w:eastAsia="zh-CN"/>
              </w:rPr>
              <w:t>）</w:t>
            </w:r>
            <w:r>
              <w:rPr>
                <w:rFonts w:hint="eastAsia" w:ascii="宋体"/>
                <w:kern w:val="0"/>
                <w:sz w:val="18"/>
                <w:szCs w:val="18"/>
              </w:rPr>
              <w:t>就城区交通乱、停车难、养老、商业布局、环卫、医疗、文体、给水、排水、电力、人防设施建设给出规划建议；综合协调建设选址中的各种矛盾，论证地块调规的必要性和可行性，提出调规方案，绘制调整后地块控制图则。</w:t>
            </w:r>
            <w:r>
              <w:rPr>
                <w:rFonts w:hint="eastAsia" w:ascii="宋体"/>
                <w:kern w:val="0"/>
                <w:sz w:val="18"/>
                <w:szCs w:val="18"/>
                <w:lang w:eastAsia="zh-CN"/>
              </w:rPr>
              <w:t>（</w:t>
            </w:r>
            <w:r>
              <w:rPr>
                <w:rFonts w:hint="eastAsia" w:ascii="宋体"/>
                <w:kern w:val="0"/>
                <w:sz w:val="18"/>
                <w:szCs w:val="18"/>
                <w:lang w:val="en-US" w:eastAsia="zh-CN"/>
              </w:rPr>
              <w:t>4</w:t>
            </w:r>
            <w:r>
              <w:rPr>
                <w:rFonts w:hint="eastAsia" w:ascii="宋体"/>
                <w:kern w:val="0"/>
                <w:sz w:val="18"/>
                <w:szCs w:val="18"/>
                <w:lang w:eastAsia="zh-CN"/>
              </w:rPr>
              <w:t>）</w:t>
            </w:r>
            <w:r>
              <w:rPr>
                <w:rFonts w:ascii="宋体"/>
                <w:kern w:val="0"/>
                <w:sz w:val="18"/>
                <w:szCs w:val="18"/>
              </w:rPr>
              <w:t>按照《江西省村庄规划评估工作方案》要求认真组织开展相关评估工作，及时提交评估报告，为有序开展“多规合一”村庄规划编制奠定工作基础，提供决策依据。</w:t>
            </w:r>
            <w:r>
              <w:rPr>
                <w:rFonts w:hint="eastAsia" w:ascii="宋体"/>
                <w:kern w:val="0"/>
                <w:sz w:val="18"/>
                <w:szCs w:val="18"/>
                <w:lang w:eastAsia="zh-CN"/>
              </w:rPr>
              <w:t>（</w:t>
            </w:r>
            <w:r>
              <w:rPr>
                <w:rFonts w:hint="eastAsia" w:ascii="宋体"/>
                <w:kern w:val="0"/>
                <w:sz w:val="18"/>
                <w:szCs w:val="18"/>
                <w:lang w:val="en-US" w:eastAsia="zh-CN"/>
              </w:rPr>
              <w:t>5</w:t>
            </w:r>
            <w:r>
              <w:rPr>
                <w:rFonts w:hint="eastAsia" w:ascii="宋体"/>
                <w:kern w:val="0"/>
                <w:sz w:val="18"/>
                <w:szCs w:val="18"/>
                <w:lang w:eastAsia="zh-CN"/>
              </w:rPr>
              <w:t>）</w:t>
            </w:r>
            <w:r>
              <w:rPr>
                <w:rFonts w:hint="eastAsia" w:ascii="宋体"/>
                <w:kern w:val="0"/>
                <w:sz w:val="18"/>
                <w:szCs w:val="18"/>
              </w:rPr>
              <w:t>以第三次全国国土调查和2020年度国土变更调查成果为基础，以其他草地、盐碱地、沙地、裸土地以及标注“工程恢复”属性的种植园用地、林地、坑塘水面为评价对象，从生态、气候、土壤、区位等方面，构建耕地后备资源分类评价指标体系。</w:t>
            </w:r>
            <w:r>
              <w:rPr>
                <w:rFonts w:hint="eastAsia" w:ascii="宋体"/>
                <w:kern w:val="0"/>
                <w:sz w:val="18"/>
                <w:szCs w:val="18"/>
                <w:lang w:eastAsia="zh-CN"/>
              </w:rPr>
              <w:t>（</w:t>
            </w:r>
            <w:r>
              <w:rPr>
                <w:rFonts w:hint="eastAsia" w:ascii="宋体"/>
                <w:kern w:val="0"/>
                <w:sz w:val="18"/>
                <w:szCs w:val="18"/>
                <w:lang w:val="en-US" w:eastAsia="zh-CN"/>
              </w:rPr>
              <w:t>6</w:t>
            </w:r>
            <w:r>
              <w:rPr>
                <w:rFonts w:hint="eastAsia" w:ascii="宋体"/>
                <w:kern w:val="0"/>
                <w:sz w:val="18"/>
                <w:szCs w:val="18"/>
                <w:lang w:eastAsia="zh-CN"/>
              </w:rPr>
              <w:t>）</w:t>
            </w:r>
            <w:r>
              <w:rPr>
                <w:rFonts w:ascii="宋体"/>
                <w:kern w:val="0"/>
                <w:sz w:val="18"/>
                <w:szCs w:val="18"/>
              </w:rPr>
              <w:t>城区交通乱、停车难、养老、商业布局、环卫、医疗、文体、给水、排水、电力、人防设施建设给出规划建议；综合协调建设选址中的各种矛盾，论证地块调规的必要性和可行性，提出调规方案，绘制调整后地块控制图则</w:t>
            </w:r>
            <w:r>
              <w:rPr>
                <w:rFonts w:hint="eastAsia" w:ascii="宋体"/>
                <w:kern w:val="0"/>
                <w:sz w:val="18"/>
                <w:szCs w:val="18"/>
                <w:lang w:eastAsia="zh-CN"/>
              </w:rPr>
              <w:t>。（</w:t>
            </w:r>
            <w:r>
              <w:rPr>
                <w:rFonts w:hint="eastAsia" w:ascii="宋体"/>
                <w:kern w:val="0"/>
                <w:sz w:val="18"/>
                <w:szCs w:val="18"/>
                <w:lang w:val="en-US" w:eastAsia="zh-CN"/>
              </w:rPr>
              <w:t>7</w:t>
            </w:r>
            <w:r>
              <w:rPr>
                <w:rFonts w:hint="eastAsia" w:ascii="宋体"/>
                <w:kern w:val="0"/>
                <w:sz w:val="18"/>
                <w:szCs w:val="18"/>
                <w:lang w:eastAsia="zh-CN"/>
              </w:rPr>
              <w:t>）</w:t>
            </w:r>
            <w:r>
              <w:rPr>
                <w:rFonts w:ascii="宋体"/>
                <w:kern w:val="0"/>
                <w:sz w:val="18"/>
                <w:szCs w:val="18"/>
              </w:rPr>
              <w:t>完善国土空间数据资源体系；建立国土空间基础信息平台；编制湘湖镇前程村、江村乡江村村、沽演村、严台村、诰峰村和蛟潭镇礼芳村六个行政村村庄规划。</w:t>
            </w:r>
            <w:r>
              <w:rPr>
                <w:rFonts w:hint="eastAsia" w:ascii="宋体"/>
                <w:kern w:val="0"/>
                <w:sz w:val="18"/>
                <w:szCs w:val="18"/>
                <w:lang w:eastAsia="zh-CN"/>
              </w:rPr>
              <w:t>（</w:t>
            </w:r>
            <w:r>
              <w:rPr>
                <w:rFonts w:hint="eastAsia" w:ascii="宋体"/>
                <w:kern w:val="0"/>
                <w:sz w:val="18"/>
                <w:szCs w:val="18"/>
                <w:lang w:val="en-US" w:eastAsia="zh-CN"/>
              </w:rPr>
              <w:t>8</w:t>
            </w:r>
            <w:r>
              <w:rPr>
                <w:rFonts w:hint="eastAsia" w:ascii="宋体"/>
                <w:kern w:val="0"/>
                <w:sz w:val="18"/>
                <w:szCs w:val="18"/>
                <w:lang w:eastAsia="zh-CN"/>
              </w:rPr>
              <w:t>）</w:t>
            </w:r>
            <w:r>
              <w:rPr>
                <w:rFonts w:hint="eastAsia" w:ascii="宋体"/>
                <w:kern w:val="0"/>
                <w:sz w:val="18"/>
                <w:szCs w:val="18"/>
              </w:rPr>
              <w:t>对于</w:t>
            </w:r>
            <w:r>
              <w:rPr>
                <w:rFonts w:hint="eastAsia" w:ascii="宋体"/>
                <w:kern w:val="0"/>
                <w:sz w:val="18"/>
                <w:szCs w:val="18"/>
                <w:lang w:val="en-US" w:eastAsia="zh-CN"/>
              </w:rPr>
              <w:t>景瑶公路、S207(锦里-曲阿里)、S207（蛟潭-浮梁）三条公路、浮梁通用机场项目、原三大公路西北侧储备地等征地资金</w:t>
            </w:r>
            <w:r>
              <w:rPr>
                <w:rFonts w:hint="eastAsia" w:ascii="宋体"/>
                <w:kern w:val="0"/>
                <w:sz w:val="18"/>
                <w:szCs w:val="18"/>
              </w:rPr>
              <w:t>做到专款专项，在规定时间内做到土地及时征收到位。</w:t>
            </w:r>
          </w:p>
        </w:tc>
        <w:tc>
          <w:tcPr>
            <w:tcW w:w="4197" w:type="dxa"/>
            <w:gridSpan w:val="6"/>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color w:val="000000"/>
                <w:sz w:val="18"/>
                <w:szCs w:val="18"/>
                <w:lang w:eastAsia="zh-CN"/>
              </w:rPr>
              <w:t>（</w:t>
            </w:r>
            <w:r>
              <w:rPr>
                <w:rFonts w:hint="eastAsia" w:ascii="宋体"/>
                <w:color w:val="000000"/>
                <w:sz w:val="18"/>
                <w:szCs w:val="18"/>
                <w:lang w:val="en-US" w:eastAsia="zh-CN"/>
              </w:rPr>
              <w:t>1</w:t>
            </w:r>
            <w:r>
              <w:rPr>
                <w:rFonts w:hint="eastAsia" w:ascii="宋体"/>
                <w:color w:val="000000"/>
                <w:sz w:val="18"/>
                <w:szCs w:val="18"/>
                <w:lang w:eastAsia="zh-CN"/>
              </w:rPr>
              <w:t>）</w:t>
            </w:r>
            <w:r>
              <w:rPr>
                <w:rFonts w:ascii="宋体"/>
                <w:kern w:val="0"/>
                <w:sz w:val="18"/>
                <w:szCs w:val="18"/>
              </w:rPr>
              <w:t>开展县级地形图采集更新、建库工作，数据成果必须满足国家相关规范的要求，完成地形图成果的汇总。</w:t>
            </w:r>
            <w:r>
              <w:rPr>
                <w:rFonts w:hint="eastAsia" w:ascii="宋体"/>
                <w:kern w:val="0"/>
                <w:sz w:val="18"/>
                <w:szCs w:val="18"/>
                <w:lang w:eastAsia="zh-CN"/>
              </w:rPr>
              <w:t>（</w:t>
            </w:r>
            <w:r>
              <w:rPr>
                <w:rFonts w:hint="eastAsia" w:ascii="宋体"/>
                <w:kern w:val="0"/>
                <w:sz w:val="18"/>
                <w:szCs w:val="18"/>
                <w:lang w:val="en-US" w:eastAsia="zh-CN"/>
              </w:rPr>
              <w:t>2</w:t>
            </w:r>
            <w:r>
              <w:rPr>
                <w:rFonts w:hint="eastAsia" w:ascii="宋体"/>
                <w:kern w:val="0"/>
                <w:sz w:val="18"/>
                <w:szCs w:val="18"/>
                <w:lang w:eastAsia="zh-CN"/>
              </w:rPr>
              <w:t>）</w:t>
            </w:r>
            <w:r>
              <w:rPr>
                <w:rFonts w:hint="eastAsia" w:ascii="宋体"/>
                <w:kern w:val="0"/>
                <w:sz w:val="18"/>
                <w:szCs w:val="18"/>
              </w:rPr>
              <w:t>根据信息系统的划分情况、信息系统定级情况、信息系统承载业务情况和安全需求等，设计合理得、满足等级保护要求的总体安全方案，并制定出安全实施规划</w:t>
            </w:r>
            <w:r>
              <w:rPr>
                <w:rFonts w:hint="eastAsia" w:ascii="宋体"/>
                <w:kern w:val="0"/>
                <w:sz w:val="18"/>
                <w:szCs w:val="18"/>
                <w:lang w:eastAsia="zh-CN"/>
              </w:rPr>
              <w:t>。（</w:t>
            </w:r>
            <w:r>
              <w:rPr>
                <w:rFonts w:hint="eastAsia" w:ascii="宋体"/>
                <w:kern w:val="0"/>
                <w:sz w:val="18"/>
                <w:szCs w:val="18"/>
                <w:lang w:val="en-US" w:eastAsia="zh-CN"/>
              </w:rPr>
              <w:t>3</w:t>
            </w:r>
            <w:r>
              <w:rPr>
                <w:rFonts w:hint="eastAsia" w:ascii="宋体"/>
                <w:kern w:val="0"/>
                <w:sz w:val="18"/>
                <w:szCs w:val="18"/>
                <w:lang w:eastAsia="zh-CN"/>
              </w:rPr>
              <w:t>）</w:t>
            </w:r>
            <w:r>
              <w:rPr>
                <w:rFonts w:hint="eastAsia" w:ascii="宋体"/>
                <w:kern w:val="0"/>
                <w:sz w:val="18"/>
                <w:szCs w:val="18"/>
              </w:rPr>
              <w:t>就城区交通乱、停车难、养老、商业布局、环卫、医疗、文体、给水、排水、电力、人防设施建设给出规划建议；综合协调建设选址中的各种矛盾，论证地块调规的必要性和可行性，提出调规方案，绘制调整后地块控制图则。</w:t>
            </w:r>
            <w:r>
              <w:rPr>
                <w:rFonts w:hint="eastAsia" w:ascii="宋体"/>
                <w:kern w:val="0"/>
                <w:sz w:val="18"/>
                <w:szCs w:val="18"/>
                <w:lang w:eastAsia="zh-CN"/>
              </w:rPr>
              <w:t>（</w:t>
            </w:r>
            <w:r>
              <w:rPr>
                <w:rFonts w:hint="eastAsia" w:ascii="宋体"/>
                <w:kern w:val="0"/>
                <w:sz w:val="18"/>
                <w:szCs w:val="18"/>
                <w:lang w:val="en-US" w:eastAsia="zh-CN"/>
              </w:rPr>
              <w:t>4</w:t>
            </w:r>
            <w:r>
              <w:rPr>
                <w:rFonts w:hint="eastAsia" w:ascii="宋体"/>
                <w:kern w:val="0"/>
                <w:sz w:val="18"/>
                <w:szCs w:val="18"/>
                <w:lang w:eastAsia="zh-CN"/>
              </w:rPr>
              <w:t>）</w:t>
            </w:r>
            <w:r>
              <w:rPr>
                <w:rFonts w:ascii="宋体"/>
                <w:kern w:val="0"/>
                <w:sz w:val="18"/>
                <w:szCs w:val="18"/>
              </w:rPr>
              <w:t>按照《江西省村庄规划评估工作方案》要求认真组织开展相关评估工作，及时提交评估报告，为有序开展“多规合一”村庄规划编制奠定工作基础，提供决策依据。</w:t>
            </w:r>
            <w:r>
              <w:rPr>
                <w:rFonts w:hint="eastAsia" w:ascii="宋体"/>
                <w:kern w:val="0"/>
                <w:sz w:val="18"/>
                <w:szCs w:val="18"/>
                <w:lang w:eastAsia="zh-CN"/>
              </w:rPr>
              <w:t>（</w:t>
            </w:r>
            <w:r>
              <w:rPr>
                <w:rFonts w:hint="eastAsia" w:ascii="宋体"/>
                <w:kern w:val="0"/>
                <w:sz w:val="18"/>
                <w:szCs w:val="18"/>
                <w:lang w:val="en-US" w:eastAsia="zh-CN"/>
              </w:rPr>
              <w:t>5</w:t>
            </w:r>
            <w:r>
              <w:rPr>
                <w:rFonts w:hint="eastAsia" w:ascii="宋体"/>
                <w:kern w:val="0"/>
                <w:sz w:val="18"/>
                <w:szCs w:val="18"/>
                <w:lang w:eastAsia="zh-CN"/>
              </w:rPr>
              <w:t>）</w:t>
            </w:r>
            <w:r>
              <w:rPr>
                <w:rFonts w:hint="eastAsia" w:ascii="宋体"/>
                <w:kern w:val="0"/>
                <w:sz w:val="18"/>
                <w:szCs w:val="18"/>
              </w:rPr>
              <w:t>以第三次全国国土调查和2020年度国土变更调查成果为基础，以其他草地、盐碱地、沙地、裸土地以及标注“工程恢复”属性的种植园用地、林地、坑塘水面为评价对象，从生态、气候、土壤、区位等方面，构建耕地后备资源分类评价指标体系。</w:t>
            </w:r>
            <w:r>
              <w:rPr>
                <w:rFonts w:hint="eastAsia" w:ascii="宋体"/>
                <w:kern w:val="0"/>
                <w:sz w:val="18"/>
                <w:szCs w:val="18"/>
                <w:lang w:eastAsia="zh-CN"/>
              </w:rPr>
              <w:t>（</w:t>
            </w:r>
            <w:r>
              <w:rPr>
                <w:rFonts w:hint="eastAsia" w:ascii="宋体"/>
                <w:kern w:val="0"/>
                <w:sz w:val="18"/>
                <w:szCs w:val="18"/>
                <w:lang w:val="en-US" w:eastAsia="zh-CN"/>
              </w:rPr>
              <w:t>6</w:t>
            </w:r>
            <w:r>
              <w:rPr>
                <w:rFonts w:hint="eastAsia" w:ascii="宋体"/>
                <w:kern w:val="0"/>
                <w:sz w:val="18"/>
                <w:szCs w:val="18"/>
                <w:lang w:eastAsia="zh-CN"/>
              </w:rPr>
              <w:t>）</w:t>
            </w:r>
            <w:r>
              <w:rPr>
                <w:rFonts w:ascii="宋体"/>
                <w:kern w:val="0"/>
                <w:sz w:val="18"/>
                <w:szCs w:val="18"/>
              </w:rPr>
              <w:t>城区交通乱、停车难、养老、商业布局、环卫、医疗、文体、给水、排水、电力、人防设施建设给出规划建议；综合协调建设选址中的各种矛盾，论证地块调规的必要性和可行性，提出调规方案，绘制调整后地块控制图则</w:t>
            </w:r>
            <w:r>
              <w:rPr>
                <w:rFonts w:hint="eastAsia" w:ascii="宋体"/>
                <w:kern w:val="0"/>
                <w:sz w:val="18"/>
                <w:szCs w:val="18"/>
                <w:lang w:eastAsia="zh-CN"/>
              </w:rPr>
              <w:t>。（</w:t>
            </w:r>
            <w:r>
              <w:rPr>
                <w:rFonts w:hint="eastAsia" w:ascii="宋体"/>
                <w:kern w:val="0"/>
                <w:sz w:val="18"/>
                <w:szCs w:val="18"/>
                <w:lang w:val="en-US" w:eastAsia="zh-CN"/>
              </w:rPr>
              <w:t>7</w:t>
            </w:r>
            <w:r>
              <w:rPr>
                <w:rFonts w:hint="eastAsia" w:ascii="宋体"/>
                <w:kern w:val="0"/>
                <w:sz w:val="18"/>
                <w:szCs w:val="18"/>
                <w:lang w:eastAsia="zh-CN"/>
              </w:rPr>
              <w:t>）</w:t>
            </w:r>
            <w:r>
              <w:rPr>
                <w:rFonts w:ascii="宋体"/>
                <w:kern w:val="0"/>
                <w:sz w:val="18"/>
                <w:szCs w:val="18"/>
              </w:rPr>
              <w:t>完善国土空间数据资源体系；建立国土空间基础信息平台；编制湘湖镇前程村、江村乡江村村、沽演村、严台村、诰峰村和蛟潭镇礼芳村六个行政村村庄规划。</w:t>
            </w:r>
            <w:r>
              <w:rPr>
                <w:rFonts w:hint="eastAsia" w:ascii="宋体"/>
                <w:kern w:val="0"/>
                <w:sz w:val="18"/>
                <w:szCs w:val="18"/>
                <w:lang w:eastAsia="zh-CN"/>
              </w:rPr>
              <w:t>（</w:t>
            </w:r>
            <w:r>
              <w:rPr>
                <w:rFonts w:hint="eastAsia" w:ascii="宋体"/>
                <w:kern w:val="0"/>
                <w:sz w:val="18"/>
                <w:szCs w:val="18"/>
                <w:lang w:val="en-US" w:eastAsia="zh-CN"/>
              </w:rPr>
              <w:t>8</w:t>
            </w:r>
            <w:r>
              <w:rPr>
                <w:rFonts w:hint="eastAsia" w:ascii="宋体"/>
                <w:kern w:val="0"/>
                <w:sz w:val="18"/>
                <w:szCs w:val="18"/>
                <w:lang w:eastAsia="zh-CN"/>
              </w:rPr>
              <w:t>）</w:t>
            </w:r>
            <w:r>
              <w:rPr>
                <w:rFonts w:hint="eastAsia" w:ascii="宋体"/>
                <w:kern w:val="0"/>
                <w:sz w:val="18"/>
                <w:szCs w:val="18"/>
              </w:rPr>
              <w:t>对于</w:t>
            </w:r>
            <w:r>
              <w:rPr>
                <w:rFonts w:hint="eastAsia" w:ascii="宋体"/>
                <w:kern w:val="0"/>
                <w:sz w:val="18"/>
                <w:szCs w:val="18"/>
                <w:lang w:val="en-US" w:eastAsia="zh-CN"/>
              </w:rPr>
              <w:t>景瑶公路、S207(锦里-曲阿里)、S207（蛟潭-浮梁）三条公路、浮梁通用机场项目、原三大公路西北侧储备地等征地资金</w:t>
            </w:r>
            <w:r>
              <w:rPr>
                <w:rFonts w:hint="eastAsia" w:ascii="宋体"/>
                <w:kern w:val="0"/>
                <w:sz w:val="18"/>
                <w:szCs w:val="18"/>
              </w:rPr>
              <w:t>做到专款专项，在规定时间内做到土地及时征收到位。</w:t>
            </w:r>
          </w:p>
        </w:tc>
      </w:tr>
      <w:tr>
        <w:tblPrEx>
          <w:tblCellMar>
            <w:top w:w="0" w:type="dxa"/>
            <w:left w:w="108" w:type="dxa"/>
            <w:bottom w:w="0" w:type="dxa"/>
            <w:right w:w="108" w:type="dxa"/>
          </w:tblCellMar>
        </w:tblPrEx>
        <w:trPr>
          <w:trHeight w:val="228" w:hRule="atLeast"/>
        </w:trPr>
        <w:tc>
          <w:tcPr>
            <w:tcW w:w="8946" w:type="dxa"/>
            <w:gridSpan w:val="13"/>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分解目标自评</w:t>
            </w:r>
          </w:p>
        </w:tc>
      </w:tr>
      <w:tr>
        <w:tblPrEx>
          <w:tblCellMar>
            <w:top w:w="0" w:type="dxa"/>
            <w:left w:w="108" w:type="dxa"/>
            <w:bottom w:w="0" w:type="dxa"/>
            <w:right w:w="108" w:type="dxa"/>
          </w:tblCellMar>
        </w:tblPrEx>
        <w:trPr>
          <w:trHeight w:val="240" w:hRule="atLeast"/>
        </w:trPr>
        <w:tc>
          <w:tcPr>
            <w:tcW w:w="637"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一级指标</w:t>
            </w:r>
          </w:p>
        </w:tc>
        <w:tc>
          <w:tcPr>
            <w:tcW w:w="530"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权重</w:t>
            </w:r>
          </w:p>
        </w:tc>
        <w:tc>
          <w:tcPr>
            <w:tcW w:w="1615"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二级指标</w:t>
            </w:r>
          </w:p>
        </w:tc>
        <w:tc>
          <w:tcPr>
            <w:tcW w:w="1967"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三级指标</w:t>
            </w:r>
          </w:p>
        </w:tc>
        <w:tc>
          <w:tcPr>
            <w:tcW w:w="808"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年度指标值</w:t>
            </w:r>
          </w:p>
        </w:tc>
        <w:tc>
          <w:tcPr>
            <w:tcW w:w="754"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全年完成值</w:t>
            </w:r>
          </w:p>
        </w:tc>
        <w:tc>
          <w:tcPr>
            <w:tcW w:w="691"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分值</w:t>
            </w:r>
          </w:p>
        </w:tc>
        <w:tc>
          <w:tcPr>
            <w:tcW w:w="616"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得分</w:t>
            </w:r>
          </w:p>
        </w:tc>
        <w:tc>
          <w:tcPr>
            <w:tcW w:w="1328"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偏差及原因分析</w:t>
            </w:r>
          </w:p>
        </w:tc>
      </w:tr>
      <w:tr>
        <w:tblPrEx>
          <w:tblCellMar>
            <w:top w:w="0" w:type="dxa"/>
            <w:left w:w="108" w:type="dxa"/>
            <w:bottom w:w="0" w:type="dxa"/>
            <w:right w:w="108" w:type="dxa"/>
          </w:tblCellMar>
        </w:tblPrEx>
        <w:trPr>
          <w:trHeight w:val="240"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rPr>
                <w:rFonts w:ascii="宋体"/>
                <w:sz w:val="18"/>
                <w:szCs w:val="18"/>
              </w:rPr>
            </w:pPr>
          </w:p>
        </w:tc>
        <w:tc>
          <w:tcPr>
            <w:tcW w:w="530" w:type="dxa"/>
            <w:gridSpan w:val="2"/>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rPr>
                <w:rFonts w:ascii="宋体"/>
                <w:sz w:val="18"/>
                <w:szCs w:val="18"/>
              </w:rPr>
            </w:pPr>
          </w:p>
        </w:tc>
        <w:tc>
          <w:tcPr>
            <w:tcW w:w="1615" w:type="dxa"/>
            <w:gridSpan w:val="2"/>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rPr>
                <w:rFonts w:ascii="宋体"/>
                <w:sz w:val="18"/>
                <w:szCs w:val="18"/>
              </w:rPr>
            </w:pPr>
          </w:p>
        </w:tc>
        <w:tc>
          <w:tcPr>
            <w:tcW w:w="1967" w:type="dxa"/>
            <w:gridSpan w:val="2"/>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rPr>
                <w:rFonts w:ascii="宋体"/>
                <w:sz w:val="18"/>
                <w:szCs w:val="18"/>
              </w:rPr>
            </w:pPr>
          </w:p>
        </w:tc>
        <w:tc>
          <w:tcPr>
            <w:tcW w:w="808" w:type="dxa"/>
            <w:gridSpan w:val="2"/>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rPr>
                <w:rFonts w:ascii="宋体"/>
                <w:sz w:val="18"/>
                <w:szCs w:val="18"/>
              </w:rPr>
            </w:pPr>
          </w:p>
        </w:tc>
        <w:tc>
          <w:tcPr>
            <w:tcW w:w="754"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rPr>
                <w:rFonts w:ascii="宋体"/>
                <w:sz w:val="18"/>
                <w:szCs w:val="18"/>
              </w:rPr>
            </w:pPr>
          </w:p>
        </w:tc>
        <w:tc>
          <w:tcPr>
            <w:tcW w:w="691"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rPr>
                <w:rFonts w:ascii="宋体"/>
                <w:sz w:val="18"/>
                <w:szCs w:val="18"/>
              </w:rPr>
            </w:pPr>
          </w:p>
        </w:tc>
        <w:tc>
          <w:tcPr>
            <w:tcW w:w="616"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rPr>
                <w:rFonts w:ascii="宋体"/>
                <w:sz w:val="18"/>
                <w:szCs w:val="18"/>
              </w:rPr>
            </w:pPr>
          </w:p>
        </w:tc>
        <w:tc>
          <w:tcPr>
            <w:tcW w:w="1328"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rPr>
                <w:rFonts w:ascii="宋体"/>
                <w:sz w:val="18"/>
                <w:szCs w:val="18"/>
              </w:rPr>
            </w:pPr>
          </w:p>
        </w:tc>
      </w:tr>
    </w:tbl>
    <w:p/>
    <w:tbl>
      <w:tblPr>
        <w:tblStyle w:val="5"/>
        <w:tblW w:w="8946" w:type="dxa"/>
        <w:tblInd w:w="-106" w:type="dxa"/>
        <w:tblLayout w:type="fixed"/>
        <w:tblCellMar>
          <w:top w:w="0" w:type="dxa"/>
          <w:left w:w="108" w:type="dxa"/>
          <w:bottom w:w="0" w:type="dxa"/>
          <w:right w:w="108" w:type="dxa"/>
        </w:tblCellMar>
      </w:tblPr>
      <w:tblGrid>
        <w:gridCol w:w="637"/>
        <w:gridCol w:w="530"/>
        <w:gridCol w:w="1615"/>
        <w:gridCol w:w="1890"/>
        <w:gridCol w:w="906"/>
        <w:gridCol w:w="855"/>
        <w:gridCol w:w="569"/>
        <w:gridCol w:w="631"/>
        <w:gridCol w:w="1313"/>
      </w:tblGrid>
      <w:tr>
        <w:tblPrEx>
          <w:tblCellMar>
            <w:top w:w="0" w:type="dxa"/>
            <w:left w:w="108" w:type="dxa"/>
            <w:bottom w:w="0" w:type="dxa"/>
            <w:right w:w="108" w:type="dxa"/>
          </w:tblCellMar>
        </w:tblPrEx>
        <w:trPr>
          <w:trHeight w:val="545" w:hRule="atLeast"/>
        </w:trPr>
        <w:tc>
          <w:tcPr>
            <w:tcW w:w="637"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管理指标</w:t>
            </w:r>
          </w:p>
        </w:tc>
        <w:tc>
          <w:tcPr>
            <w:tcW w:w="530"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ascii="宋体" w:hAnsi="宋体" w:cs="宋体"/>
                <w:color w:val="000000"/>
                <w:sz w:val="18"/>
                <w:szCs w:val="18"/>
              </w:rPr>
              <w:t>30</w:t>
            </w:r>
          </w:p>
        </w:tc>
        <w:tc>
          <w:tcPr>
            <w:tcW w:w="1615"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预算编审管理</w:t>
            </w:r>
          </w:p>
        </w:tc>
        <w:tc>
          <w:tcPr>
            <w:tcW w:w="1890"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eastAsia="zh-CN"/>
              </w:rPr>
            </w:pPr>
            <w:r>
              <w:rPr>
                <w:rFonts w:hint="eastAsia" w:ascii="宋体"/>
                <w:color w:val="000000"/>
                <w:sz w:val="18"/>
                <w:szCs w:val="18"/>
                <w:lang w:eastAsia="zh-CN"/>
              </w:rPr>
              <w:t>预算编制完整率</w:t>
            </w:r>
          </w:p>
        </w:tc>
        <w:tc>
          <w:tcPr>
            <w:tcW w:w="906"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eastAsia="宋体" w:cs="宋体"/>
                <w:color w:val="000000"/>
                <w:sz w:val="18"/>
                <w:szCs w:val="18"/>
                <w:lang w:eastAsia="zh-CN"/>
              </w:rPr>
            </w:pPr>
            <w:r>
              <w:rPr>
                <w:rFonts w:hint="eastAsia" w:ascii="宋体" w:hAnsi="宋体" w:cs="宋体"/>
                <w:kern w:val="0"/>
                <w:sz w:val="18"/>
                <w:szCs w:val="18"/>
              </w:rPr>
              <w:t>≧95%</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 xml:space="preserve">  95%</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360"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eastAsia="zh-CN"/>
              </w:rPr>
            </w:pPr>
            <w:r>
              <w:rPr>
                <w:rFonts w:hint="eastAsia" w:ascii="宋体"/>
                <w:sz w:val="18"/>
                <w:szCs w:val="18"/>
                <w:lang w:eastAsia="zh-CN"/>
              </w:rPr>
              <w:t>预算绩效目标编制合理率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val="en-US" w:eastAsia="zh-CN"/>
              </w:rPr>
            </w:pPr>
            <w:r>
              <w:rPr>
                <w:rFonts w:hint="eastAsia" w:ascii="宋体"/>
                <w:sz w:val="18"/>
                <w:szCs w:val="18"/>
                <w:lang w:val="en-US" w:eastAsia="zh-CN"/>
              </w:rPr>
              <w:t xml:space="preserve"> </w:t>
            </w:r>
            <w:r>
              <w:rPr>
                <w:rFonts w:hint="eastAsia" w:ascii="宋体" w:hAnsi="宋体" w:cs="宋体"/>
                <w:kern w:val="0"/>
                <w:sz w:val="18"/>
                <w:szCs w:val="18"/>
              </w:rPr>
              <w:t>≧95%</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 xml:space="preserve">  95%</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360"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预算执行管理</w:t>
            </w: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eastAsia="zh-CN"/>
              </w:rPr>
            </w:pPr>
            <w:r>
              <w:rPr>
                <w:rFonts w:hint="eastAsia" w:ascii="宋体"/>
                <w:sz w:val="18"/>
                <w:szCs w:val="18"/>
                <w:lang w:eastAsia="zh-CN"/>
              </w:rPr>
              <w:t>支付进度率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val="en-US" w:eastAsia="zh-CN"/>
              </w:rPr>
            </w:pPr>
            <w:r>
              <w:rPr>
                <w:rFonts w:hint="eastAsia" w:ascii="宋体"/>
                <w:sz w:val="18"/>
                <w:szCs w:val="18"/>
                <w:lang w:val="en-US" w:eastAsia="zh-CN"/>
              </w:rPr>
              <w:t xml:space="preserve"> </w:t>
            </w:r>
            <w:r>
              <w:rPr>
                <w:rFonts w:hint="eastAsia" w:ascii="宋体" w:hAnsi="宋体" w:cs="宋体"/>
                <w:kern w:val="0"/>
                <w:sz w:val="18"/>
                <w:szCs w:val="18"/>
              </w:rPr>
              <w:t>≧9</w:t>
            </w:r>
            <w:r>
              <w:rPr>
                <w:rFonts w:hint="eastAsia" w:ascii="宋体" w:hAnsi="宋体" w:cs="宋体"/>
                <w:kern w:val="0"/>
                <w:sz w:val="18"/>
                <w:szCs w:val="18"/>
                <w:lang w:val="en-US" w:eastAsia="zh-CN"/>
              </w:rPr>
              <w:t>2</w:t>
            </w:r>
            <w:r>
              <w:rPr>
                <w:rFonts w:hint="eastAsia" w:ascii="宋体" w:hAnsi="宋体" w:cs="宋体"/>
                <w:kern w:val="0"/>
                <w:sz w:val="18"/>
                <w:szCs w:val="18"/>
              </w:rPr>
              <w:t>%</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 xml:space="preserve">  92%</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360"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eastAsia="zh-CN"/>
              </w:rPr>
            </w:pPr>
            <w:r>
              <w:rPr>
                <w:rFonts w:hint="eastAsia" w:ascii="宋体"/>
                <w:sz w:val="18"/>
                <w:szCs w:val="18"/>
                <w:lang w:eastAsia="zh-CN"/>
              </w:rPr>
              <w:t>“三公经费”控制率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val="en-US" w:eastAsia="zh-CN"/>
              </w:rPr>
            </w:pPr>
            <w:r>
              <w:rPr>
                <w:rFonts w:hint="eastAsia" w:ascii="宋体"/>
                <w:sz w:val="18"/>
                <w:szCs w:val="18"/>
                <w:lang w:val="en-US" w:eastAsia="zh-CN"/>
              </w:rPr>
              <w:t xml:space="preserve"> =100%</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 xml:space="preserve">  100%</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650"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部门结转结余资金管理</w:t>
            </w: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eastAsia="zh-CN"/>
              </w:rPr>
            </w:pPr>
            <w:r>
              <w:rPr>
                <w:rFonts w:hint="eastAsia" w:ascii="宋体"/>
                <w:sz w:val="18"/>
                <w:szCs w:val="18"/>
                <w:lang w:eastAsia="zh-CN"/>
              </w:rPr>
              <w:t>结转结余率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val="en-US" w:eastAsia="zh-CN"/>
              </w:rPr>
            </w:pPr>
            <w:r>
              <w:rPr>
                <w:rFonts w:hint="eastAsia" w:ascii="宋体"/>
                <w:sz w:val="18"/>
                <w:szCs w:val="18"/>
                <w:lang w:val="en-US" w:eastAsia="zh-CN"/>
              </w:rPr>
              <w:t xml:space="preserve"> </w:t>
            </w:r>
            <w:r>
              <w:rPr>
                <w:rFonts w:hint="eastAsia" w:ascii="宋体" w:hAnsi="宋体" w:eastAsia="宋体" w:cs="宋体"/>
                <w:sz w:val="18"/>
                <w:szCs w:val="18"/>
                <w:lang w:val="en-US" w:eastAsia="zh-CN"/>
              </w:rPr>
              <w:t>≦</w:t>
            </w:r>
            <w:r>
              <w:rPr>
                <w:rFonts w:hint="eastAsia" w:ascii="宋体" w:hAnsi="宋体" w:cs="宋体"/>
                <w:sz w:val="18"/>
                <w:szCs w:val="18"/>
                <w:lang w:val="en-US" w:eastAsia="zh-CN"/>
              </w:rPr>
              <w:t>5%</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 xml:space="preserve">  56%</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eastAsia="zh-CN"/>
              </w:rPr>
            </w:pPr>
            <w:r>
              <w:rPr>
                <w:rFonts w:hint="eastAsia" w:ascii="宋体"/>
                <w:color w:val="000000"/>
                <w:sz w:val="18"/>
                <w:szCs w:val="18"/>
                <w:lang w:eastAsia="zh-CN"/>
              </w:rPr>
              <w:t>项目资金结转需进一步完善</w:t>
            </w:r>
          </w:p>
        </w:tc>
      </w:tr>
      <w:tr>
        <w:tblPrEx>
          <w:tblCellMar>
            <w:top w:w="0" w:type="dxa"/>
            <w:left w:w="108" w:type="dxa"/>
            <w:bottom w:w="0" w:type="dxa"/>
            <w:right w:w="108" w:type="dxa"/>
          </w:tblCellMar>
        </w:tblPrEx>
        <w:trPr>
          <w:trHeight w:val="690"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预决算信息公开管理</w:t>
            </w: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eastAsia="zh-CN"/>
              </w:rPr>
            </w:pPr>
            <w:r>
              <w:rPr>
                <w:rFonts w:hint="eastAsia" w:ascii="宋体"/>
                <w:sz w:val="18"/>
                <w:szCs w:val="18"/>
                <w:lang w:eastAsia="zh-CN"/>
              </w:rPr>
              <w:t>预决算信息是否按时按规定公开</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eastAsia="zh-CN"/>
              </w:rPr>
            </w:pPr>
            <w:r>
              <w:rPr>
                <w:rFonts w:hint="eastAsia" w:ascii="宋体"/>
                <w:sz w:val="18"/>
                <w:szCs w:val="18"/>
                <w:lang w:val="en-US" w:eastAsia="zh-CN"/>
              </w:rPr>
              <w:t xml:space="preserve">  </w:t>
            </w:r>
            <w:r>
              <w:rPr>
                <w:rFonts w:hint="eastAsia" w:ascii="宋体"/>
                <w:sz w:val="18"/>
                <w:szCs w:val="18"/>
                <w:lang w:eastAsia="zh-CN"/>
              </w:rPr>
              <w:t>是</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eastAsia="zh-CN"/>
              </w:rPr>
            </w:pPr>
            <w:r>
              <w:rPr>
                <w:rFonts w:hint="eastAsia" w:ascii="宋体"/>
                <w:color w:val="000000"/>
                <w:sz w:val="18"/>
                <w:szCs w:val="18"/>
                <w:lang w:val="en-US" w:eastAsia="zh-CN"/>
              </w:rPr>
              <w:t xml:space="preserve">  </w:t>
            </w:r>
            <w:r>
              <w:rPr>
                <w:rFonts w:hint="eastAsia" w:ascii="宋体"/>
                <w:color w:val="000000"/>
                <w:sz w:val="18"/>
                <w:szCs w:val="18"/>
                <w:lang w:eastAsia="zh-CN"/>
              </w:rPr>
              <w:t>是</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360"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eastAsia="zh-CN"/>
              </w:rPr>
            </w:pPr>
            <w:r>
              <w:rPr>
                <w:rFonts w:hint="eastAsia" w:ascii="宋体"/>
                <w:sz w:val="18"/>
                <w:szCs w:val="18"/>
                <w:lang w:eastAsia="zh-CN"/>
              </w:rPr>
              <w:t>基础信息是否真实、完整、准确</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eastAsia="zh-CN"/>
              </w:rPr>
            </w:pPr>
            <w:r>
              <w:rPr>
                <w:rFonts w:hint="eastAsia" w:ascii="宋体"/>
                <w:sz w:val="18"/>
                <w:szCs w:val="18"/>
                <w:lang w:eastAsia="zh-CN"/>
              </w:rPr>
              <w:t>真实、完整、准确</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eastAsia="zh-CN"/>
              </w:rPr>
            </w:pPr>
            <w:r>
              <w:rPr>
                <w:rFonts w:hint="eastAsia" w:ascii="宋体"/>
                <w:color w:val="000000"/>
                <w:sz w:val="18"/>
                <w:szCs w:val="18"/>
                <w:lang w:eastAsia="zh-CN"/>
              </w:rPr>
              <w:t>真实、比较完整、准确</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eastAsia="zh-CN"/>
              </w:rPr>
            </w:pPr>
          </w:p>
        </w:tc>
      </w:tr>
      <w:tr>
        <w:tblPrEx>
          <w:tblCellMar>
            <w:top w:w="0" w:type="dxa"/>
            <w:left w:w="108" w:type="dxa"/>
            <w:bottom w:w="0" w:type="dxa"/>
            <w:right w:w="108" w:type="dxa"/>
          </w:tblCellMar>
        </w:tblPrEx>
        <w:trPr>
          <w:trHeight w:val="360"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部门预算管理</w:t>
            </w: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eastAsia="zh-CN"/>
              </w:rPr>
            </w:pPr>
            <w:r>
              <w:rPr>
                <w:rFonts w:hint="eastAsia" w:ascii="宋体"/>
                <w:sz w:val="18"/>
                <w:szCs w:val="18"/>
                <w:lang w:eastAsia="zh-CN"/>
              </w:rPr>
              <w:t>在职人员控制率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r>
              <w:rPr>
                <w:rFonts w:hint="eastAsia" w:ascii="宋体" w:hAnsi="宋体" w:cs="宋体"/>
                <w:sz w:val="18"/>
                <w:szCs w:val="18"/>
                <w:lang w:val="en-US" w:eastAsia="zh-CN"/>
              </w:rPr>
              <w:t xml:space="preserve"> </w:t>
            </w:r>
            <w:r>
              <w:rPr>
                <w:rFonts w:hint="eastAsia" w:ascii="宋体" w:hAnsi="宋体" w:eastAsia="宋体" w:cs="宋体"/>
                <w:sz w:val="18"/>
                <w:szCs w:val="18"/>
                <w:lang w:val="en-US" w:eastAsia="zh-CN"/>
              </w:rPr>
              <w:t>≦</w:t>
            </w:r>
            <w:r>
              <w:rPr>
                <w:rFonts w:hint="eastAsia" w:ascii="宋体" w:hAnsi="宋体" w:cs="宋体"/>
                <w:sz w:val="18"/>
                <w:szCs w:val="18"/>
                <w:lang w:val="en-US" w:eastAsia="zh-CN"/>
              </w:rPr>
              <w:t>100%</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 xml:space="preserve">  84%</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360"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eastAsia="zh-CN"/>
              </w:rPr>
            </w:pPr>
            <w:r>
              <w:rPr>
                <w:rFonts w:hint="eastAsia" w:ascii="宋体"/>
                <w:sz w:val="18"/>
                <w:szCs w:val="18"/>
                <w:lang w:eastAsia="zh-CN"/>
              </w:rPr>
              <w:t>管理制度健全性</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eastAsia="zh-CN"/>
              </w:rPr>
            </w:pPr>
            <w:r>
              <w:rPr>
                <w:rFonts w:hint="eastAsia" w:ascii="宋体"/>
                <w:sz w:val="18"/>
                <w:szCs w:val="18"/>
                <w:lang w:eastAsia="zh-CN"/>
              </w:rPr>
              <w:t>合法、合规、完整</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eastAsia="zh-CN"/>
              </w:rPr>
            </w:pPr>
            <w:r>
              <w:rPr>
                <w:rFonts w:hint="eastAsia" w:ascii="宋体"/>
                <w:color w:val="000000"/>
                <w:sz w:val="18"/>
                <w:szCs w:val="18"/>
                <w:lang w:eastAsia="zh-CN"/>
              </w:rPr>
              <w:t>合法、合规、比较完整</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1.7</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eastAsia="zh-CN"/>
              </w:rPr>
            </w:pPr>
            <w:r>
              <w:rPr>
                <w:rFonts w:hint="eastAsia" w:ascii="宋体"/>
                <w:color w:val="000000"/>
                <w:sz w:val="18"/>
                <w:szCs w:val="18"/>
                <w:lang w:eastAsia="zh-CN"/>
              </w:rPr>
              <w:t>预算管理制度正在完善</w:t>
            </w:r>
          </w:p>
        </w:tc>
      </w:tr>
      <w:tr>
        <w:tblPrEx>
          <w:tblCellMar>
            <w:top w:w="0" w:type="dxa"/>
            <w:left w:w="108" w:type="dxa"/>
            <w:bottom w:w="0" w:type="dxa"/>
            <w:right w:w="108" w:type="dxa"/>
          </w:tblCellMar>
        </w:tblPrEx>
        <w:trPr>
          <w:trHeight w:val="360"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政府采购管理</w:t>
            </w: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eastAsia="zh-CN"/>
              </w:rPr>
            </w:pPr>
            <w:r>
              <w:rPr>
                <w:rFonts w:hint="eastAsia" w:ascii="宋体"/>
                <w:sz w:val="18"/>
                <w:szCs w:val="18"/>
                <w:lang w:eastAsia="zh-CN"/>
              </w:rPr>
              <w:t>政府采购执行率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r>
              <w:rPr>
                <w:rFonts w:hint="eastAsia" w:ascii="宋体" w:hAnsi="宋体" w:cs="宋体"/>
                <w:kern w:val="0"/>
                <w:sz w:val="18"/>
                <w:szCs w:val="18"/>
              </w:rPr>
              <w:t>≧95%</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100%</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360"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资产管理</w:t>
            </w: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eastAsia="zh-CN"/>
              </w:rPr>
            </w:pPr>
            <w:r>
              <w:rPr>
                <w:rFonts w:hint="eastAsia" w:ascii="宋体"/>
                <w:sz w:val="18"/>
                <w:szCs w:val="18"/>
                <w:lang w:eastAsia="zh-CN"/>
              </w:rPr>
              <w:t>管理制度健全性</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eastAsia="宋体"/>
                <w:sz w:val="18"/>
                <w:szCs w:val="18"/>
                <w:lang w:eastAsia="zh-CN"/>
              </w:rPr>
            </w:pPr>
            <w:r>
              <w:rPr>
                <w:rFonts w:hint="eastAsia" w:ascii="宋体" w:hAnsi="宋体" w:cs="宋体"/>
                <w:kern w:val="0"/>
                <w:sz w:val="18"/>
                <w:szCs w:val="18"/>
                <w:lang w:eastAsia="zh-CN"/>
              </w:rPr>
              <w:t>合法、合规、完整</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eastAsia="zh-CN"/>
              </w:rPr>
              <w:t>合法、合规、比较完整</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color w:val="000000"/>
                <w:sz w:val="18"/>
                <w:szCs w:val="18"/>
                <w:lang w:eastAsia="zh-CN"/>
              </w:rPr>
              <w:t>资产管理制度正在完善</w:t>
            </w: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530" w:type="dxa"/>
            <w:vMerge w:val="continue"/>
            <w:tcBorders>
              <w:left w:val="single" w:color="000000" w:sz="4" w:space="0"/>
              <w:right w:val="single" w:color="000000" w:sz="4" w:space="0"/>
            </w:tcBorders>
            <w:vAlign w:val="center"/>
          </w:tcPr>
          <w:p>
            <w:pPr>
              <w:autoSpaceDN w:val="0"/>
              <w:spacing w:line="240" w:lineRule="exact"/>
              <w:jc w:val="center"/>
              <w:textAlignment w:val="center"/>
              <w:rPr>
                <w:rFonts w:ascii="宋体" w:hAnsi="宋体" w:cs="宋体"/>
                <w:color w:val="000000"/>
                <w:sz w:val="18"/>
                <w:szCs w:val="18"/>
              </w:rPr>
            </w:pPr>
          </w:p>
        </w:tc>
        <w:tc>
          <w:tcPr>
            <w:tcW w:w="1615" w:type="dxa"/>
            <w:vMerge w:val="continue"/>
            <w:tcBorders>
              <w:left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资产管理安全性</w:t>
            </w:r>
          </w:p>
        </w:tc>
        <w:tc>
          <w:tcPr>
            <w:tcW w:w="906"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eastAsia="zh-CN"/>
              </w:rPr>
            </w:pPr>
            <w:r>
              <w:rPr>
                <w:rFonts w:hint="eastAsia" w:ascii="宋体"/>
                <w:color w:val="000000"/>
                <w:sz w:val="18"/>
                <w:szCs w:val="18"/>
                <w:lang w:eastAsia="zh-CN"/>
              </w:rPr>
              <w:t>合理、完整、规范</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eastAsia="zh-CN"/>
              </w:rPr>
            </w:pPr>
            <w:r>
              <w:rPr>
                <w:rFonts w:hint="eastAsia" w:ascii="宋体"/>
                <w:color w:val="000000"/>
                <w:sz w:val="18"/>
                <w:szCs w:val="18"/>
                <w:lang w:eastAsia="zh-CN"/>
              </w:rPr>
              <w:t>合理、比较完整规范</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1.6</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eastAsia="zh-CN"/>
              </w:rPr>
            </w:pPr>
            <w:r>
              <w:rPr>
                <w:rFonts w:hint="eastAsia" w:ascii="宋体"/>
                <w:color w:val="000000"/>
                <w:sz w:val="18"/>
                <w:szCs w:val="18"/>
                <w:lang w:eastAsia="zh-CN"/>
              </w:rPr>
              <w:t>资产管理安全正在完善</w:t>
            </w:r>
          </w:p>
        </w:tc>
      </w:tr>
      <w:tr>
        <w:tblPrEx>
          <w:tblCellMar>
            <w:top w:w="0" w:type="dxa"/>
            <w:left w:w="108" w:type="dxa"/>
            <w:bottom w:w="0" w:type="dxa"/>
            <w:right w:w="108" w:type="dxa"/>
          </w:tblCellMar>
        </w:tblPrEx>
        <w:trPr>
          <w:trHeight w:val="420" w:hRule="atLeast"/>
        </w:trPr>
        <w:tc>
          <w:tcPr>
            <w:tcW w:w="637"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530"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hAnsi="宋体" w:cs="宋体"/>
                <w:color w:val="000000"/>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固定资产利用率</w:t>
            </w:r>
          </w:p>
        </w:tc>
        <w:tc>
          <w:tcPr>
            <w:tcW w:w="906"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ascii="宋体"/>
                <w:color w:val="000000"/>
                <w:sz w:val="18"/>
                <w:szCs w:val="18"/>
              </w:rPr>
            </w:pPr>
            <w:r>
              <w:rPr>
                <w:rFonts w:hint="eastAsia" w:ascii="宋体" w:hAnsi="宋体" w:cs="宋体"/>
                <w:kern w:val="0"/>
                <w:sz w:val="18"/>
                <w:szCs w:val="18"/>
              </w:rPr>
              <w:t>≧95%</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95%</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产出指标</w:t>
            </w:r>
          </w:p>
        </w:tc>
        <w:tc>
          <w:tcPr>
            <w:tcW w:w="530"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ascii="宋体" w:hAnsi="宋体" w:cs="宋体"/>
                <w:color w:val="000000"/>
                <w:sz w:val="18"/>
                <w:szCs w:val="18"/>
              </w:rPr>
              <w:t>25</w:t>
            </w:r>
          </w:p>
        </w:tc>
        <w:tc>
          <w:tcPr>
            <w:tcW w:w="1615"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数量指标</w:t>
            </w:r>
          </w:p>
        </w:tc>
        <w:tc>
          <w:tcPr>
            <w:tcW w:w="1890"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ascii="宋体" w:hAnsi="宋体" w:cs="宋体"/>
                <w:color w:val="000000"/>
                <w:kern w:val="0"/>
                <w:sz w:val="18"/>
                <w:szCs w:val="18"/>
              </w:rPr>
              <w:t>湘湖镇前程村航拍测绘面积</w:t>
            </w:r>
            <w:r>
              <w:rPr>
                <w:rFonts w:hint="eastAsia" w:ascii="宋体" w:hAnsi="宋体" w:cs="宋体"/>
                <w:color w:val="000000"/>
                <w:kern w:val="0"/>
                <w:sz w:val="18"/>
                <w:szCs w:val="18"/>
              </w:rPr>
              <w:t>（平方公里）</w:t>
            </w:r>
          </w:p>
        </w:tc>
        <w:tc>
          <w:tcPr>
            <w:tcW w:w="906"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18</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 xml:space="preserve">  18</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val="en-US" w:eastAsia="zh-CN"/>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ascii="宋体" w:hAnsi="宋体" w:cs="宋体"/>
                <w:color w:val="000000"/>
                <w:kern w:val="0"/>
                <w:sz w:val="18"/>
                <w:szCs w:val="18"/>
              </w:rPr>
              <w:t>浮梁县县域应用大比例尺地形图航拍测绘面积</w:t>
            </w:r>
            <w:r>
              <w:rPr>
                <w:rFonts w:hint="eastAsia" w:ascii="宋体" w:hAnsi="宋体" w:cs="宋体"/>
                <w:color w:val="000000"/>
                <w:kern w:val="0"/>
                <w:sz w:val="18"/>
                <w:szCs w:val="18"/>
              </w:rPr>
              <w:t>(平方公里)</w:t>
            </w:r>
          </w:p>
        </w:tc>
        <w:tc>
          <w:tcPr>
            <w:tcW w:w="906"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322.7</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322.7</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r>
              <w:rPr>
                <w:rFonts w:ascii="宋体" w:hAnsi="宋体" w:cs="宋体"/>
                <w:color w:val="000000"/>
                <w:kern w:val="0"/>
                <w:sz w:val="18"/>
                <w:szCs w:val="18"/>
              </w:rPr>
              <w:t>浮梁县元田溪谷测绘面积</w:t>
            </w:r>
            <w:r>
              <w:rPr>
                <w:rFonts w:hint="eastAsia" w:ascii="宋体" w:hAnsi="宋体" w:cs="宋体"/>
                <w:color w:val="000000"/>
                <w:kern w:val="0"/>
                <w:sz w:val="18"/>
                <w:szCs w:val="18"/>
              </w:rPr>
              <w:t>（平方公里）</w:t>
            </w:r>
          </w:p>
        </w:tc>
        <w:tc>
          <w:tcPr>
            <w:tcW w:w="906"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18.6</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18.6</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385"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color w:val="000000"/>
                <w:kern w:val="0"/>
                <w:sz w:val="18"/>
                <w:szCs w:val="18"/>
              </w:rPr>
              <w:t>采购终端管理系统</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385"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hAnsi="宋体" w:cs="宋体"/>
                <w:color w:val="000000"/>
                <w:kern w:val="0"/>
                <w:sz w:val="18"/>
                <w:szCs w:val="18"/>
              </w:rPr>
              <w:t>采购堡垒机</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505"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hAnsi="宋体" w:cs="宋体"/>
                <w:color w:val="000000"/>
                <w:kern w:val="0"/>
                <w:sz w:val="18"/>
                <w:szCs w:val="18"/>
              </w:rPr>
              <w:t>采购漏洞扫描系统</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color w:val="000000"/>
                <w:kern w:val="0"/>
                <w:sz w:val="18"/>
                <w:szCs w:val="18"/>
              </w:rPr>
              <w:t>采购安全隔离与信息交换系统</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color w:val="000000"/>
                <w:kern w:val="0"/>
                <w:sz w:val="18"/>
                <w:szCs w:val="18"/>
              </w:rPr>
              <w:t>采购360网神防火墙系统</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3</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3</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385"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color w:val="000000"/>
                <w:kern w:val="0"/>
                <w:sz w:val="18"/>
                <w:szCs w:val="18"/>
              </w:rPr>
              <w:t>采购安全审计系统</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385"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color w:val="000000"/>
                <w:kern w:val="0"/>
                <w:sz w:val="18"/>
                <w:szCs w:val="18"/>
                <w:lang w:eastAsia="zh-CN"/>
              </w:rPr>
              <w:t>规划</w:t>
            </w:r>
            <w:r>
              <w:rPr>
                <w:rFonts w:hint="eastAsia" w:ascii="宋体"/>
                <w:color w:val="000000"/>
                <w:kern w:val="0"/>
                <w:sz w:val="18"/>
                <w:szCs w:val="18"/>
              </w:rPr>
              <w:t>编制成果数量</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eastAsia="zh-CN"/>
              </w:rPr>
            </w:pPr>
            <w:r>
              <w:rPr>
                <w:rFonts w:hint="eastAsia" w:ascii="宋体"/>
                <w:kern w:val="0"/>
                <w:sz w:val="18"/>
                <w:szCs w:val="18"/>
                <w:lang w:val="en-US" w:eastAsia="zh-CN"/>
              </w:rPr>
              <w:t>23</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eastAsia="zh-CN"/>
              </w:rPr>
            </w:pPr>
            <w:r>
              <w:rPr>
                <w:rFonts w:hint="eastAsia" w:ascii="宋体"/>
                <w:kern w:val="0"/>
                <w:sz w:val="18"/>
                <w:szCs w:val="18"/>
                <w:lang w:val="en-US" w:eastAsia="zh-CN"/>
              </w:rPr>
              <w:t>23</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hAnsi="宋体" w:cs="宋体"/>
                <w:color w:val="000000"/>
                <w:kern w:val="0"/>
                <w:sz w:val="18"/>
                <w:szCs w:val="18"/>
              </w:rPr>
            </w:pPr>
            <w:r>
              <w:rPr>
                <w:rFonts w:ascii="宋体" w:hAnsi="宋体" w:cs="宋体"/>
                <w:color w:val="000000"/>
                <w:kern w:val="0"/>
                <w:sz w:val="18"/>
                <w:szCs w:val="18"/>
              </w:rPr>
              <w:t>村庄规划评估涉及数量</w:t>
            </w:r>
            <w:r>
              <w:rPr>
                <w:rFonts w:hint="eastAsia" w:ascii="宋体" w:hAnsi="宋体" w:cs="宋体"/>
                <w:color w:val="000000"/>
                <w:kern w:val="0"/>
                <w:sz w:val="18"/>
                <w:szCs w:val="18"/>
              </w:rPr>
              <w:t>（个）</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kern w:val="0"/>
                <w:sz w:val="18"/>
                <w:szCs w:val="18"/>
              </w:rPr>
            </w:pPr>
            <w:r>
              <w:rPr>
                <w:rFonts w:hint="eastAsia" w:ascii="宋体"/>
                <w:kern w:val="0"/>
                <w:sz w:val="18"/>
                <w:szCs w:val="18"/>
              </w:rPr>
              <w:t>1239</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kern w:val="0"/>
                <w:sz w:val="18"/>
                <w:szCs w:val="18"/>
              </w:rPr>
            </w:pPr>
            <w:r>
              <w:rPr>
                <w:rFonts w:hint="eastAsia" w:ascii="宋体"/>
                <w:kern w:val="0"/>
                <w:sz w:val="18"/>
                <w:szCs w:val="18"/>
              </w:rPr>
              <w:t>1239</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hAnsi="宋体" w:cs="宋体"/>
                <w:color w:val="000000"/>
                <w:kern w:val="0"/>
                <w:sz w:val="18"/>
                <w:szCs w:val="18"/>
              </w:rPr>
            </w:pPr>
            <w:r>
              <w:rPr>
                <w:rFonts w:hint="eastAsia" w:ascii="宋体"/>
                <w:color w:val="000000"/>
                <w:kern w:val="0"/>
                <w:sz w:val="18"/>
                <w:szCs w:val="18"/>
                <w:lang w:eastAsia="zh-CN"/>
              </w:rPr>
              <w:t>县耕地后备资源调查评价图斑</w:t>
            </w:r>
            <w:r>
              <w:rPr>
                <w:rFonts w:hint="eastAsia" w:ascii="宋体"/>
                <w:color w:val="000000"/>
                <w:kern w:val="0"/>
                <w:sz w:val="18"/>
                <w:szCs w:val="18"/>
              </w:rPr>
              <w:t>数据</w:t>
            </w:r>
            <w:r>
              <w:rPr>
                <w:rFonts w:hint="eastAsia" w:ascii="宋体"/>
                <w:color w:val="000000"/>
                <w:kern w:val="0"/>
                <w:sz w:val="18"/>
                <w:szCs w:val="18"/>
                <w:lang w:eastAsia="zh-CN"/>
              </w:rPr>
              <w:t>（个）</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kern w:val="0"/>
                <w:sz w:val="18"/>
                <w:szCs w:val="18"/>
              </w:rPr>
            </w:pPr>
            <w:r>
              <w:rPr>
                <w:rFonts w:hint="eastAsia" w:ascii="宋体"/>
                <w:kern w:val="0"/>
                <w:sz w:val="18"/>
                <w:szCs w:val="18"/>
              </w:rPr>
              <w:t>=28017</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kern w:val="0"/>
                <w:sz w:val="18"/>
                <w:szCs w:val="18"/>
              </w:rPr>
            </w:pPr>
            <w:r>
              <w:rPr>
                <w:rFonts w:hint="eastAsia" w:ascii="宋体"/>
                <w:kern w:val="0"/>
                <w:sz w:val="18"/>
                <w:szCs w:val="18"/>
                <w:lang w:val="en-US" w:eastAsia="zh-CN"/>
              </w:rPr>
              <w:t>28017</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hAnsi="宋体" w:cs="宋体"/>
                <w:color w:val="000000"/>
                <w:kern w:val="0"/>
                <w:sz w:val="18"/>
                <w:szCs w:val="18"/>
              </w:rPr>
            </w:pPr>
            <w:r>
              <w:rPr>
                <w:rFonts w:hint="eastAsia" w:ascii="宋体"/>
                <w:kern w:val="0"/>
                <w:sz w:val="18"/>
                <w:szCs w:val="18"/>
              </w:rPr>
              <w:t>土地利用总体规划延续</w:t>
            </w:r>
            <w:r>
              <w:rPr>
                <w:rFonts w:hint="eastAsia" w:ascii="宋体"/>
                <w:kern w:val="0"/>
                <w:sz w:val="18"/>
                <w:szCs w:val="18"/>
                <w:lang w:eastAsia="zh-CN"/>
              </w:rPr>
              <w:t>方案</w:t>
            </w:r>
            <w:r>
              <w:rPr>
                <w:rFonts w:hint="eastAsia" w:ascii="宋体"/>
                <w:color w:val="000000"/>
                <w:kern w:val="0"/>
                <w:sz w:val="18"/>
                <w:szCs w:val="18"/>
                <w:lang w:eastAsia="zh-CN"/>
              </w:rPr>
              <w:t>总规模面积（公顷）</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kern w:val="0"/>
                <w:sz w:val="18"/>
                <w:szCs w:val="18"/>
              </w:rPr>
            </w:pPr>
            <w:r>
              <w:rPr>
                <w:rFonts w:hint="eastAsia" w:ascii="宋体"/>
                <w:kern w:val="0"/>
                <w:sz w:val="18"/>
                <w:szCs w:val="18"/>
              </w:rPr>
              <w:t>318.22</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kern w:val="0"/>
                <w:sz w:val="18"/>
                <w:szCs w:val="18"/>
              </w:rPr>
            </w:pPr>
            <w:r>
              <w:rPr>
                <w:rFonts w:hint="eastAsia" w:ascii="宋体"/>
                <w:kern w:val="0"/>
                <w:sz w:val="18"/>
                <w:szCs w:val="18"/>
                <w:lang w:val="en-US" w:eastAsia="zh-CN"/>
              </w:rPr>
              <w:t>318.22</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lang w:eastAsia="zh-CN"/>
              </w:rPr>
              <w:t>国土空间及村庄</w:t>
            </w:r>
            <w:r>
              <w:rPr>
                <w:rFonts w:ascii="宋体" w:hAnsi="宋体" w:cs="宋体"/>
                <w:color w:val="000000"/>
                <w:kern w:val="0"/>
                <w:sz w:val="18"/>
                <w:szCs w:val="18"/>
              </w:rPr>
              <w:t>规划编制成果数量</w:t>
            </w:r>
            <w:r>
              <w:rPr>
                <w:rFonts w:hint="eastAsia" w:ascii="宋体" w:hAnsi="宋体" w:cs="宋体"/>
                <w:color w:val="000000"/>
                <w:kern w:val="0"/>
                <w:sz w:val="18"/>
                <w:szCs w:val="18"/>
              </w:rPr>
              <w:t>(个)</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kern w:val="0"/>
                <w:sz w:val="18"/>
                <w:szCs w:val="18"/>
              </w:rPr>
            </w:pPr>
            <w:r>
              <w:rPr>
                <w:rFonts w:hint="eastAsia" w:ascii="宋体"/>
                <w:kern w:val="0"/>
                <w:sz w:val="18"/>
                <w:szCs w:val="18"/>
              </w:rPr>
              <w:t>6</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kern w:val="0"/>
                <w:sz w:val="18"/>
                <w:szCs w:val="18"/>
              </w:rPr>
            </w:pPr>
            <w:r>
              <w:rPr>
                <w:rFonts w:hint="eastAsia" w:ascii="宋体"/>
                <w:kern w:val="0"/>
                <w:sz w:val="18"/>
                <w:szCs w:val="18"/>
              </w:rPr>
              <w:t>6</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ascii="宋体" w:hAnsi="宋体" w:cs="宋体"/>
                <w:color w:val="000000"/>
                <w:kern w:val="0"/>
                <w:sz w:val="18"/>
                <w:szCs w:val="18"/>
              </w:rPr>
              <w:t>完成国土变更调查</w:t>
            </w:r>
            <w:r>
              <w:rPr>
                <w:rFonts w:hint="eastAsia" w:ascii="宋体" w:hAnsi="宋体" w:cs="宋体"/>
                <w:color w:val="000000"/>
                <w:kern w:val="0"/>
                <w:sz w:val="18"/>
                <w:szCs w:val="18"/>
              </w:rPr>
              <w:t>面积（平方公里）</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2851</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2851</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ascii="宋体" w:hAnsi="宋体" w:cs="宋体"/>
                <w:color w:val="000000"/>
                <w:kern w:val="0"/>
                <w:sz w:val="18"/>
                <w:szCs w:val="18"/>
              </w:rPr>
              <w:t>发放协管员工资福利人数</w:t>
            </w:r>
            <w:r>
              <w:rPr>
                <w:rFonts w:hint="eastAsia" w:ascii="宋体" w:hAnsi="宋体" w:cs="宋体"/>
                <w:color w:val="000000"/>
                <w:kern w:val="0"/>
                <w:sz w:val="18"/>
                <w:szCs w:val="18"/>
              </w:rPr>
              <w:t>（人）</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15</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15</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kern w:val="0"/>
                <w:sz w:val="18"/>
                <w:szCs w:val="18"/>
                <w:lang w:val="en-US" w:eastAsia="zh-CN"/>
              </w:rPr>
              <w:t>景瑶公路、S207(锦里-曲阿里)、S207（蛟潭-浮梁）三条公路征收</w:t>
            </w:r>
            <w:r>
              <w:rPr>
                <w:rFonts w:hint="eastAsia" w:ascii="宋体" w:hAnsi="宋体" w:cs="宋体"/>
                <w:color w:val="000000"/>
                <w:kern w:val="0"/>
                <w:sz w:val="18"/>
                <w:szCs w:val="18"/>
              </w:rPr>
              <w:t>面积（亩）</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701.89</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701.89</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kern w:val="0"/>
                <w:sz w:val="18"/>
                <w:szCs w:val="18"/>
                <w:lang w:val="en-US" w:eastAsia="zh-CN"/>
              </w:rPr>
              <w:t>浮梁通用机场</w:t>
            </w:r>
            <w:r>
              <w:rPr>
                <w:rFonts w:hint="eastAsia" w:ascii="宋体" w:hAnsi="宋体" w:cs="宋体"/>
                <w:color w:val="000000"/>
                <w:kern w:val="0"/>
                <w:sz w:val="18"/>
                <w:szCs w:val="18"/>
                <w:lang w:eastAsia="zh-CN"/>
              </w:rPr>
              <w:t>征收土</w:t>
            </w:r>
            <w:r>
              <w:rPr>
                <w:rFonts w:hint="eastAsia" w:ascii="宋体" w:hAnsi="宋体" w:cs="宋体"/>
                <w:color w:val="000000"/>
                <w:kern w:val="0"/>
                <w:sz w:val="18"/>
                <w:szCs w:val="18"/>
              </w:rPr>
              <w:t>地面积（亩）</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169.85</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169.85</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90"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kern w:val="0"/>
                <w:sz w:val="18"/>
                <w:szCs w:val="18"/>
                <w:lang w:val="en-US" w:eastAsia="zh-CN"/>
              </w:rPr>
              <w:t>县域范围内储备地（亩）</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695.83</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695.83</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kern w:val="0"/>
                <w:sz w:val="18"/>
                <w:szCs w:val="18"/>
                <w:lang w:val="en-US" w:eastAsia="zh-CN"/>
              </w:rPr>
              <w:t>原三大公路西北侧储备地（亩）</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251.28</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251.28</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kern w:val="0"/>
                <w:sz w:val="18"/>
                <w:szCs w:val="18"/>
                <w:lang w:val="en-US" w:eastAsia="zh-CN"/>
              </w:rPr>
              <w:t>筷乐谷项目、浮梁镇茶培村商业用地、景德镇天然气清洁能源综合利用等项目征收面积（亩）</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320.915</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320.915</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0.3</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370"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质量指标</w:t>
            </w:r>
          </w:p>
        </w:tc>
        <w:tc>
          <w:tcPr>
            <w:tcW w:w="1890"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ascii="宋体" w:hAnsi="宋体" w:cs="宋体"/>
                <w:color w:val="000000"/>
                <w:kern w:val="0"/>
                <w:sz w:val="18"/>
                <w:szCs w:val="18"/>
              </w:rPr>
              <w:t>数据成果合格率</w:t>
            </w:r>
          </w:p>
        </w:tc>
        <w:tc>
          <w:tcPr>
            <w:tcW w:w="906"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eastAsia="zh-CN"/>
              </w:rPr>
            </w:pPr>
            <w:r>
              <w:rPr>
                <w:rFonts w:hint="eastAsia" w:ascii="宋体"/>
                <w:color w:val="000000"/>
                <w:sz w:val="18"/>
                <w:szCs w:val="18"/>
                <w:lang w:eastAsia="zh-CN"/>
              </w:rPr>
              <w:t>合格</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 xml:space="preserve"> 合格</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475"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hAnsi="宋体" w:cs="宋体"/>
                <w:color w:val="000000"/>
                <w:kern w:val="0"/>
                <w:sz w:val="18"/>
                <w:szCs w:val="18"/>
              </w:rPr>
              <w:t>信息系统验收合格率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≧95%</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95%</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hAnsi="宋体" w:cs="宋体"/>
                <w:color w:val="000000"/>
                <w:kern w:val="0"/>
                <w:sz w:val="18"/>
                <w:szCs w:val="18"/>
              </w:rPr>
              <w:t>是否达到公安关于信息系统安全登记保护相关要求</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是</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是</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415"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color w:val="000000"/>
                <w:kern w:val="0"/>
                <w:sz w:val="18"/>
                <w:szCs w:val="18"/>
                <w:lang w:eastAsia="zh-CN"/>
              </w:rPr>
              <w:t>信息安全</w:t>
            </w:r>
            <w:r>
              <w:rPr>
                <w:rFonts w:hint="eastAsia" w:ascii="宋体"/>
                <w:color w:val="000000"/>
                <w:kern w:val="0"/>
                <w:sz w:val="18"/>
                <w:szCs w:val="18"/>
              </w:rPr>
              <w:t>系统故障率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≦5%</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4%</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hAnsi="宋体" w:cs="宋体"/>
                <w:color w:val="000000"/>
                <w:kern w:val="0"/>
                <w:sz w:val="18"/>
                <w:szCs w:val="18"/>
              </w:rPr>
              <w:t>规划编制合格率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≧95%</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95%</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0.8</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规划编制数据完整性不够</w:t>
            </w: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hAnsi="宋体" w:cs="宋体"/>
                <w:color w:val="000000"/>
                <w:kern w:val="0"/>
                <w:sz w:val="18"/>
                <w:szCs w:val="18"/>
              </w:rPr>
              <w:t>文本成果编制</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耕地后备资源调查评价分析报告</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耕地后备资源调查评价分析报告</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0.8</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资源调查分析全面性有待提高</w:t>
            </w: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hAnsi="宋体" w:cs="宋体"/>
                <w:color w:val="000000"/>
                <w:kern w:val="0"/>
                <w:sz w:val="18"/>
                <w:szCs w:val="18"/>
              </w:rPr>
              <w:t>方案通过并省厅批复</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相关成果通过省厅批复</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相关成果通过省厅批复</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0.8</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总体规划延续方案全面性有待提高</w:t>
            </w: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hAnsi="宋体" w:cs="宋体"/>
                <w:color w:val="000000"/>
                <w:kern w:val="0"/>
                <w:sz w:val="18"/>
                <w:szCs w:val="18"/>
                <w:lang w:eastAsia="zh-CN"/>
              </w:rPr>
              <w:t>国土空间及村庄</w:t>
            </w:r>
            <w:r>
              <w:rPr>
                <w:rFonts w:ascii="宋体" w:hAnsi="宋体" w:cs="宋体"/>
                <w:color w:val="000000"/>
                <w:kern w:val="0"/>
                <w:sz w:val="18"/>
                <w:szCs w:val="18"/>
              </w:rPr>
              <w:t>规划编制合格率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=100%</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100%</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0.8</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空间规划编制内容全面性有待提高</w:t>
            </w: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ascii="宋体" w:hAnsi="宋体" w:cs="宋体"/>
                <w:color w:val="000000"/>
                <w:kern w:val="0"/>
                <w:sz w:val="18"/>
                <w:szCs w:val="18"/>
              </w:rPr>
              <w:t>变更调查结果审核通过率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=100%</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100%</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0.8</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全县国土变更调查内容进一步完善</w:t>
            </w:r>
          </w:p>
        </w:tc>
      </w:tr>
      <w:tr>
        <w:tblPrEx>
          <w:tblCellMar>
            <w:top w:w="0" w:type="dxa"/>
            <w:left w:w="108" w:type="dxa"/>
            <w:bottom w:w="0" w:type="dxa"/>
            <w:right w:w="108" w:type="dxa"/>
          </w:tblCellMar>
        </w:tblPrEx>
        <w:trPr>
          <w:trHeight w:val="400"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ascii="宋体" w:hAnsi="宋体" w:cs="宋体"/>
                <w:color w:val="000000"/>
                <w:kern w:val="0"/>
                <w:sz w:val="18"/>
                <w:szCs w:val="18"/>
              </w:rPr>
              <w:t>保护耕地的完整性</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=100%</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100%</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both"/>
              <w:rPr>
                <w:rFonts w:hint="eastAsia" w:ascii="宋体" w:eastAsia="宋体"/>
                <w:color w:val="000000"/>
                <w:sz w:val="18"/>
                <w:szCs w:val="18"/>
                <w:lang w:val="en-US" w:eastAsia="zh-CN"/>
              </w:rPr>
            </w:pPr>
            <w:r>
              <w:rPr>
                <w:rFonts w:hint="eastAsia" w:ascii="宋体"/>
                <w:color w:val="000000"/>
                <w:sz w:val="18"/>
                <w:szCs w:val="18"/>
                <w:lang w:val="en-US" w:eastAsia="zh-CN"/>
              </w:rPr>
              <w:t>0.8</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进一步完善</w:t>
            </w:r>
          </w:p>
        </w:tc>
      </w:tr>
      <w:tr>
        <w:tblPrEx>
          <w:tblCellMar>
            <w:top w:w="0" w:type="dxa"/>
            <w:left w:w="108" w:type="dxa"/>
            <w:bottom w:w="0" w:type="dxa"/>
            <w:right w:w="108" w:type="dxa"/>
          </w:tblCellMar>
        </w:tblPrEx>
        <w:trPr>
          <w:trHeight w:val="415"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both"/>
              <w:rPr>
                <w:rFonts w:hint="eastAsia" w:ascii="宋体" w:hAnsi="宋体" w:cs="宋体"/>
                <w:color w:val="000000"/>
                <w:sz w:val="18"/>
                <w:szCs w:val="18"/>
              </w:rPr>
            </w:pPr>
            <w:r>
              <w:rPr>
                <w:rFonts w:hint="eastAsia" w:ascii="宋体" w:hAnsi="宋体" w:cs="宋体"/>
                <w:color w:val="000000"/>
                <w:kern w:val="0"/>
                <w:sz w:val="18"/>
                <w:szCs w:val="18"/>
                <w:lang w:eastAsia="zh-CN"/>
              </w:rPr>
              <w:t>征地</w:t>
            </w:r>
            <w:r>
              <w:rPr>
                <w:rFonts w:hint="eastAsia" w:ascii="宋体" w:hAnsi="宋体" w:cs="宋体"/>
                <w:color w:val="000000"/>
                <w:kern w:val="0"/>
                <w:sz w:val="18"/>
                <w:szCs w:val="18"/>
              </w:rPr>
              <w:t>净地覆盖率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100%</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100%</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 xml:space="preserve">  1</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both"/>
              <w:rPr>
                <w:rFonts w:hint="eastAsia" w:ascii="宋体" w:hAnsi="宋体" w:cs="宋体"/>
                <w:color w:val="000000"/>
                <w:sz w:val="18"/>
                <w:szCs w:val="18"/>
              </w:rPr>
            </w:pPr>
            <w:r>
              <w:rPr>
                <w:rFonts w:hint="eastAsia" w:ascii="宋体" w:hAnsi="宋体" w:cs="宋体"/>
                <w:color w:val="000000"/>
                <w:kern w:val="0"/>
                <w:sz w:val="18"/>
                <w:szCs w:val="18"/>
                <w:lang w:eastAsia="zh-CN"/>
              </w:rPr>
              <w:t>征地</w:t>
            </w:r>
            <w:r>
              <w:rPr>
                <w:rFonts w:hint="eastAsia" w:ascii="宋体" w:hAnsi="宋体" w:cs="宋体"/>
                <w:color w:val="000000"/>
                <w:kern w:val="0"/>
                <w:sz w:val="18"/>
                <w:szCs w:val="18"/>
              </w:rPr>
              <w:t>相关部门验收合格率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100%</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100%</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0.7</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0.7</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385"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时效指标</w:t>
            </w:r>
          </w:p>
        </w:tc>
        <w:tc>
          <w:tcPr>
            <w:tcW w:w="1890"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ascii="宋体" w:hAnsi="宋体" w:cs="宋体"/>
                <w:color w:val="000000"/>
                <w:kern w:val="0"/>
                <w:sz w:val="18"/>
                <w:szCs w:val="18"/>
              </w:rPr>
              <w:t>是否按时按规范完成</w:t>
            </w:r>
          </w:p>
        </w:tc>
        <w:tc>
          <w:tcPr>
            <w:tcW w:w="906"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eastAsia="zh-CN"/>
              </w:rPr>
            </w:pPr>
            <w:r>
              <w:rPr>
                <w:rFonts w:hint="eastAsia" w:ascii="宋体"/>
                <w:color w:val="000000"/>
                <w:sz w:val="18"/>
                <w:szCs w:val="18"/>
                <w:lang w:eastAsia="zh-CN"/>
              </w:rPr>
              <w:t>是</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 xml:space="preserve"> 是</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val="en-US" w:eastAsia="zh-CN"/>
              </w:rPr>
            </w:pPr>
          </w:p>
        </w:tc>
      </w:tr>
      <w:tr>
        <w:tblPrEx>
          <w:tblCellMar>
            <w:top w:w="0" w:type="dxa"/>
            <w:left w:w="108" w:type="dxa"/>
            <w:bottom w:w="0" w:type="dxa"/>
            <w:right w:w="108" w:type="dxa"/>
          </w:tblCellMar>
        </w:tblPrEx>
        <w:trPr>
          <w:trHeight w:val="415"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color w:val="000000"/>
                <w:kern w:val="0"/>
                <w:sz w:val="18"/>
                <w:szCs w:val="18"/>
              </w:rPr>
              <w:t>系统上线及时率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≧95%</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95%</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0.4</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进一步完善</w:t>
            </w: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color w:val="000000"/>
                <w:kern w:val="0"/>
                <w:sz w:val="18"/>
                <w:szCs w:val="18"/>
              </w:rPr>
              <w:t>在合同规定时间内完成</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lang w:eastAsia="zh-CN"/>
              </w:rPr>
              <w:t>及时完成</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及时完成</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color w:val="000000"/>
                <w:kern w:val="0"/>
                <w:sz w:val="18"/>
                <w:szCs w:val="18"/>
              </w:rPr>
              <w:t>按实施方案规定时间内完成率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按时完成</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按时完成</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hAnsi="宋体" w:cs="宋体"/>
                <w:color w:val="000000"/>
                <w:kern w:val="0"/>
                <w:sz w:val="18"/>
                <w:szCs w:val="18"/>
                <w:lang w:eastAsia="zh-CN"/>
              </w:rPr>
              <w:t>国土空间及村庄规划</w:t>
            </w:r>
            <w:r>
              <w:rPr>
                <w:rFonts w:ascii="宋体" w:hAnsi="宋体" w:cs="宋体"/>
                <w:color w:val="000000"/>
                <w:kern w:val="0"/>
                <w:sz w:val="18"/>
                <w:szCs w:val="18"/>
              </w:rPr>
              <w:t>完成时限达标率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按计划按时完成</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按计划按时完成</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ascii="宋体" w:hAnsi="宋体" w:cs="宋体"/>
                <w:color w:val="000000"/>
                <w:kern w:val="0"/>
                <w:sz w:val="18"/>
                <w:szCs w:val="18"/>
              </w:rPr>
              <w:t>变更调查完成及时率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及时完成</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及时完成</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18"/>
                <w:szCs w:val="18"/>
              </w:rPr>
            </w:pPr>
            <w:r>
              <w:rPr>
                <w:rFonts w:hint="eastAsia" w:ascii="宋体" w:hAnsi="宋体" w:cs="宋体"/>
                <w:color w:val="000000"/>
                <w:kern w:val="0"/>
                <w:sz w:val="18"/>
                <w:szCs w:val="18"/>
                <w:lang w:eastAsia="zh-CN"/>
              </w:rPr>
              <w:t>协管员</w:t>
            </w:r>
            <w:r>
              <w:rPr>
                <w:rFonts w:ascii="宋体" w:hAnsi="宋体" w:cs="宋体"/>
                <w:color w:val="000000"/>
                <w:kern w:val="0"/>
                <w:sz w:val="18"/>
                <w:szCs w:val="18"/>
              </w:rPr>
              <w:t>工资是否每月及时发放</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及时发放</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及时发放</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both"/>
              <w:rPr>
                <w:rFonts w:hint="eastAsia" w:ascii="宋体" w:hAnsi="宋体" w:cs="宋体"/>
                <w:color w:val="000000"/>
                <w:sz w:val="18"/>
                <w:szCs w:val="18"/>
              </w:rPr>
            </w:pPr>
            <w:r>
              <w:rPr>
                <w:rFonts w:hint="eastAsia" w:ascii="宋体" w:hAnsi="宋体" w:cs="宋体"/>
                <w:color w:val="000000"/>
                <w:kern w:val="0"/>
                <w:sz w:val="18"/>
                <w:szCs w:val="18"/>
              </w:rPr>
              <w:t>征地完成及时性</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及时完成</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eastAsia="zh-CN"/>
              </w:rPr>
            </w:pPr>
            <w:r>
              <w:rPr>
                <w:rFonts w:hint="eastAsia" w:ascii="宋体"/>
                <w:color w:val="000000"/>
                <w:sz w:val="18"/>
                <w:szCs w:val="18"/>
                <w:lang w:eastAsia="zh-CN"/>
              </w:rPr>
              <w:t>及时完成</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right w:val="single" w:color="000000" w:sz="4" w:space="0"/>
            </w:tcBorders>
            <w:vAlign w:val="center"/>
          </w:tcPr>
          <w:p>
            <w:pPr>
              <w:spacing w:line="240" w:lineRule="exact"/>
              <w:rPr>
                <w:rFonts w:ascii="宋体"/>
                <w:sz w:val="18"/>
                <w:szCs w:val="18"/>
              </w:rPr>
            </w:pPr>
          </w:p>
        </w:tc>
        <w:tc>
          <w:tcPr>
            <w:tcW w:w="1615"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eastAsia="zh-CN"/>
              </w:rPr>
            </w:pPr>
            <w:r>
              <w:rPr>
                <w:rFonts w:hint="eastAsia" w:ascii="宋体" w:hAnsi="宋体" w:cs="宋体"/>
                <w:color w:val="000000"/>
                <w:sz w:val="18"/>
                <w:szCs w:val="18"/>
                <w:lang w:eastAsia="zh-CN"/>
              </w:rPr>
              <w:t>成本指标</w:t>
            </w: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hAnsi="宋体" w:cs="宋体"/>
                <w:color w:val="000000"/>
                <w:kern w:val="0"/>
                <w:sz w:val="18"/>
                <w:szCs w:val="18"/>
              </w:rPr>
              <w:t>单个系统建设成本（万元））</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≦171</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126.98</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val="en-US" w:eastAsia="zh-CN"/>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hAnsi="宋体" w:cs="宋体"/>
                <w:color w:val="000000"/>
                <w:kern w:val="0"/>
                <w:sz w:val="18"/>
                <w:szCs w:val="18"/>
              </w:rPr>
              <w:t>费用支出不超过成本预算</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成本费用不超预算</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成本费用不超预算</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hAnsi="宋体" w:cs="宋体"/>
                <w:color w:val="000000"/>
                <w:kern w:val="0"/>
                <w:sz w:val="18"/>
                <w:szCs w:val="18"/>
              </w:rPr>
              <w:t>按方案规定项目费用控制</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成本不超预算</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成本不超预算</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hAnsi="宋体" w:cs="宋体"/>
                <w:color w:val="000000"/>
                <w:kern w:val="0"/>
                <w:sz w:val="18"/>
                <w:szCs w:val="18"/>
                <w:lang w:eastAsia="zh-CN"/>
              </w:rPr>
              <w:t>国土空间及村庄规划</w:t>
            </w:r>
            <w:r>
              <w:rPr>
                <w:rFonts w:ascii="宋体" w:hAnsi="宋体" w:cs="宋体"/>
                <w:color w:val="000000"/>
                <w:kern w:val="0"/>
                <w:sz w:val="18"/>
                <w:szCs w:val="18"/>
              </w:rPr>
              <w:t>项目预算控制数（万</w:t>
            </w:r>
            <w:r>
              <w:rPr>
                <w:rFonts w:hint="eastAsia" w:ascii="宋体" w:hAnsi="宋体" w:cs="宋体"/>
                <w:color w:val="000000"/>
                <w:kern w:val="0"/>
                <w:sz w:val="18"/>
                <w:szCs w:val="18"/>
              </w:rPr>
              <w:t>元</w:t>
            </w:r>
            <w:r>
              <w:rPr>
                <w:rFonts w:ascii="宋体" w:hAnsi="宋体" w:cs="宋体"/>
                <w:color w:val="000000"/>
                <w:kern w:val="0"/>
                <w:sz w:val="18"/>
                <w:szCs w:val="18"/>
              </w:rPr>
              <w:t>）</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=322.2</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332.2</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ascii="宋体" w:hAnsi="宋体" w:cs="宋体"/>
                <w:color w:val="000000"/>
                <w:kern w:val="0"/>
                <w:sz w:val="18"/>
                <w:szCs w:val="18"/>
              </w:rPr>
              <w:t>协管员补贴0.232万元/月/人</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w:t>
            </w:r>
            <w:r>
              <w:rPr>
                <w:rFonts w:ascii="宋体" w:hAnsi="宋体" w:cs="宋体"/>
                <w:color w:val="000000"/>
                <w:kern w:val="0"/>
                <w:sz w:val="18"/>
                <w:szCs w:val="18"/>
              </w:rPr>
              <w:t>0.232万元/月/人</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ascii="宋体" w:hAnsi="宋体" w:cs="宋体"/>
                <w:color w:val="000000"/>
                <w:kern w:val="0"/>
                <w:sz w:val="18"/>
                <w:szCs w:val="18"/>
              </w:rPr>
              <w:t>0.232万元/月/人</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both"/>
              <w:rPr>
                <w:rFonts w:ascii="宋体"/>
                <w:color w:val="000000"/>
                <w:sz w:val="18"/>
                <w:szCs w:val="18"/>
              </w:rPr>
            </w:pPr>
            <w:r>
              <w:rPr>
                <w:rFonts w:hint="eastAsia" w:ascii="宋体"/>
                <w:kern w:val="0"/>
                <w:sz w:val="18"/>
                <w:szCs w:val="18"/>
                <w:lang w:val="en-US" w:eastAsia="zh-CN"/>
              </w:rPr>
              <w:t>景瑶公路、S207(锦里-曲阿里)、S207（蛟潭-浮梁）三条公路</w:t>
            </w:r>
            <w:r>
              <w:rPr>
                <w:rFonts w:hint="eastAsia" w:ascii="宋体" w:hAnsi="宋体" w:cs="宋体"/>
                <w:color w:val="000000"/>
                <w:kern w:val="0"/>
                <w:sz w:val="18"/>
                <w:szCs w:val="18"/>
              </w:rPr>
              <w:t>征地资金</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1700万</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1700万</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kern w:val="0"/>
                <w:sz w:val="18"/>
                <w:szCs w:val="18"/>
                <w:lang w:val="en-US" w:eastAsia="zh-CN"/>
              </w:rPr>
              <w:t>浮梁通用机场项目征地资金</w:t>
            </w:r>
          </w:p>
        </w:tc>
        <w:tc>
          <w:tcPr>
            <w:tcW w:w="906"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ascii="宋体"/>
                <w:color w:val="000000"/>
                <w:sz w:val="18"/>
                <w:szCs w:val="18"/>
              </w:rPr>
            </w:pPr>
            <w:r>
              <w:rPr>
                <w:rFonts w:hint="eastAsia" w:ascii="宋体"/>
                <w:kern w:val="0"/>
                <w:sz w:val="18"/>
                <w:szCs w:val="18"/>
                <w:lang w:val="en-US" w:eastAsia="zh-CN"/>
              </w:rPr>
              <w:t>303.3521万</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ascii="宋体"/>
                <w:color w:val="000000"/>
                <w:sz w:val="18"/>
                <w:szCs w:val="18"/>
              </w:rPr>
            </w:pPr>
            <w:r>
              <w:rPr>
                <w:rFonts w:hint="eastAsia" w:ascii="宋体"/>
                <w:kern w:val="0"/>
                <w:sz w:val="18"/>
                <w:szCs w:val="18"/>
                <w:lang w:val="en-US" w:eastAsia="zh-CN"/>
              </w:rPr>
              <w:t>303.3521万</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kern w:val="0"/>
                <w:sz w:val="18"/>
                <w:szCs w:val="18"/>
                <w:lang w:val="en-US" w:eastAsia="zh-CN"/>
              </w:rPr>
              <w:t>县域范围内储备地征地资金</w:t>
            </w:r>
          </w:p>
        </w:tc>
        <w:tc>
          <w:tcPr>
            <w:tcW w:w="906"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ascii="宋体"/>
                <w:color w:val="000000"/>
                <w:sz w:val="18"/>
                <w:szCs w:val="18"/>
              </w:rPr>
            </w:pPr>
            <w:r>
              <w:rPr>
                <w:rFonts w:hint="eastAsia" w:ascii="宋体"/>
                <w:kern w:val="0"/>
                <w:sz w:val="18"/>
                <w:szCs w:val="18"/>
                <w:lang w:val="en-US" w:eastAsia="zh-CN"/>
              </w:rPr>
              <w:t>3674.3472万</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ascii="宋体"/>
                <w:color w:val="000000"/>
                <w:sz w:val="18"/>
                <w:szCs w:val="18"/>
              </w:rPr>
            </w:pPr>
            <w:r>
              <w:rPr>
                <w:rFonts w:hint="eastAsia" w:ascii="宋体"/>
                <w:kern w:val="0"/>
                <w:sz w:val="18"/>
                <w:szCs w:val="18"/>
                <w:lang w:val="en-US" w:eastAsia="zh-CN"/>
              </w:rPr>
              <w:t>3674.3472万</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kern w:val="0"/>
                <w:sz w:val="18"/>
                <w:szCs w:val="18"/>
                <w:lang w:val="en-US" w:eastAsia="zh-CN"/>
              </w:rPr>
              <w:t>原三大公路西北侧储备地征收资金</w:t>
            </w:r>
          </w:p>
        </w:tc>
        <w:tc>
          <w:tcPr>
            <w:tcW w:w="906"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ascii="宋体"/>
                <w:color w:val="000000"/>
                <w:sz w:val="18"/>
                <w:szCs w:val="18"/>
              </w:rPr>
            </w:pPr>
            <w:r>
              <w:rPr>
                <w:rFonts w:hint="eastAsia" w:ascii="宋体"/>
                <w:kern w:val="0"/>
                <w:sz w:val="18"/>
                <w:szCs w:val="18"/>
                <w:lang w:val="en-US" w:eastAsia="zh-CN"/>
              </w:rPr>
              <w:t>798.85万</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ascii="宋体"/>
                <w:color w:val="000000"/>
                <w:sz w:val="18"/>
                <w:szCs w:val="18"/>
              </w:rPr>
            </w:pPr>
            <w:r>
              <w:rPr>
                <w:rFonts w:hint="eastAsia" w:ascii="宋体"/>
                <w:kern w:val="0"/>
                <w:sz w:val="18"/>
                <w:szCs w:val="18"/>
                <w:lang w:val="en-US" w:eastAsia="zh-CN"/>
              </w:rPr>
              <w:t>798.85万</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kern w:val="0"/>
                <w:sz w:val="18"/>
                <w:szCs w:val="18"/>
                <w:lang w:val="en-US" w:eastAsia="zh-CN"/>
              </w:rPr>
              <w:t>筷乐谷项目、浮梁镇茶培村商业用地、景德镇天然气清洁能源综合利用等项目征收资金</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616万</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616万</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0.5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83" w:hRule="atLeast"/>
        </w:trPr>
        <w:tc>
          <w:tcPr>
            <w:tcW w:w="637"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效果指标</w:t>
            </w:r>
          </w:p>
        </w:tc>
        <w:tc>
          <w:tcPr>
            <w:tcW w:w="530"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ascii="宋体" w:hAnsi="宋体" w:cs="宋体"/>
                <w:color w:val="000000"/>
                <w:sz w:val="18"/>
                <w:szCs w:val="18"/>
              </w:rPr>
              <w:t>35</w:t>
            </w:r>
          </w:p>
        </w:tc>
        <w:tc>
          <w:tcPr>
            <w:tcW w:w="1615"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经济效益指标</w:t>
            </w: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ascii="宋体" w:hAnsi="宋体" w:cs="宋体"/>
                <w:color w:val="000000"/>
                <w:kern w:val="0"/>
                <w:sz w:val="18"/>
                <w:szCs w:val="18"/>
              </w:rPr>
              <w:t>通过地形图共享，促进成果及时转化和广泛利用，是否降低各应用地形图绘制成果的行业部门开展相关工作的成本</w:t>
            </w:r>
          </w:p>
        </w:tc>
        <w:tc>
          <w:tcPr>
            <w:tcW w:w="906"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eastAsia="zh-CN"/>
              </w:rPr>
            </w:pPr>
            <w:r>
              <w:rPr>
                <w:rFonts w:hint="eastAsia" w:ascii="宋体"/>
                <w:color w:val="000000"/>
                <w:sz w:val="18"/>
                <w:szCs w:val="18"/>
                <w:lang w:eastAsia="zh-CN"/>
              </w:rPr>
              <w:t>是</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eastAsia="zh-CN"/>
              </w:rPr>
            </w:pPr>
            <w:r>
              <w:rPr>
                <w:rFonts w:hint="eastAsia" w:ascii="宋体"/>
                <w:color w:val="000000"/>
                <w:sz w:val="18"/>
                <w:szCs w:val="18"/>
                <w:lang w:eastAsia="zh-CN"/>
              </w:rPr>
              <w:t>是</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 xml:space="preserve"> 1.5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1.4</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地形图绘制进一步完善</w:t>
            </w:r>
          </w:p>
        </w:tc>
      </w:tr>
      <w:tr>
        <w:tblPrEx>
          <w:tblCellMar>
            <w:top w:w="0" w:type="dxa"/>
            <w:left w:w="108" w:type="dxa"/>
            <w:bottom w:w="0" w:type="dxa"/>
            <w:right w:w="108" w:type="dxa"/>
          </w:tblCellMar>
        </w:tblPrEx>
        <w:trPr>
          <w:trHeight w:val="283"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ascii="宋体" w:hAnsi="宋体" w:cs="宋体"/>
                <w:color w:val="000000"/>
                <w:kern w:val="0"/>
                <w:sz w:val="18"/>
                <w:szCs w:val="18"/>
              </w:rPr>
              <w:t>调查结果是否能成为国土资源管理的基础平台</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是</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是</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1.4</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数据平台正在建立完善</w:t>
            </w:r>
          </w:p>
        </w:tc>
      </w:tr>
      <w:tr>
        <w:tblPrEx>
          <w:tblCellMar>
            <w:top w:w="0" w:type="dxa"/>
            <w:left w:w="108" w:type="dxa"/>
            <w:bottom w:w="0" w:type="dxa"/>
            <w:right w:w="108" w:type="dxa"/>
          </w:tblCellMar>
        </w:tblPrEx>
        <w:trPr>
          <w:trHeight w:val="283"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both"/>
              <w:rPr>
                <w:rFonts w:ascii="宋体"/>
                <w:color w:val="000000"/>
                <w:sz w:val="18"/>
                <w:szCs w:val="18"/>
              </w:rPr>
            </w:pPr>
            <w:r>
              <w:rPr>
                <w:rFonts w:hint="eastAsia" w:ascii="宋体" w:hAnsi="宋体" w:cs="宋体"/>
                <w:color w:val="000000"/>
                <w:kern w:val="0"/>
                <w:sz w:val="18"/>
                <w:szCs w:val="18"/>
              </w:rPr>
              <w:t>完善配套基础设施</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100%</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90%</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1.4</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both"/>
              <w:rPr>
                <w:rFonts w:ascii="宋体"/>
                <w:color w:val="000000"/>
                <w:sz w:val="18"/>
                <w:szCs w:val="18"/>
              </w:rPr>
            </w:pPr>
            <w:r>
              <w:rPr>
                <w:rFonts w:hint="eastAsia" w:ascii="宋体"/>
                <w:kern w:val="0"/>
                <w:sz w:val="18"/>
                <w:szCs w:val="18"/>
              </w:rPr>
              <w:t>尽量在项目施工时更加完善配套的基础设施，做到顺利完成整个项目工程。</w:t>
            </w:r>
          </w:p>
        </w:tc>
      </w:tr>
      <w:tr>
        <w:tblPrEx>
          <w:tblCellMar>
            <w:top w:w="0" w:type="dxa"/>
            <w:left w:w="108" w:type="dxa"/>
            <w:bottom w:w="0" w:type="dxa"/>
            <w:right w:w="108" w:type="dxa"/>
          </w:tblCellMar>
        </w:tblPrEx>
        <w:trPr>
          <w:trHeight w:val="283"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社会效益指标</w:t>
            </w:r>
          </w:p>
        </w:tc>
        <w:tc>
          <w:tcPr>
            <w:tcW w:w="1890"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ascii="宋体" w:hAnsi="宋体" w:cs="宋体"/>
                <w:color w:val="000000"/>
                <w:kern w:val="0"/>
                <w:sz w:val="18"/>
                <w:szCs w:val="18"/>
              </w:rPr>
              <w:t>是否优化国土空间开发格局</w:t>
            </w:r>
          </w:p>
        </w:tc>
        <w:tc>
          <w:tcPr>
            <w:tcW w:w="906"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eastAsia="zh-CN"/>
              </w:rPr>
            </w:pPr>
            <w:r>
              <w:rPr>
                <w:rFonts w:hint="eastAsia" w:ascii="宋体"/>
                <w:color w:val="000000"/>
                <w:sz w:val="18"/>
                <w:szCs w:val="18"/>
                <w:lang w:eastAsia="zh-CN"/>
              </w:rPr>
              <w:t>是</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eastAsia="zh-CN"/>
              </w:rPr>
            </w:pPr>
            <w:r>
              <w:rPr>
                <w:rFonts w:hint="eastAsia" w:ascii="宋体"/>
                <w:color w:val="000000"/>
                <w:sz w:val="18"/>
                <w:szCs w:val="18"/>
                <w:lang w:eastAsia="zh-CN"/>
              </w:rPr>
              <w:t>是</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1.4</w:t>
            </w:r>
          </w:p>
        </w:tc>
        <w:tc>
          <w:tcPr>
            <w:tcW w:w="1313" w:type="dxa"/>
            <w:tcBorders>
              <w:top w:val="single" w:color="000000" w:sz="4" w:space="0"/>
              <w:left w:val="single" w:color="000000" w:sz="4" w:space="0"/>
              <w:bottom w:val="single" w:color="000000" w:sz="4" w:space="0"/>
              <w:right w:val="single" w:color="000000" w:sz="4" w:space="0"/>
            </w:tcBorders>
            <w:vAlign w:val="center"/>
          </w:tcPr>
          <w:tbl>
            <w:tblPr>
              <w:tblStyle w:val="5"/>
              <w:tblW w:w="1394" w:type="dxa"/>
              <w:tblInd w:w="-106" w:type="dxa"/>
              <w:tblLayout w:type="fixed"/>
              <w:tblCellMar>
                <w:top w:w="0" w:type="dxa"/>
                <w:left w:w="108" w:type="dxa"/>
                <w:bottom w:w="0" w:type="dxa"/>
                <w:right w:w="108" w:type="dxa"/>
              </w:tblCellMar>
            </w:tblPr>
            <w:tblGrid>
              <w:gridCol w:w="1394"/>
            </w:tblGrid>
            <w:tr>
              <w:tblPrEx>
                <w:tblCellMar>
                  <w:top w:w="0" w:type="dxa"/>
                  <w:left w:w="108" w:type="dxa"/>
                  <w:bottom w:w="0" w:type="dxa"/>
                  <w:right w:w="108" w:type="dxa"/>
                </w:tblCellMar>
              </w:tblPrEx>
              <w:trPr>
                <w:trHeight w:val="283" w:hRule="atLeast"/>
              </w:trPr>
              <w:tc>
                <w:tcPr>
                  <w:tcW w:w="1394"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color w:val="000000"/>
                      <w:kern w:val="0"/>
                      <w:sz w:val="18"/>
                      <w:szCs w:val="18"/>
                      <w:lang w:eastAsia="zh-CN"/>
                    </w:rPr>
                    <w:t>优化力度可以进一步提高</w:t>
                  </w:r>
                </w:p>
              </w:tc>
            </w:tr>
          </w:tbl>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40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color w:val="000000"/>
                <w:kern w:val="0"/>
                <w:sz w:val="18"/>
                <w:szCs w:val="18"/>
              </w:rPr>
              <w:t>重要存储信息丢失率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≦5%</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5%</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1.4</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p>
        </w:tc>
      </w:tr>
      <w:tr>
        <w:tblPrEx>
          <w:tblCellMar>
            <w:top w:w="0" w:type="dxa"/>
            <w:left w:w="108" w:type="dxa"/>
            <w:bottom w:w="0" w:type="dxa"/>
            <w:right w:w="108" w:type="dxa"/>
          </w:tblCellMar>
        </w:tblPrEx>
        <w:trPr>
          <w:trHeight w:val="31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color w:val="000000"/>
                <w:kern w:val="0"/>
                <w:sz w:val="18"/>
                <w:szCs w:val="18"/>
              </w:rPr>
              <w:t>系统安全登记达标率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≧95%</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95%</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1.4</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系统稳定性安全性进一步提高</w:t>
            </w:r>
          </w:p>
        </w:tc>
      </w:tr>
      <w:tr>
        <w:tblPrEx>
          <w:tblCellMar>
            <w:top w:w="0" w:type="dxa"/>
            <w:left w:w="108" w:type="dxa"/>
            <w:bottom w:w="0" w:type="dxa"/>
            <w:right w:w="108" w:type="dxa"/>
          </w:tblCellMar>
        </w:tblPrEx>
        <w:trPr>
          <w:trHeight w:val="31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color w:val="000000"/>
                <w:kern w:val="0"/>
                <w:sz w:val="18"/>
                <w:szCs w:val="18"/>
                <w:lang w:eastAsia="zh-CN"/>
              </w:rPr>
              <w:t>规划编制</w:t>
            </w:r>
            <w:r>
              <w:rPr>
                <w:rFonts w:hint="eastAsia" w:ascii="宋体"/>
                <w:color w:val="000000"/>
                <w:kern w:val="0"/>
                <w:sz w:val="18"/>
                <w:szCs w:val="18"/>
              </w:rPr>
              <w:t>涉及功能实现率</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≧9</w:t>
            </w:r>
            <w:r>
              <w:rPr>
                <w:rFonts w:hint="eastAsia" w:ascii="宋体" w:hAnsi="宋体" w:cs="宋体"/>
                <w:kern w:val="0"/>
                <w:sz w:val="18"/>
                <w:szCs w:val="18"/>
                <w:lang w:val="en-US" w:eastAsia="zh-CN"/>
              </w:rPr>
              <w:t>0</w:t>
            </w:r>
            <w:r>
              <w:rPr>
                <w:rFonts w:hint="eastAsia" w:ascii="宋体" w:hAnsi="宋体" w:cs="宋体"/>
                <w:kern w:val="0"/>
                <w:sz w:val="18"/>
                <w:szCs w:val="18"/>
              </w:rPr>
              <w:t>%</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90%</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1.4</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进一步完善</w:t>
            </w:r>
          </w:p>
        </w:tc>
      </w:tr>
      <w:tr>
        <w:tblPrEx>
          <w:tblCellMar>
            <w:top w:w="0" w:type="dxa"/>
            <w:left w:w="108" w:type="dxa"/>
            <w:bottom w:w="0" w:type="dxa"/>
            <w:right w:w="108" w:type="dxa"/>
          </w:tblCellMar>
        </w:tblPrEx>
        <w:trPr>
          <w:trHeight w:val="31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color w:val="000000"/>
                <w:kern w:val="0"/>
                <w:sz w:val="18"/>
                <w:szCs w:val="18"/>
              </w:rPr>
              <w:t>构建耕地后备资源分类指标体系</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建成体系</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基本建成</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1.4</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进一步完善中</w:t>
            </w:r>
          </w:p>
        </w:tc>
      </w:tr>
      <w:tr>
        <w:tblPrEx>
          <w:tblCellMar>
            <w:top w:w="0" w:type="dxa"/>
            <w:left w:w="108" w:type="dxa"/>
            <w:bottom w:w="0" w:type="dxa"/>
            <w:right w:w="108" w:type="dxa"/>
          </w:tblCellMar>
        </w:tblPrEx>
        <w:trPr>
          <w:trHeight w:val="31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color w:val="000000"/>
                <w:kern w:val="0"/>
                <w:sz w:val="18"/>
                <w:szCs w:val="18"/>
              </w:rPr>
              <w:t>调整前后全县新增建设用地总规模</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完成修改方案，建设规划数据库</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完成修改方案，建设规划数据库</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1.4</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全县新增建设用地进一步完善</w:t>
            </w:r>
          </w:p>
        </w:tc>
      </w:tr>
      <w:tr>
        <w:tblPrEx>
          <w:tblCellMar>
            <w:top w:w="0" w:type="dxa"/>
            <w:left w:w="108" w:type="dxa"/>
            <w:bottom w:w="0" w:type="dxa"/>
            <w:right w:w="108" w:type="dxa"/>
          </w:tblCellMar>
        </w:tblPrEx>
        <w:trPr>
          <w:trHeight w:val="31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ascii="宋体" w:hAnsi="宋体" w:cs="宋体"/>
                <w:color w:val="000000"/>
                <w:kern w:val="0"/>
                <w:sz w:val="18"/>
                <w:szCs w:val="18"/>
              </w:rPr>
              <w:t>调查结果是否能够成为土地利用总体规划、用地审批、土地开发整理等工作基础</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是</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是</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1.4</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调查数据进一步完善</w:t>
            </w:r>
          </w:p>
        </w:tc>
      </w:tr>
      <w:tr>
        <w:tblPrEx>
          <w:tblCellMar>
            <w:top w:w="0" w:type="dxa"/>
            <w:left w:w="108" w:type="dxa"/>
            <w:bottom w:w="0" w:type="dxa"/>
            <w:right w:w="108" w:type="dxa"/>
          </w:tblCellMar>
        </w:tblPrEx>
        <w:trPr>
          <w:trHeight w:val="570"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ascii="宋体" w:hAnsi="宋体" w:cs="宋体"/>
                <w:color w:val="000000"/>
                <w:kern w:val="0"/>
                <w:sz w:val="18"/>
                <w:szCs w:val="18"/>
              </w:rPr>
              <w:t>是否保护耕地不被非法侵占</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是</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是</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1.4</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color w:val="000000"/>
                <w:kern w:val="0"/>
                <w:sz w:val="18"/>
                <w:szCs w:val="18"/>
                <w:lang w:eastAsia="zh-CN"/>
              </w:rPr>
              <w:t>正在建立完善</w:t>
            </w:r>
          </w:p>
        </w:tc>
      </w:tr>
      <w:tr>
        <w:tblPrEx>
          <w:tblCellMar>
            <w:top w:w="0" w:type="dxa"/>
            <w:left w:w="108" w:type="dxa"/>
            <w:bottom w:w="0" w:type="dxa"/>
            <w:right w:w="108" w:type="dxa"/>
          </w:tblCellMar>
        </w:tblPrEx>
        <w:trPr>
          <w:trHeight w:val="31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hAnsi="宋体" w:cs="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both"/>
              <w:rPr>
                <w:rFonts w:ascii="宋体"/>
                <w:color w:val="000000"/>
                <w:sz w:val="18"/>
                <w:szCs w:val="18"/>
              </w:rPr>
            </w:pPr>
            <w:r>
              <w:rPr>
                <w:rFonts w:hint="eastAsia" w:ascii="宋体" w:hAnsi="宋体" w:cs="宋体"/>
                <w:color w:val="000000"/>
                <w:kern w:val="0"/>
                <w:sz w:val="18"/>
                <w:szCs w:val="18"/>
              </w:rPr>
              <w:t>合理利用土地资源，产生更大的社会效益</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100%</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80%</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1.4</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both"/>
              <w:rPr>
                <w:rFonts w:ascii="宋体"/>
                <w:color w:val="000000"/>
                <w:sz w:val="18"/>
                <w:szCs w:val="18"/>
              </w:rPr>
            </w:pPr>
            <w:r>
              <w:rPr>
                <w:rFonts w:hint="eastAsia" w:ascii="宋体"/>
                <w:kern w:val="0"/>
                <w:sz w:val="18"/>
                <w:szCs w:val="18"/>
              </w:rPr>
              <w:t>对土地资源利用应坚持土地尽其用、用尽其利的原则，减少和杜绝浪费现象。</w:t>
            </w:r>
          </w:p>
        </w:tc>
      </w:tr>
      <w:tr>
        <w:tblPrEx>
          <w:tblCellMar>
            <w:top w:w="0" w:type="dxa"/>
            <w:left w:w="108" w:type="dxa"/>
            <w:bottom w:w="0" w:type="dxa"/>
            <w:right w:w="108" w:type="dxa"/>
          </w:tblCellMar>
        </w:tblPrEx>
        <w:trPr>
          <w:trHeight w:val="31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生态效益指标</w:t>
            </w: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both"/>
              <w:rPr>
                <w:rFonts w:ascii="宋体"/>
                <w:color w:val="000000"/>
                <w:sz w:val="18"/>
                <w:szCs w:val="18"/>
              </w:rPr>
            </w:pPr>
            <w:r>
              <w:rPr>
                <w:rFonts w:hint="eastAsia" w:ascii="宋体" w:hAnsi="宋体" w:cs="宋体"/>
                <w:color w:val="000000"/>
                <w:kern w:val="0"/>
                <w:sz w:val="18"/>
                <w:szCs w:val="18"/>
              </w:rPr>
              <w:t>改善用地区域内生态环境</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eastAsia="zh-CN"/>
              </w:rPr>
            </w:pPr>
            <w:r>
              <w:rPr>
                <w:rFonts w:hint="eastAsia" w:ascii="宋体"/>
                <w:kern w:val="0"/>
                <w:sz w:val="18"/>
                <w:szCs w:val="18"/>
                <w:lang w:val="en-US" w:eastAsia="zh-CN"/>
              </w:rPr>
              <w:t>100%</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eastAsia="zh-CN"/>
              </w:rPr>
            </w:pPr>
            <w:r>
              <w:rPr>
                <w:rFonts w:hint="eastAsia" w:ascii="宋体"/>
                <w:kern w:val="0"/>
                <w:sz w:val="18"/>
                <w:szCs w:val="18"/>
                <w:lang w:val="en-US" w:eastAsia="zh-CN"/>
              </w:rPr>
              <w:t>80%</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1.8</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both"/>
              <w:rPr>
                <w:rFonts w:ascii="宋体"/>
                <w:color w:val="000000"/>
                <w:sz w:val="18"/>
                <w:szCs w:val="18"/>
              </w:rPr>
            </w:pPr>
            <w:r>
              <w:rPr>
                <w:rFonts w:hint="eastAsia" w:ascii="宋体"/>
                <w:kern w:val="0"/>
                <w:sz w:val="18"/>
                <w:szCs w:val="18"/>
              </w:rPr>
              <w:t>尽量在项目施工是时不破坏周边的生态环境。</w:t>
            </w:r>
          </w:p>
        </w:tc>
      </w:tr>
      <w:tr>
        <w:tblPrEx>
          <w:tblCellMar>
            <w:top w:w="0" w:type="dxa"/>
            <w:left w:w="108" w:type="dxa"/>
            <w:bottom w:w="0" w:type="dxa"/>
            <w:right w:w="108" w:type="dxa"/>
          </w:tblCellMar>
        </w:tblPrEx>
        <w:trPr>
          <w:trHeight w:val="22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eastAsia="zh-CN"/>
              </w:rPr>
            </w:pPr>
            <w:r>
              <w:rPr>
                <w:rFonts w:hint="eastAsia" w:ascii="宋体" w:hAnsi="宋体" w:cs="宋体"/>
                <w:color w:val="000000"/>
                <w:sz w:val="18"/>
                <w:szCs w:val="18"/>
                <w:lang w:eastAsia="zh-CN"/>
              </w:rPr>
              <w:t>可持续影响指标</w:t>
            </w:r>
          </w:p>
        </w:tc>
        <w:tc>
          <w:tcPr>
            <w:tcW w:w="1890"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ascii="宋体" w:hAnsi="宋体" w:cs="宋体"/>
                <w:color w:val="000000"/>
                <w:kern w:val="0"/>
                <w:sz w:val="18"/>
                <w:szCs w:val="18"/>
              </w:rPr>
              <w:t>是否为生态文明建设、经济社会建设等提供持续稳定的支</w:t>
            </w:r>
            <w:r>
              <w:rPr>
                <w:rFonts w:ascii="Arial" w:hAnsi="Arial" w:cs="Arial"/>
                <w:color w:val="2B2B2B"/>
                <w:sz w:val="20"/>
                <w:szCs w:val="20"/>
                <w:shd w:val="clear" w:color="auto" w:fill="EDEDED"/>
              </w:rPr>
              <w:t>撑</w:t>
            </w:r>
          </w:p>
        </w:tc>
        <w:tc>
          <w:tcPr>
            <w:tcW w:w="906"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ascii="宋体"/>
                <w:color w:val="000000"/>
                <w:sz w:val="18"/>
                <w:szCs w:val="18"/>
              </w:rPr>
            </w:pPr>
            <w:r>
              <w:rPr>
                <w:rFonts w:hint="eastAsia" w:ascii="宋体"/>
                <w:color w:val="000000"/>
                <w:sz w:val="18"/>
                <w:szCs w:val="18"/>
                <w:lang w:eastAsia="zh-CN"/>
              </w:rPr>
              <w:t>是</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ascii="宋体"/>
                <w:color w:val="000000"/>
                <w:sz w:val="18"/>
                <w:szCs w:val="18"/>
              </w:rPr>
            </w:pPr>
            <w:r>
              <w:rPr>
                <w:rFonts w:hint="eastAsia" w:ascii="宋体"/>
                <w:color w:val="000000"/>
                <w:sz w:val="18"/>
                <w:szCs w:val="18"/>
                <w:lang w:eastAsia="zh-CN"/>
              </w:rPr>
              <w:t>是</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1.4</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kern w:val="0"/>
                <w:sz w:val="18"/>
                <w:szCs w:val="18"/>
                <w:lang w:eastAsia="zh-CN"/>
              </w:rPr>
              <w:t>进一步完善</w:t>
            </w:r>
          </w:p>
        </w:tc>
      </w:tr>
      <w:tr>
        <w:tblPrEx>
          <w:tblCellMar>
            <w:top w:w="0" w:type="dxa"/>
            <w:left w:w="108" w:type="dxa"/>
            <w:bottom w:w="0" w:type="dxa"/>
            <w:right w:w="108" w:type="dxa"/>
          </w:tblCellMar>
        </w:tblPrEx>
        <w:trPr>
          <w:trHeight w:val="22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color w:val="000000"/>
                <w:kern w:val="0"/>
                <w:sz w:val="18"/>
                <w:szCs w:val="18"/>
              </w:rPr>
              <w:t>保障基础设施安全</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保障网络周边安全</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保障网络安全</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1.4</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进一步完善</w:t>
            </w:r>
          </w:p>
        </w:tc>
      </w:tr>
      <w:tr>
        <w:tblPrEx>
          <w:tblCellMar>
            <w:top w:w="0" w:type="dxa"/>
            <w:left w:w="108" w:type="dxa"/>
            <w:bottom w:w="0" w:type="dxa"/>
            <w:right w:w="108" w:type="dxa"/>
          </w:tblCellMar>
        </w:tblPrEx>
        <w:trPr>
          <w:trHeight w:val="22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color w:val="000000"/>
                <w:kern w:val="0"/>
                <w:sz w:val="18"/>
                <w:szCs w:val="18"/>
                <w:lang w:eastAsia="zh-CN"/>
              </w:rPr>
              <w:t>信息</w:t>
            </w:r>
            <w:r>
              <w:rPr>
                <w:rFonts w:hint="eastAsia" w:ascii="宋体"/>
                <w:color w:val="000000"/>
                <w:kern w:val="0"/>
                <w:sz w:val="18"/>
                <w:szCs w:val="18"/>
              </w:rPr>
              <w:t>系统正常使用年限</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≧6年</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6年</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color w:val="000000"/>
                <w:kern w:val="0"/>
                <w:sz w:val="18"/>
                <w:szCs w:val="18"/>
                <w:lang w:eastAsia="zh-CN"/>
              </w:rPr>
              <w:t>规划编制</w:t>
            </w:r>
            <w:r>
              <w:rPr>
                <w:rFonts w:hint="eastAsia" w:ascii="宋体"/>
                <w:color w:val="000000"/>
                <w:kern w:val="0"/>
                <w:sz w:val="18"/>
                <w:szCs w:val="18"/>
              </w:rPr>
              <w:t>成果持续应用年限</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w:t>
            </w:r>
            <w:r>
              <w:rPr>
                <w:rFonts w:hint="eastAsia" w:ascii="宋体" w:hAnsi="宋体" w:cs="宋体"/>
                <w:kern w:val="0"/>
                <w:sz w:val="18"/>
                <w:szCs w:val="18"/>
                <w:lang w:val="en-US" w:eastAsia="zh-CN"/>
              </w:rPr>
              <w:t>2年</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2年</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1.4</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进一步完善</w:t>
            </w:r>
          </w:p>
        </w:tc>
      </w:tr>
      <w:tr>
        <w:tblPrEx>
          <w:tblCellMar>
            <w:top w:w="0" w:type="dxa"/>
            <w:left w:w="108" w:type="dxa"/>
            <w:bottom w:w="0" w:type="dxa"/>
            <w:right w:w="108" w:type="dxa"/>
          </w:tblCellMar>
        </w:tblPrEx>
        <w:trPr>
          <w:trHeight w:val="22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color w:val="000000"/>
                <w:kern w:val="0"/>
                <w:sz w:val="18"/>
                <w:szCs w:val="18"/>
              </w:rPr>
              <w:t>耕地后备资源合理开发</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实现耕地占补平衡</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实现耕地占补平衡</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1.4</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进一步完善中</w:t>
            </w:r>
          </w:p>
        </w:tc>
      </w:tr>
      <w:tr>
        <w:tblPrEx>
          <w:tblCellMar>
            <w:top w:w="0" w:type="dxa"/>
            <w:left w:w="108" w:type="dxa"/>
            <w:bottom w:w="0" w:type="dxa"/>
            <w:right w:w="108" w:type="dxa"/>
          </w:tblCellMar>
        </w:tblPrEx>
        <w:trPr>
          <w:trHeight w:val="22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color w:val="000000"/>
                <w:kern w:val="0"/>
                <w:sz w:val="18"/>
                <w:szCs w:val="18"/>
              </w:rPr>
              <w:t>保障重大产业项目建设依法依规用地</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新增建设用地总规范增加201.5公顷</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新增建设用地总规范增加201.5公顷</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1.8</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进一步完善</w:t>
            </w:r>
          </w:p>
        </w:tc>
      </w:tr>
      <w:tr>
        <w:tblPrEx>
          <w:tblCellMar>
            <w:top w:w="0" w:type="dxa"/>
            <w:left w:w="108" w:type="dxa"/>
            <w:bottom w:w="0" w:type="dxa"/>
            <w:right w:w="108" w:type="dxa"/>
          </w:tblCellMar>
        </w:tblPrEx>
        <w:trPr>
          <w:trHeight w:val="22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hint="eastAsia" w:ascii="宋体" w:hAnsi="宋体" w:cs="宋体"/>
                <w:color w:val="000000"/>
                <w:kern w:val="0"/>
                <w:sz w:val="18"/>
                <w:szCs w:val="18"/>
                <w:lang w:eastAsia="zh-CN"/>
              </w:rPr>
              <w:t>国土空间及村庄规划编制</w:t>
            </w:r>
            <w:r>
              <w:rPr>
                <w:rFonts w:ascii="宋体" w:hAnsi="宋体" w:cs="宋体"/>
                <w:color w:val="000000"/>
                <w:kern w:val="0"/>
                <w:sz w:val="18"/>
                <w:szCs w:val="18"/>
              </w:rPr>
              <w:t>成果持续应用年限</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w:t>
            </w:r>
            <w:r>
              <w:rPr>
                <w:rFonts w:hint="eastAsia" w:ascii="宋体"/>
                <w:kern w:val="0"/>
                <w:sz w:val="18"/>
                <w:szCs w:val="18"/>
              </w:rPr>
              <w:t>10年</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10年</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1.8</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进一步优化成果持续应用</w:t>
            </w:r>
          </w:p>
        </w:tc>
      </w:tr>
      <w:tr>
        <w:tblPrEx>
          <w:tblCellMar>
            <w:top w:w="0" w:type="dxa"/>
            <w:left w:w="108" w:type="dxa"/>
            <w:bottom w:w="0" w:type="dxa"/>
            <w:right w:w="108" w:type="dxa"/>
          </w:tblCellMar>
        </w:tblPrEx>
        <w:trPr>
          <w:trHeight w:val="22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color w:val="000000"/>
                <w:sz w:val="18"/>
                <w:szCs w:val="18"/>
              </w:rPr>
            </w:pPr>
            <w:r>
              <w:rPr>
                <w:rFonts w:ascii="宋体" w:hAnsi="宋体" w:cs="宋体"/>
                <w:color w:val="000000"/>
                <w:kern w:val="0"/>
                <w:sz w:val="18"/>
                <w:szCs w:val="18"/>
              </w:rPr>
              <w:t>是否保持国土调查数据现势性</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是</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是</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1.8</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调查数据进一步完善</w:t>
            </w:r>
          </w:p>
        </w:tc>
      </w:tr>
      <w:tr>
        <w:tblPrEx>
          <w:tblCellMar>
            <w:top w:w="0" w:type="dxa"/>
            <w:left w:w="108" w:type="dxa"/>
            <w:bottom w:w="0" w:type="dxa"/>
            <w:right w:w="108" w:type="dxa"/>
          </w:tblCellMar>
        </w:tblPrEx>
        <w:trPr>
          <w:trHeight w:val="228" w:hRule="atLeast"/>
        </w:trPr>
        <w:tc>
          <w:tcPr>
            <w:tcW w:w="63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530"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both"/>
              <w:rPr>
                <w:rFonts w:ascii="宋体"/>
                <w:color w:val="000000"/>
                <w:sz w:val="18"/>
                <w:szCs w:val="18"/>
              </w:rPr>
            </w:pPr>
            <w:r>
              <w:rPr>
                <w:rFonts w:hint="eastAsia" w:ascii="宋体" w:hAnsi="宋体" w:cs="宋体"/>
                <w:color w:val="000000"/>
                <w:kern w:val="0"/>
                <w:sz w:val="18"/>
                <w:szCs w:val="18"/>
              </w:rPr>
              <w:t>对后续项目施工产生持续影响</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100%</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eastAsia="zh-CN"/>
              </w:rPr>
              <w:t>100%</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1.5</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228" w:hRule="atLeast"/>
        </w:trPr>
        <w:tc>
          <w:tcPr>
            <w:tcW w:w="637"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满意度指标</w:t>
            </w:r>
          </w:p>
        </w:tc>
        <w:tc>
          <w:tcPr>
            <w:tcW w:w="530"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ascii="宋体" w:hAnsi="宋体" w:cs="宋体"/>
                <w:color w:val="000000"/>
                <w:sz w:val="18"/>
                <w:szCs w:val="18"/>
              </w:rPr>
              <w:t>10</w:t>
            </w:r>
          </w:p>
        </w:tc>
        <w:tc>
          <w:tcPr>
            <w:tcW w:w="1615" w:type="dxa"/>
            <w:vMerge w:val="restart"/>
            <w:tcBorders>
              <w:top w:val="single" w:color="000000" w:sz="4" w:space="0"/>
              <w:left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满意度指标</w:t>
            </w:r>
          </w:p>
        </w:tc>
        <w:tc>
          <w:tcPr>
            <w:tcW w:w="1890"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hAnsi="宋体" w:cs="宋体"/>
                <w:color w:val="000000"/>
                <w:kern w:val="0"/>
                <w:sz w:val="18"/>
                <w:szCs w:val="18"/>
              </w:rPr>
            </w:pPr>
            <w:r>
              <w:rPr>
                <w:rFonts w:ascii="宋体" w:hAnsi="宋体" w:cs="宋体"/>
                <w:color w:val="000000"/>
                <w:kern w:val="0"/>
                <w:sz w:val="18"/>
                <w:szCs w:val="18"/>
              </w:rPr>
              <w:t>服务</w:t>
            </w:r>
            <w:r>
              <w:rPr>
                <w:rFonts w:hint="eastAsia" w:ascii="宋体" w:hAnsi="宋体" w:cs="宋体"/>
                <w:color w:val="000000"/>
                <w:kern w:val="0"/>
                <w:sz w:val="18"/>
                <w:szCs w:val="18"/>
              </w:rPr>
              <w:t>单位</w:t>
            </w:r>
            <w:r>
              <w:rPr>
                <w:rFonts w:ascii="宋体" w:hAnsi="宋体" w:cs="宋体"/>
                <w:color w:val="000000"/>
                <w:kern w:val="0"/>
                <w:sz w:val="18"/>
                <w:szCs w:val="18"/>
              </w:rPr>
              <w:t>满意度（%）</w:t>
            </w:r>
          </w:p>
        </w:tc>
        <w:tc>
          <w:tcPr>
            <w:tcW w:w="906"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ascii="宋体"/>
                <w:color w:val="000000"/>
                <w:sz w:val="18"/>
                <w:szCs w:val="18"/>
              </w:rPr>
            </w:pPr>
            <w:r>
              <w:rPr>
                <w:rFonts w:hint="eastAsia" w:ascii="宋体" w:hAnsi="宋体" w:cs="宋体"/>
                <w:kern w:val="0"/>
                <w:sz w:val="18"/>
                <w:szCs w:val="18"/>
              </w:rPr>
              <w:t>≧90%</w:t>
            </w:r>
          </w:p>
        </w:tc>
        <w:tc>
          <w:tcPr>
            <w:tcW w:w="855"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lef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90%</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 xml:space="preserve"> 2</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1.8</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kern w:val="0"/>
                <w:sz w:val="18"/>
                <w:szCs w:val="18"/>
                <w:lang w:eastAsia="zh-CN"/>
              </w:rPr>
              <w:t>解决问题的能力有待提高</w:t>
            </w: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530"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hAnsi="宋体" w:cs="宋体"/>
                <w:color w:val="000000"/>
                <w:kern w:val="0"/>
                <w:sz w:val="18"/>
                <w:szCs w:val="18"/>
              </w:rPr>
            </w:pPr>
            <w:r>
              <w:rPr>
                <w:rFonts w:hint="eastAsia" w:ascii="宋体"/>
                <w:color w:val="000000"/>
                <w:kern w:val="0"/>
                <w:sz w:val="18"/>
                <w:szCs w:val="18"/>
              </w:rPr>
              <w:t>自然资源主管部门满意度</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≧90%</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91%</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1.8</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服务群众、解决问题的能力有待提高。</w:t>
            </w: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530"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hAnsi="宋体" w:cs="宋体"/>
                <w:color w:val="000000"/>
                <w:kern w:val="0"/>
                <w:sz w:val="18"/>
                <w:szCs w:val="18"/>
              </w:rPr>
            </w:pPr>
            <w:r>
              <w:rPr>
                <w:rFonts w:hint="eastAsia" w:ascii="宋体"/>
                <w:color w:val="000000"/>
                <w:kern w:val="0"/>
                <w:sz w:val="18"/>
                <w:szCs w:val="18"/>
              </w:rPr>
              <w:t>政府机构主体、自然资源主管部门满意度意度</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≧9</w:t>
            </w:r>
            <w:r>
              <w:rPr>
                <w:rFonts w:hint="eastAsia" w:ascii="宋体" w:hAnsi="宋体" w:cs="宋体"/>
                <w:kern w:val="0"/>
                <w:sz w:val="18"/>
                <w:szCs w:val="18"/>
                <w:lang w:val="en-US" w:eastAsia="zh-CN"/>
              </w:rPr>
              <w:t>1</w:t>
            </w:r>
            <w:r>
              <w:rPr>
                <w:rFonts w:hint="eastAsia" w:ascii="宋体" w:hAnsi="宋体" w:cs="宋体"/>
                <w:kern w:val="0"/>
                <w:sz w:val="18"/>
                <w:szCs w:val="18"/>
              </w:rPr>
              <w:t>%</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rPr>
              <w:t>91%</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1.7</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eastAsia="zh-CN"/>
              </w:rPr>
              <w:t>相对较为复杂的工作未能快速完成</w:t>
            </w: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530"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hAnsi="宋体" w:cs="宋体"/>
                <w:color w:val="000000"/>
                <w:kern w:val="0"/>
                <w:sz w:val="18"/>
                <w:szCs w:val="18"/>
              </w:rPr>
            </w:pPr>
            <w:r>
              <w:rPr>
                <w:rFonts w:ascii="宋体" w:hAnsi="宋体" w:cs="宋体"/>
                <w:color w:val="000000"/>
                <w:kern w:val="0"/>
                <w:sz w:val="18"/>
                <w:szCs w:val="18"/>
              </w:rPr>
              <w:t>服务</w:t>
            </w:r>
            <w:r>
              <w:rPr>
                <w:rFonts w:hint="eastAsia" w:ascii="宋体" w:hAnsi="宋体" w:cs="宋体"/>
                <w:color w:val="000000"/>
                <w:kern w:val="0"/>
                <w:sz w:val="18"/>
                <w:szCs w:val="18"/>
              </w:rPr>
              <w:t>单位</w:t>
            </w:r>
            <w:r>
              <w:rPr>
                <w:rFonts w:ascii="宋体" w:hAnsi="宋体" w:cs="宋体"/>
                <w:color w:val="000000"/>
                <w:kern w:val="0"/>
                <w:sz w:val="18"/>
                <w:szCs w:val="18"/>
              </w:rPr>
              <w:t>满意度（%）</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≧9</w:t>
            </w:r>
            <w:r>
              <w:rPr>
                <w:rFonts w:hint="eastAsia" w:ascii="宋体" w:hAnsi="宋体" w:cs="宋体"/>
                <w:kern w:val="0"/>
                <w:sz w:val="18"/>
                <w:szCs w:val="18"/>
                <w:lang w:val="en-US" w:eastAsia="zh-CN"/>
              </w:rPr>
              <w:t>0</w:t>
            </w:r>
            <w:r>
              <w:rPr>
                <w:rFonts w:hint="eastAsia" w:ascii="宋体" w:hAnsi="宋体" w:cs="宋体"/>
                <w:kern w:val="0"/>
                <w:sz w:val="18"/>
                <w:szCs w:val="18"/>
              </w:rPr>
              <w:t>%</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lang w:val="en-US"/>
              </w:rPr>
              <w:t>9</w:t>
            </w:r>
            <w:r>
              <w:rPr>
                <w:rFonts w:hint="eastAsia" w:ascii="宋体"/>
                <w:kern w:val="0"/>
                <w:sz w:val="18"/>
                <w:szCs w:val="18"/>
                <w:lang w:val="en-US" w:eastAsia="zh-CN"/>
              </w:rPr>
              <w:t>0</w:t>
            </w:r>
            <w:r>
              <w:rPr>
                <w:rFonts w:hint="eastAsia" w:ascii="宋体"/>
                <w:kern w:val="0"/>
                <w:sz w:val="18"/>
                <w:szCs w:val="18"/>
                <w:lang w:val="en-US"/>
              </w:rPr>
              <w:t>%</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 xml:space="preserve"> 2</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1.8</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kern w:val="0"/>
                <w:sz w:val="18"/>
                <w:szCs w:val="18"/>
                <w:lang w:eastAsia="zh-CN"/>
              </w:rPr>
              <w:t>服务群众、解决问题的能力有待提高。</w:t>
            </w:r>
          </w:p>
        </w:tc>
      </w:tr>
      <w:tr>
        <w:tblPrEx>
          <w:tblCellMar>
            <w:top w:w="0" w:type="dxa"/>
            <w:left w:w="108" w:type="dxa"/>
            <w:bottom w:w="0" w:type="dxa"/>
            <w:right w:w="108" w:type="dxa"/>
          </w:tblCellMar>
        </w:tblPrEx>
        <w:trPr>
          <w:trHeight w:val="228" w:hRule="atLeast"/>
        </w:trPr>
        <w:tc>
          <w:tcPr>
            <w:tcW w:w="637"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530"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615" w:type="dxa"/>
            <w:vMerge w:val="continue"/>
            <w:tcBorders>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c>
          <w:tcPr>
            <w:tcW w:w="189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lang w:eastAsia="zh-CN"/>
              </w:rPr>
              <w:t>受</w:t>
            </w:r>
            <w:r>
              <w:rPr>
                <w:rFonts w:hint="eastAsia" w:ascii="宋体" w:hAnsi="宋体" w:cs="宋体"/>
                <w:color w:val="000000"/>
                <w:kern w:val="0"/>
                <w:sz w:val="18"/>
                <w:szCs w:val="18"/>
              </w:rPr>
              <w:t>益群众</w:t>
            </w:r>
            <w:r>
              <w:rPr>
                <w:rFonts w:ascii="宋体" w:hAnsi="宋体" w:cs="宋体"/>
                <w:color w:val="000000"/>
                <w:kern w:val="0"/>
                <w:sz w:val="18"/>
                <w:szCs w:val="18"/>
              </w:rPr>
              <w:t>满意度（%）</w:t>
            </w:r>
          </w:p>
        </w:tc>
        <w:tc>
          <w:tcPr>
            <w:tcW w:w="906"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hAnsi="宋体" w:cs="宋体"/>
                <w:kern w:val="0"/>
                <w:sz w:val="18"/>
                <w:szCs w:val="18"/>
              </w:rPr>
              <w:t>≧90%</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90%</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2</w:t>
            </w:r>
          </w:p>
        </w:tc>
        <w:tc>
          <w:tcPr>
            <w:tcW w:w="631"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eastAsia="宋体"/>
                <w:color w:val="000000"/>
                <w:sz w:val="18"/>
                <w:szCs w:val="18"/>
                <w:lang w:val="en-US" w:eastAsia="zh-CN"/>
              </w:rPr>
            </w:pPr>
            <w:r>
              <w:rPr>
                <w:rFonts w:hint="eastAsia" w:ascii="宋体"/>
                <w:color w:val="000000"/>
                <w:sz w:val="18"/>
                <w:szCs w:val="18"/>
                <w:lang w:val="en-US" w:eastAsia="zh-CN"/>
              </w:rPr>
              <w:t>1.8</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ascii="宋体"/>
                <w:color w:val="000000"/>
                <w:sz w:val="18"/>
                <w:szCs w:val="18"/>
              </w:rPr>
            </w:pPr>
            <w:r>
              <w:rPr>
                <w:rFonts w:hint="eastAsia" w:ascii="宋体"/>
                <w:kern w:val="0"/>
                <w:sz w:val="18"/>
                <w:szCs w:val="18"/>
              </w:rPr>
              <w:t>虚心接受群众提出意见，争取做到每个人都满意。</w:t>
            </w:r>
          </w:p>
        </w:tc>
      </w:tr>
      <w:tr>
        <w:tblPrEx>
          <w:tblCellMar>
            <w:top w:w="0" w:type="dxa"/>
            <w:left w:w="108" w:type="dxa"/>
            <w:bottom w:w="0" w:type="dxa"/>
            <w:right w:w="108" w:type="dxa"/>
          </w:tblCellMar>
        </w:tblPrEx>
        <w:trPr>
          <w:trHeight w:val="300" w:hRule="atLeast"/>
        </w:trPr>
        <w:tc>
          <w:tcPr>
            <w:tcW w:w="6433" w:type="dxa"/>
            <w:gridSpan w:val="6"/>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hint="eastAsia" w:ascii="宋体" w:hAnsi="宋体" w:cs="宋体"/>
                <w:color w:val="000000"/>
                <w:sz w:val="18"/>
                <w:szCs w:val="18"/>
              </w:rPr>
              <w:t>总分</w:t>
            </w:r>
          </w:p>
        </w:tc>
        <w:tc>
          <w:tcPr>
            <w:tcW w:w="569"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r>
              <w:rPr>
                <w:rFonts w:ascii="宋体" w:hAnsi="宋体" w:cs="宋体"/>
                <w:color w:val="000000"/>
                <w:sz w:val="18"/>
                <w:szCs w:val="18"/>
              </w:rPr>
              <w:t>100</w:t>
            </w:r>
          </w:p>
        </w:tc>
        <w:tc>
          <w:tcPr>
            <w:tcW w:w="631"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hint="eastAsia" w:ascii="宋体" w:eastAsia="宋体"/>
                <w:color w:val="000000"/>
                <w:sz w:val="18"/>
                <w:szCs w:val="18"/>
                <w:lang w:val="en-US" w:eastAsia="zh-CN"/>
              </w:rPr>
            </w:pPr>
            <w:r>
              <w:rPr>
                <w:rFonts w:hint="eastAsia" w:ascii="宋体"/>
                <w:color w:val="000000"/>
                <w:sz w:val="18"/>
                <w:szCs w:val="18"/>
                <w:lang w:val="en-US" w:eastAsia="zh-CN"/>
              </w:rPr>
              <w:t>91</w:t>
            </w:r>
          </w:p>
        </w:tc>
        <w:tc>
          <w:tcPr>
            <w:tcW w:w="1313" w:type="dxa"/>
            <w:tcBorders>
              <w:top w:val="single" w:color="000000" w:sz="4" w:space="0"/>
              <w:left w:val="single" w:color="000000" w:sz="4" w:space="0"/>
              <w:bottom w:val="single" w:color="000000" w:sz="4" w:space="0"/>
              <w:right w:val="single" w:color="000000" w:sz="4" w:space="0"/>
            </w:tcBorders>
            <w:vAlign w:val="center"/>
          </w:tcPr>
          <w:p>
            <w:pPr>
              <w:autoSpaceDN w:val="0"/>
              <w:spacing w:line="240" w:lineRule="exact"/>
              <w:jc w:val="center"/>
              <w:textAlignment w:val="center"/>
              <w:rPr>
                <w:rFonts w:ascii="宋体"/>
                <w:color w:val="000000"/>
                <w:sz w:val="18"/>
                <w:szCs w:val="18"/>
              </w:rPr>
            </w:pPr>
          </w:p>
        </w:tc>
      </w:tr>
      <w:tr>
        <w:tblPrEx>
          <w:tblCellMar>
            <w:top w:w="0" w:type="dxa"/>
            <w:left w:w="108" w:type="dxa"/>
            <w:bottom w:w="0" w:type="dxa"/>
            <w:right w:w="108" w:type="dxa"/>
          </w:tblCellMar>
        </w:tblPrEx>
        <w:trPr>
          <w:trHeight w:val="852" w:hRule="atLeast"/>
        </w:trPr>
        <w:tc>
          <w:tcPr>
            <w:tcW w:w="8946" w:type="dxa"/>
            <w:gridSpan w:val="9"/>
            <w:tcBorders>
              <w:top w:val="single" w:color="000000" w:sz="4" w:space="0"/>
            </w:tcBorders>
          </w:tcPr>
          <w:p>
            <w:pPr>
              <w:autoSpaceDN w:val="0"/>
              <w:spacing w:line="240" w:lineRule="exact"/>
              <w:jc w:val="left"/>
              <w:textAlignment w:val="top"/>
              <w:rPr>
                <w:rFonts w:ascii="宋体" w:hAnsi="宋体" w:cs="宋体"/>
                <w:color w:val="000000"/>
                <w:sz w:val="18"/>
                <w:szCs w:val="18"/>
              </w:rPr>
            </w:pPr>
            <w:r>
              <w:rPr>
                <w:rFonts w:hint="eastAsia" w:ascii="宋体" w:hAnsi="宋体" w:cs="宋体"/>
                <w:color w:val="000000"/>
                <w:sz w:val="18"/>
                <w:szCs w:val="18"/>
              </w:rPr>
              <w:t>说明：</w:t>
            </w:r>
            <w:r>
              <w:rPr>
                <w:rFonts w:ascii="宋体" w:hAnsi="宋体" w:cs="宋体"/>
                <w:color w:val="000000"/>
                <w:sz w:val="18"/>
                <w:szCs w:val="18"/>
              </w:rPr>
              <w:t>1.</w:t>
            </w:r>
            <w:r>
              <w:rPr>
                <w:rFonts w:hint="eastAsia" w:ascii="宋体" w:hAnsi="宋体" w:cs="宋体"/>
                <w:color w:val="000000"/>
                <w:sz w:val="18"/>
                <w:szCs w:val="18"/>
              </w:rPr>
              <w:t>各部门可根据附件</w:t>
            </w:r>
            <w:r>
              <w:rPr>
                <w:rFonts w:ascii="宋体" w:hAnsi="宋体" w:cs="宋体"/>
                <w:color w:val="000000"/>
                <w:sz w:val="18"/>
                <w:szCs w:val="18"/>
              </w:rPr>
              <w:t>3</w:t>
            </w:r>
            <w:r>
              <w:rPr>
                <w:rFonts w:hint="eastAsia" w:ascii="宋体" w:hAnsi="宋体" w:cs="宋体"/>
                <w:color w:val="000000"/>
                <w:sz w:val="18"/>
                <w:szCs w:val="18"/>
              </w:rPr>
              <w:t>《部门整体支出绩效评价指标体系框架》（参考）设置三级指标和指标</w:t>
            </w:r>
          </w:p>
          <w:p>
            <w:pPr>
              <w:autoSpaceDN w:val="0"/>
              <w:spacing w:line="240" w:lineRule="exact"/>
              <w:jc w:val="left"/>
              <w:textAlignment w:val="top"/>
              <w:rPr>
                <w:rFonts w:ascii="宋体"/>
                <w:color w:val="000000"/>
                <w:sz w:val="18"/>
                <w:szCs w:val="18"/>
              </w:rPr>
            </w:pPr>
            <w:r>
              <w:rPr>
                <w:rFonts w:ascii="宋体" w:hAnsi="宋体" w:cs="宋体"/>
                <w:color w:val="000000"/>
                <w:sz w:val="18"/>
                <w:szCs w:val="18"/>
              </w:rPr>
              <w:t xml:space="preserve">      2.</w:t>
            </w:r>
            <w:r>
              <w:rPr>
                <w:rFonts w:hint="eastAsia" w:ascii="宋体" w:hAnsi="宋体" w:cs="宋体"/>
                <w:color w:val="000000"/>
                <w:sz w:val="18"/>
                <w:szCs w:val="18"/>
              </w:rPr>
              <w:t>上述产出指标和效益指标根据年初设定的绩效目标既可以按照重点任务完成情况分别填列，也可以依据所有重点任务归纳提炼综合指标。</w:t>
            </w:r>
          </w:p>
        </w:tc>
      </w:tr>
    </w:tbl>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spacing w:line="560" w:lineRule="exact"/>
        <w:rPr>
          <w:rFonts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44"/>
          <w:szCs w:val="44"/>
          <w:lang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44"/>
          <w:szCs w:val="44"/>
          <w:lang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44"/>
          <w:szCs w:val="44"/>
          <w:lang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44"/>
          <w:szCs w:val="44"/>
          <w:lang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44"/>
          <w:szCs w:val="44"/>
          <w:lang w:eastAsia="zh-CN"/>
        </w:rPr>
      </w:pP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浮梁县自然资源和规划局</w:t>
      </w:r>
      <w:r>
        <w:rPr>
          <w:rFonts w:hint="eastAsia" w:ascii="方正小标宋简体" w:hAnsi="方正小标宋简体" w:eastAsia="方正小标宋简体" w:cs="方正小标宋简体"/>
          <w:sz w:val="44"/>
          <w:szCs w:val="44"/>
        </w:rPr>
        <w:t>部门整体</w:t>
      </w:r>
    </w:p>
    <w:p>
      <w:pPr>
        <w:spacing w:line="560" w:lineRule="exact"/>
        <w:jc w:val="center"/>
        <w:rPr>
          <w:rFonts w:ascii="方正小标宋简体" w:hAnsi="方正小标宋简体" w:eastAsia="方正小标宋简体"/>
          <w:sz w:val="44"/>
          <w:szCs w:val="44"/>
        </w:rPr>
      </w:pPr>
      <w:r>
        <w:rPr>
          <w:rFonts w:hint="eastAsia" w:ascii="方正小标宋简体" w:hAnsi="方正小标宋简体" w:eastAsia="方正小标宋简体" w:cs="方正小标宋简体"/>
          <w:sz w:val="44"/>
          <w:szCs w:val="44"/>
        </w:rPr>
        <w:t>支出绩效自评报告</w:t>
      </w:r>
    </w:p>
    <w:p>
      <w:pPr>
        <w:spacing w:line="560" w:lineRule="exact"/>
        <w:jc w:val="center"/>
        <w:rPr>
          <w:rFonts w:ascii="楷体_GB2312" w:hAnsi="楷体_GB2312" w:eastAsia="楷体_GB2312"/>
          <w:sz w:val="32"/>
          <w:szCs w:val="32"/>
        </w:rPr>
      </w:pPr>
      <w:r>
        <w:rPr>
          <w:rFonts w:hint="eastAsia" w:ascii="楷体_GB2312" w:hAnsi="楷体_GB2312" w:eastAsia="楷体_GB2312" w:cs="楷体_GB2312"/>
          <w:sz w:val="32"/>
          <w:szCs w:val="32"/>
        </w:rPr>
        <w:t>（2021年度）</w:t>
      </w:r>
    </w:p>
    <w:p>
      <w:pPr>
        <w:spacing w:line="560" w:lineRule="exact"/>
        <w:jc w:val="center"/>
        <w:rPr>
          <w:rFonts w:ascii="仿宋" w:hAnsi="仿宋" w:eastAsia="仿宋"/>
          <w:szCs w:val="21"/>
        </w:rPr>
      </w:pPr>
    </w:p>
    <w:p>
      <w:pPr>
        <w:spacing w:line="560" w:lineRule="exact"/>
        <w:ind w:firstLine="640" w:firstLineChars="200"/>
        <w:rPr>
          <w:rFonts w:ascii="黑体" w:hAnsi="黑体" w:eastAsia="黑体"/>
          <w:sz w:val="32"/>
          <w:szCs w:val="32"/>
        </w:rPr>
      </w:pPr>
      <w:r>
        <w:rPr>
          <w:rFonts w:hint="eastAsia" w:ascii="黑体" w:hAnsi="黑体" w:eastAsia="黑体" w:cs="黑体"/>
          <w:sz w:val="32"/>
          <w:szCs w:val="32"/>
        </w:rPr>
        <w:t>一、部门概况</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（一）部门主要职责职能，组织架构、人员及资产等基本情况。</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、部门主要职责</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(1)、贯彻执行国家和省、市有关土地、矿产、测绘的方针、政策和法律、法规，拟订本县有关的行政规章并组织实施和监督检查。</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(2)、编制和实施国土规划、土地和矿产资源保护与合理利用规划、地质勘查规划；参与城市总体规划的审核、指导和审核各镇(场)土地利用总体规划、矿产资源开发利用、地质勘查规划。</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(3)、统筹、协调国土整治活动；依法保护土地、矿产资源所有者和使用者的合法权益，承办并调处权属纠纷，查处违法案件。</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(4)、实施农地用途管制，组织落实基本农田保护制度；拟订未利用土地开发、土地整理、土地复垦和开发耕地政策并进行监督实施，确保耕地面积占补动态平衡。</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(5)、统一管理城乡地籍；组织土地资源调查、地籍调查、土地统计和动态监测；负责土地确权登记、发证、城乡地籍管理工作。</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对土地、租赁、作价出资、转让、交易进行管理和监督检查；负责政府土地收购工作；负责农村集体非农土地使用权的流转管理；负责组织土地定级、基准地价、标定地价的制定与公布；审核土地评估机构资格，确认土地使用权价格；承担报省、市人民政府审批的各类用地的审查、报批工作。</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采矿许可证审核登记发证和转让审批登记管理工作；组织矿产资源调查，负责矿产资源储量管理和地质资料汇交管理工作；依法实施地质勘查行业管理，核准地质勘查单位的资格；管理地质勘查成果；组织征收矿产资源补偿费。</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(8)、组织监测、防治地质灾害和保护地质遗迹，管理水文地质、工程地质、环境地质勘查和评价工作，监测、监督防止地下水的过量开采与污染，保护地质环境。</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制订测绘工作规划、计划和技术标准；组织并管理基础测绘、行政区域界线测绘、地籍测绘和其他有关测绘项目；依法实施测绘行业管理，负责测绘单位资格审核报批；负责测绘任务登记；管理测绘成果质量和地图编制工作；管理大地测量控制系统，管理、审核、发布基础地理信息数据；指导和监督测量标志的保护工作。</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(10)、负责土地资源、矿产资源、测绘事业的对外合作与交流。</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(11)、管理派出机构和直属单位。</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(12)、承办县委、县政府和上级职能部门交办的其他事项。</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、部门基本情况</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根据《浮梁县自然资源和规划局职能配置、内设机构和人员编制规定》，组建浮梁县自然资源和规划局，为县政府组成部门，内设10个职能股室，下设事业单位为土地储备中心。</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本单位属于行政单位，财务隶属于浮梁县财政局，法定人代表：林群，地址为浮梁县朝阳中大道77号，2021年年末编制人数120人，其中：行政编制13人，事业编制107人；实有在职人员103人。</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截止2021年12月31日，本单位资产总计7965.46万元，其中固定资产净值1288.5万元，无形资产净值42.44万元。</w:t>
      </w:r>
    </w:p>
    <w:p>
      <w:pPr>
        <w:numPr>
          <w:ilvl w:val="0"/>
          <w:numId w:val="1"/>
        </w:num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当年部门履职总体目标、工作任务。</w:t>
      </w:r>
    </w:p>
    <w:p>
      <w:pPr>
        <w:numPr>
          <w:ilvl w:val="0"/>
          <w:numId w:val="0"/>
        </w:numPr>
        <w:spacing w:line="56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1、</w:t>
      </w:r>
      <w:r>
        <w:rPr>
          <w:rFonts w:hint="eastAsia" w:ascii="仿宋_GB2312" w:hAnsi="仿宋_GB2312" w:eastAsia="仿宋_GB2312" w:cs="仿宋_GB2312"/>
          <w:sz w:val="32"/>
          <w:szCs w:val="32"/>
          <w:lang w:eastAsia="zh-CN"/>
        </w:rPr>
        <w:t>总体目标</w:t>
      </w:r>
    </w:p>
    <w:p>
      <w:pPr>
        <w:numPr>
          <w:ilvl w:val="0"/>
          <w:numId w:val="0"/>
        </w:numPr>
        <w:spacing w:line="56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2021年，浮梁县自然资源和规划局以习近平新时代中国特色社会主义思想和党的十九大、十九届五中、六中全会精神为指导，坚决贯彻落实县委、县政府和省厅、市局的各项决策部署，结合党史学习教育活动，精准发力“促发展、保资源、惠民生”，为浮梁新时代高质量跨越式发展提供坚强的自然资源要素保障作用，在服务大局中实现了新的发展。</w:t>
      </w:r>
    </w:p>
    <w:p>
      <w:pPr>
        <w:numPr>
          <w:ilvl w:val="0"/>
          <w:numId w:val="0"/>
        </w:num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2、工作任务</w:t>
      </w:r>
    </w:p>
    <w:p>
      <w:p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（1）1、科学统筹，高水平规划引领。</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sym w:font="Wingdings" w:char="F081"/>
      </w:r>
      <w:r>
        <w:rPr>
          <w:rFonts w:hint="eastAsia" w:ascii="仿宋_GB2312" w:hAnsi="仿宋_GB2312" w:eastAsia="仿宋_GB2312" w:cs="仿宋_GB2312"/>
          <w:sz w:val="32"/>
          <w:szCs w:val="32"/>
          <w:lang w:val="en-US" w:eastAsia="zh-CN"/>
        </w:rPr>
        <w:t>扎实推进国土空间规划编制工作。以土地利用总体规划延续方案编制工作为切入点，强化多方联动，整合县域资源，合力推进国土空间规划编制工作。协同编制团队清华同衡，完成了国土空间总体规划编制第三轮调研及访谈、资料的收集工作。成立浮梁县国土空间规划编制暨“三区三线”试划工作专班，不断完善统筹协调推进机制，建立健全专项规划目录清单制度，并从各成员单位抽调人员在我局集中办公，基本完成了浮梁县第二轮国土空间规划编制暨“三区三线”试划工作，确保我县国土空间规划编制工作有序推进。</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sym w:font="Wingdings" w:char="F082"/>
      </w:r>
      <w:r>
        <w:rPr>
          <w:rFonts w:hint="eastAsia" w:ascii="仿宋_GB2312" w:hAnsi="仿宋_GB2312" w:eastAsia="仿宋_GB2312" w:cs="仿宋_GB2312"/>
          <w:sz w:val="32"/>
          <w:szCs w:val="32"/>
          <w:lang w:val="en-US" w:eastAsia="zh-CN"/>
        </w:rPr>
        <w:t>是加快国土空间“一张图”平台信息系统建设。与国土空间总体规划编制同步开展国土空间基础信息平台及“一张图”实施监督信息系统建设，现阶段已初步完成国土空间数据资源体系建设、国土空间基础信息平台及国土空间规划“一张图”实施监督信息系统的建设工作，力争与规划编制数据实现动态衔接后完成上线试运行工作。</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sym w:font="Wingdings" w:char="F083"/>
      </w:r>
      <w:r>
        <w:rPr>
          <w:rFonts w:hint="eastAsia" w:ascii="仿宋_GB2312" w:hAnsi="仿宋_GB2312" w:eastAsia="仿宋_GB2312" w:cs="仿宋_GB2312"/>
          <w:sz w:val="32"/>
          <w:szCs w:val="32"/>
          <w:lang w:val="en-US" w:eastAsia="zh-CN"/>
        </w:rPr>
        <w:t>是积极实施2021年村庄规划编制（试点）工作。2021年，在寿安镇、王港乡全面开展村庄规划编制（试点）工作，科学有序引导村庄规划建设，服务全域土地综合整治试点工作。目前，全域土地综合整治试点乡镇总数2个，已形成基本稳定文本图件的乡镇数量1个，年度能形成稳定文本图件的乡镇数量1个；全域土地综合整治试点村庄总数15个，已形成基本稳定文本图件的村庄数量4个，年底前能形成稳定文本图件的村庄数量2个；所辖乡镇总数16个，已完成村庄规划编制任务的乡镇数量（按照形成基本稳定的文本、图件作为判定）0个，年定能形成稳定文本图件乡镇数量4个。寿安、王港全域土地综合整治推进情况，包含镇域规划编制和实施方案情况：寿安镇8个村村庄规划已完成中期成果，下一步自然村方案公示及征求村民意见；王港乡8个村已完成外业测量、现场踏勘和1个村庄规划初步成果。</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微软雅黑" w:hAnsi="微软雅黑" w:eastAsia="微软雅黑" w:cs="微软雅黑"/>
          <w:sz w:val="32"/>
          <w:szCs w:val="32"/>
          <w:lang w:val="en-US" w:eastAsia="zh-CN"/>
        </w:rPr>
        <w:t>④</w:t>
      </w:r>
      <w:r>
        <w:rPr>
          <w:rFonts w:hint="eastAsia" w:ascii="仿宋_GB2312" w:hAnsi="仿宋_GB2312" w:eastAsia="仿宋_GB2312" w:cs="仿宋_GB2312"/>
          <w:sz w:val="32"/>
          <w:szCs w:val="32"/>
          <w:lang w:val="en-US" w:eastAsia="zh-CN"/>
        </w:rPr>
        <w:t>是做好省重大、重点项目用地服务工作。主要为高岭·中国村、西湖荻湾、元田溪谷、三龙MR产业园、陶大小镇等省重大重点项目的前期用地服务保障工作。以及涉及项目安置地的选址及用地保障工作。主要为：高岭·中国村：主要涉及界田小镇、游客服务中心、大唐茶市、高岭大道等用地保障，涉及面积640亩；西湖荻湾：已报批地块规划条件地出具，涉及面积460亩；办理了农村产业示范园一期核心区—市场项目建设用地规划许可证，面积3.76亩等。陶大小镇：古田安置地17.06亩、湘倌公路安置地27.43亩；先期启动区60.26亩地块规划条件地出具；办理了景东连接线建设用地许可证，面积216.96亩。同时，做好日常的项目选址相关工作，全年共出具项目工作红线138宗。切实为县域重点项目建设提供科学的用地保障服务。</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（2）、要素保障，高质量开发利用。</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sym w:font="Wingdings" w:char="F081"/>
      </w:r>
      <w:r>
        <w:rPr>
          <w:rFonts w:hint="eastAsia" w:ascii="仿宋_GB2312" w:hAnsi="仿宋_GB2312" w:eastAsia="仿宋_GB2312" w:cs="仿宋_GB2312"/>
          <w:sz w:val="32"/>
          <w:szCs w:val="32"/>
          <w:lang w:val="en-US" w:eastAsia="zh-CN"/>
        </w:rPr>
        <w:t>是土地收储稳中有序。共收储土地45宗，面积1640亩，主要有西湖荻湾乡村振兴项目242.01亩、三龙MR项目136.44亩、鹅湖通用机场项目169.85亩、寿安文旅职业学校项目202.34亩、县委党校搬迁120.55亩、四小项目42.23亩等。同时，已完成交地的宗地9宗，面积677.44亩，其中：三小东侧89.41亩；三小东北侧104.68亩；浮梁大道北侧、景德镇学院西侧60.33亩、61.72亩、61.47亩；妇保新建地块39.74亩；教场变电站项目50.12亩；鹅湖通用机场项目169.85亩；县委党校搬迁项目（建设区）40.12亩。</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sym w:font="Wingdings" w:char="F082"/>
      </w:r>
      <w:r>
        <w:rPr>
          <w:rFonts w:hint="eastAsia" w:ascii="仿宋_GB2312" w:hAnsi="仿宋_GB2312" w:eastAsia="仿宋_GB2312" w:cs="仿宋_GB2312"/>
          <w:sz w:val="32"/>
          <w:szCs w:val="32"/>
          <w:lang w:val="en-US" w:eastAsia="zh-CN"/>
        </w:rPr>
        <w:t>是土地交易持续提升。共出让土地24宗地，面积为746.249亩，成交额为162076.9137万元，其中：经营性用地21宗地，面积为638.029亩，成交额为159912.5137万元；工业用地3宗地，面积108.22亩，成交额2164.4万元。办理二级土地转让28宗地，面积为241.63亩，交易金额为17064.3895万元。</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sym w:font="Wingdings" w:char="F083"/>
      </w:r>
      <w:r>
        <w:rPr>
          <w:rFonts w:hint="eastAsia" w:ascii="仿宋_GB2312" w:hAnsi="仿宋_GB2312" w:eastAsia="仿宋_GB2312" w:cs="仿宋_GB2312"/>
          <w:sz w:val="32"/>
          <w:szCs w:val="32"/>
          <w:lang w:val="en-US" w:eastAsia="zh-CN"/>
        </w:rPr>
        <w:t>是土地报批加快推进。截止目前，共上报省政府国有建设用地7个批次及1个单独选址17宗项目用地，总面积1025.51亩。另2个批次已组卷，待落实指标即报，涉及11个项目，面积180.23亩。保障了通用机场、景德镇陶瓷大学人才公寓、以晴项目及周边路网等一大批重大项目落户。</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微软雅黑" w:hAnsi="微软雅黑" w:eastAsia="微软雅黑" w:cs="微软雅黑"/>
          <w:sz w:val="32"/>
          <w:szCs w:val="32"/>
          <w:lang w:val="en-US" w:eastAsia="zh-CN"/>
        </w:rPr>
        <w:t>④</w:t>
      </w:r>
      <w:r>
        <w:rPr>
          <w:rFonts w:hint="eastAsia" w:ascii="仿宋_GB2312" w:hAnsi="仿宋_GB2312" w:eastAsia="仿宋_GB2312" w:cs="仿宋_GB2312"/>
          <w:sz w:val="32"/>
          <w:szCs w:val="32"/>
          <w:lang w:val="en-US" w:eastAsia="zh-CN"/>
        </w:rPr>
        <w:t>是土地消化超额完成。批而未供方面，消化处置2009-2018年批次387.15亩，完成率117.98%。闲置用地方面，自然资源部下发闲置用地清单中县本级共97宗4960.64亩，已通过系统消化处置完成20宗1730.14亩,省定任务数1533亩，完成率112.85%，已完成省定和国定消化任务。批而未用方面，年初批而未用基数为8599.04亩，已消化面积1270亩，任务数1190.47亩，完成率106.6%，已完成省定任务。截止11月23日，通过消化存量，共腾出报批计划指标1503亩，扣除省厅30%统筹后，仍有1052亩计划指标。</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（3）、创新服务，高效率惠企惠民。</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sym w:font="Wingdings" w:char="F081"/>
      </w:r>
      <w:r>
        <w:rPr>
          <w:rFonts w:hint="eastAsia" w:ascii="仿宋_GB2312" w:hAnsi="仿宋_GB2312" w:eastAsia="仿宋_GB2312" w:cs="仿宋_GB2312"/>
          <w:sz w:val="32"/>
          <w:szCs w:val="32"/>
          <w:lang w:val="en-US" w:eastAsia="zh-CN"/>
        </w:rPr>
        <w:t>是全面推行“一链办理”模式。我县于2021年10月22日起不动产登记窗口实现申请办理不动产转移登记时同步申请水电气网过户，全面实现水电气网“一链办理”功能。有效解决了企业、群众办理转移登记后水电气网等不能及时过户，需在多个部门、多个窗口之间来回奔波提交申请的问题，极大精简了办事环节、提高了政务效能。</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sym w:font="Wingdings" w:char="F082"/>
      </w:r>
      <w:r>
        <w:rPr>
          <w:rFonts w:hint="eastAsia" w:ascii="仿宋_GB2312" w:hAnsi="仿宋_GB2312" w:eastAsia="仿宋_GB2312" w:cs="仿宋_GB2312"/>
          <w:sz w:val="32"/>
          <w:szCs w:val="32"/>
          <w:lang w:val="en-US" w:eastAsia="zh-CN"/>
        </w:rPr>
        <w:t>是持续完善不动产登记服务模式。“互联网+不动产登记”已实现网上申请、网上预约、网上查询等功能，对于2016年之后办理的不动产权证基本生成电子证照信息，可通过“赣服通”平台进行查询。完成不动产登记信息系统异地容灾备份建设，有效保障我县不动产登记信息及系统安全。不断推进我县不动产抵押登记端口延伸至银行服务，中国邮政储蓄银行股份有限公司浮梁县成为我县第二家“一站式”合作银行。推进登记窗口向开发企业延伸，为商品房开发楼盘开通“大客户”平台，开发企业可以选择在不动产后台自行办理，也可以申请利用“互联网+不动产登记”平台在自家企业办理相关批量业务，避免了排队困扰，极大地缩短了商品房登记批量业务的办理周期，目前通过该平台共办理不动产登记共2440件。完成查封、解封登记向法院延伸，2021年11月22日不动产登记信息系统正式向县法院延伸，县法院工作人员可通过该平台对案件执行人、利害关系人的不动产权信息进行查询，并通过该系统向不动产登记中心发起查封、解封登记业务，该举措获得了法院主要领导及相关工作人员的一致好评。</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sym w:font="Wingdings" w:char="F083"/>
      </w:r>
      <w:r>
        <w:rPr>
          <w:rFonts w:hint="eastAsia" w:ascii="仿宋_GB2312" w:hAnsi="仿宋_GB2312" w:eastAsia="仿宋_GB2312" w:cs="仿宋_GB2312"/>
          <w:sz w:val="32"/>
          <w:szCs w:val="32"/>
          <w:lang w:val="en-US" w:eastAsia="zh-CN"/>
        </w:rPr>
        <w:t>是切实保障农村农民利益。为切实保障农村村民合理住宅建设用地需求，全年共组织4个批次农村村民住宅用地并业经县政府批准，总面积13.7亩，其中农用地12.66亩（含耕地8.69亩）涉及88户农户。同时，为支持乡镇振兴，保障乡村基础设施建设，上报市政府3个批次村庄集镇建设用地（丽景生态园、瑶里蚂蚁民宿、景泰文化等），总面积8.72亩，其中农用地7.34亩（含耕地1.76亩）。</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微软雅黑" w:hAnsi="微软雅黑" w:eastAsia="微软雅黑" w:cs="微软雅黑"/>
          <w:sz w:val="32"/>
          <w:szCs w:val="32"/>
          <w:lang w:val="en-US" w:eastAsia="zh-CN"/>
        </w:rPr>
        <w:t>④</w:t>
      </w:r>
      <w:r>
        <w:rPr>
          <w:rFonts w:hint="eastAsia" w:ascii="仿宋_GB2312" w:hAnsi="仿宋_GB2312" w:eastAsia="仿宋_GB2312" w:cs="仿宋_GB2312"/>
          <w:sz w:val="32"/>
          <w:szCs w:val="32"/>
          <w:lang w:val="en-US" w:eastAsia="zh-CN"/>
        </w:rPr>
        <w:t>切实保障合理用地需求。受理划拨补出让、划拨、协议出让供地、房改房审批、土地评估上中介超市业务办理情况。全年受理并办结了28宗划拨补出让用地，收取土地出让金403.1966万元；划拨供地22宗，面积876.79亩；协议出让3宗,面积54.39亩，收取土地出让金1993.43万元；受理房改房审批68宗，收取出让金13.25万元；5月1日之后，土地价格评估在中介超市发布30宗，面积1259.4亩。同时，全力做好临时用地的审批工作，共审批11个项目，面积739.65亩，其中为重点保障昌景黄高铁项目建设，办理临时用地306.86亩。</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微软雅黑" w:hAnsi="微软雅黑" w:eastAsia="微软雅黑" w:cs="微软雅黑"/>
          <w:sz w:val="32"/>
          <w:szCs w:val="32"/>
          <w:lang w:val="en-US" w:eastAsia="zh-CN"/>
        </w:rPr>
        <w:t>⑤</w:t>
      </w:r>
      <w:r>
        <w:rPr>
          <w:rFonts w:hint="eastAsia" w:ascii="仿宋_GB2312" w:hAnsi="仿宋_GB2312" w:eastAsia="仿宋_GB2312" w:cs="仿宋_GB2312"/>
          <w:sz w:val="32"/>
          <w:szCs w:val="32"/>
          <w:lang w:val="en-US" w:eastAsia="zh-CN"/>
        </w:rPr>
        <w:t>是切实做好地灾防汛工作。组织编制了《浮梁县2021年地质灾害防治方案》，协助县政府与16个乡镇长签订地质灾害防治工作责任书，对全县1553处地质灾害隐患点落实群测群防员共计361人，督查检查5次26人，派出专家组2批次6人，开展专业巡查排查16人41点，基层巡查排查4639人次6425点次，发放了“防灾避险明白卡”共计2687张，因灾转移12户，44人次，对重要隐患点都设立了明显的警示标志牌。对7处重要地质灾害隐患点制定了防灾预案，落实防灾责任人、明确防灾措施、做好警示牌、规划预定好避灾撤离路线。全年共发布地质灾害橙色预警1次，黄色气象预警4次，蓝色气象预警12次，共计预警短信9091条。全县共发生地质灾害灾情4起，发生地质灾害1起（经公桥镇），灾情规模均为小型，无人员伤亡及重大财产损失。</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（三）当年部门年度整体支出绩效目标。</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1、加快国土空间“一张图”平台信息系统建设。</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开展县级地形图采集更新、建库工作，数据成果必须满足国家相关规范的要求，完成地形图成果的汇总。</w:t>
      </w:r>
    </w:p>
    <w:p>
      <w:pPr>
        <w:numPr>
          <w:ilvl w:val="0"/>
          <w:numId w:val="2"/>
        </w:num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推进国土空间规划编制工作。</w:t>
      </w:r>
    </w:p>
    <w:p>
      <w:pPr>
        <w:numPr>
          <w:ilvl w:val="0"/>
          <w:numId w:val="0"/>
        </w:num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就城区交通乱、停车难、养老、商业布局、环卫、医疗、文体、给水、排水、电力、人防设施建设给出规划建议；综合协调建设选址中的各种矛盾，论证地块调规的必要性和可行性，提出调规方案，绘制调整后地块控制图则。</w:t>
      </w:r>
    </w:p>
    <w:p>
      <w:pPr>
        <w:numPr>
          <w:ilvl w:val="0"/>
          <w:numId w:val="2"/>
        </w:num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积极实施2021年村庄规划编制（试点）工作。</w:t>
      </w:r>
    </w:p>
    <w:p>
      <w:pPr>
        <w:numPr>
          <w:ilvl w:val="0"/>
          <w:numId w:val="0"/>
        </w:numPr>
        <w:spacing w:line="560" w:lineRule="exact"/>
        <w:ind w:firstLine="640"/>
        <w:rPr>
          <w:rFonts w:hint="eastAsia"/>
          <w:b w:val="0"/>
          <w:bCs w:val="0"/>
        </w:rPr>
      </w:pPr>
      <w:r>
        <w:rPr>
          <w:rFonts w:hint="eastAsia" w:ascii="仿宋_GB2312" w:hAnsi="仿宋_GB2312" w:eastAsia="仿宋_GB2312" w:cs="仿宋_GB2312"/>
          <w:sz w:val="32"/>
          <w:szCs w:val="32"/>
        </w:rPr>
        <w:t>按照《江西省村庄规划评估工作方案》要求认真组织开展相关评估工作，及时提交评估报告，为有序开展“多规合一”村庄规划编制奠定工作基础，提供决策依据。完善国土空间数据资源体系；建立国土空间基础信息平台；编制湘湖镇前程村、江村乡江村村、沽演村、严台村、诰峰村和蛟潭镇礼芳村六个行政村村庄规划。</w:t>
      </w:r>
    </w:p>
    <w:p>
      <w:pPr>
        <w:numPr>
          <w:ilvl w:val="0"/>
          <w:numId w:val="2"/>
        </w:num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做好“三调”等相关工作。</w:t>
      </w:r>
    </w:p>
    <w:p>
      <w:pPr>
        <w:numPr>
          <w:ilvl w:val="0"/>
          <w:numId w:val="0"/>
        </w:num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第三次全国国土调查和2020年度国土变更调查成果为基础，以其他草地、盐碱地、沙地、裸土地以及标注“工程恢复”属性的种植园用地、林地、坑塘水面为评价对象，从生态、气候、土壤、区位等方面，构建耕地后备资源分类评价指标体系。</w:t>
      </w:r>
    </w:p>
    <w:p>
      <w:pPr>
        <w:numPr>
          <w:ilvl w:val="0"/>
          <w:numId w:val="2"/>
        </w:num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做好省重大、重点项目用地服务工作。</w:t>
      </w:r>
    </w:p>
    <w:p>
      <w:pPr>
        <w:numPr>
          <w:ilvl w:val="0"/>
          <w:numId w:val="0"/>
        </w:num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对于</w:t>
      </w:r>
      <w:r>
        <w:rPr>
          <w:rFonts w:hint="eastAsia" w:ascii="仿宋_GB2312" w:hAnsi="仿宋_GB2312" w:eastAsia="仿宋_GB2312" w:cs="仿宋_GB2312"/>
          <w:sz w:val="32"/>
          <w:szCs w:val="32"/>
          <w:lang w:val="en-US" w:eastAsia="zh-CN"/>
        </w:rPr>
        <w:t>景瑶公路、S207(锦里-曲阿里)、S207（蛟潭-浮梁）三条公路、浮梁通用机场项目、原三大公路西北侧储备地等征地资金</w:t>
      </w:r>
      <w:r>
        <w:rPr>
          <w:rFonts w:hint="eastAsia" w:ascii="仿宋_GB2312" w:hAnsi="仿宋_GB2312" w:eastAsia="仿宋_GB2312" w:cs="仿宋_GB2312"/>
          <w:sz w:val="32"/>
          <w:szCs w:val="32"/>
        </w:rPr>
        <w:t>做到专款专项，在规定时间内做到土地及时征收到位。</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（四）部门预算绩效管理开展情况。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 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 xml:space="preserve"> 年预算编制工作中，全面实施绩效管理，完善预算绩效管理流程，扩大预算绩效管理范围，加强评价结果运用涉及</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 xml:space="preserve">个项目，金额 </w:t>
      </w:r>
      <w:r>
        <w:rPr>
          <w:rFonts w:hint="eastAsia" w:ascii="仿宋_GB2312" w:hAnsi="仿宋_GB2312" w:eastAsia="仿宋_GB2312" w:cs="仿宋_GB2312"/>
          <w:sz w:val="32"/>
          <w:szCs w:val="32"/>
          <w:highlight w:val="none"/>
          <w:lang w:val="en-US" w:eastAsia="zh-CN"/>
        </w:rPr>
        <w:t>8512.5293</w:t>
      </w:r>
      <w:r>
        <w:rPr>
          <w:rFonts w:hint="eastAsia" w:ascii="仿宋_GB2312" w:hAnsi="仿宋_GB2312" w:eastAsia="仿宋_GB2312" w:cs="仿宋_GB2312"/>
          <w:sz w:val="32"/>
          <w:szCs w:val="32"/>
        </w:rPr>
        <w:t>万元，提高了财政资金使用效益。围绕资金项目进行绩效评价，提升财政支出绩效。</w:t>
      </w:r>
      <w:r>
        <w:rPr>
          <w:rFonts w:hint="eastAsia" w:ascii="仿宋_GB2312" w:hAnsi="仿宋_GB2312" w:eastAsia="仿宋_GB2312" w:cs="仿宋_GB2312"/>
          <w:sz w:val="32"/>
          <w:szCs w:val="32"/>
          <w:lang w:eastAsia="zh-CN"/>
        </w:rPr>
        <w:t>实施绩效管理工作要求如下：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1、合理设置预算绩效管理目标。我局按照县财政绩效相关管理要求，结合部门职责和当年工作任务，确定当年部门预算绩效管理目标，优化绩效指标体系和设置绩效评价标准。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2、定期开展预算绩效执行分析。结合设定的绩效管理目标，加强对预算绩效执行日常管理和监控，并定期对执行信息进行收集、审核、分析；分析偏离绩效目标的原因，并及时采取纠偏措施。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高度重视预算绩效管理自评工作。在年度终了或项目完成时，按照“查问题、找原因”的思路，开展预算绩效管理自评工作，对照设定的绩效管理目标和评价标准，找出我局在当前预算绩效管理工作中存在的不足和问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4、充分利用预算绩效管理评价结果。根据预算绩效评价中找出的问题和原因，进行整改，同时，将评价结果作为次年预算编制的依据，从而进一步提升我局预算绩效管理水平。</w:t>
      </w:r>
    </w:p>
    <w:p>
      <w:pPr>
        <w:numPr>
          <w:ilvl w:val="0"/>
          <w:numId w:val="3"/>
        </w:num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当年部门预算及执行情况。</w:t>
      </w:r>
    </w:p>
    <w:p>
      <w:pPr>
        <w:numPr>
          <w:ilvl w:val="0"/>
          <w:numId w:val="0"/>
        </w:num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2021年全年收入预算数为16871.0267万元，资金来源为财政拨款16431.2667万元、其他收入439.76万元、上年结转和结余4528.24万元。全年支出执行数为16431.2667万元，预算执行总体情况较好。</w:t>
      </w:r>
    </w:p>
    <w:p>
      <w:pPr>
        <w:spacing w:line="560" w:lineRule="exact"/>
        <w:ind w:firstLine="640" w:firstLineChars="200"/>
        <w:rPr>
          <w:rFonts w:ascii="黑体" w:hAnsi="黑体" w:eastAsia="黑体"/>
          <w:sz w:val="32"/>
          <w:szCs w:val="32"/>
        </w:rPr>
      </w:pPr>
      <w:r>
        <w:rPr>
          <w:rFonts w:hint="eastAsia" w:ascii="黑体" w:hAnsi="黑体" w:eastAsia="黑体" w:cs="黑体"/>
          <w:sz w:val="32"/>
          <w:szCs w:val="32"/>
        </w:rPr>
        <w:t>二、部门整体支出绩效实现情况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（一）履职完成情况：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1、数量指标（指标分数</w:t>
      </w:r>
      <w:r>
        <w:rPr>
          <w:rFonts w:hint="eastAsia" w:ascii="仿宋_GB2312" w:hAnsi="仿宋_GB2312" w:eastAsia="仿宋_GB2312" w:cs="仿宋_GB2312"/>
          <w:sz w:val="32"/>
          <w:szCs w:val="32"/>
          <w:lang w:val="en-US" w:eastAsia="zh-CN"/>
        </w:rPr>
        <w:t>6.3</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6.3</w:t>
      </w:r>
      <w:r>
        <w:rPr>
          <w:rFonts w:hint="eastAsia" w:ascii="仿宋_GB2312" w:hAnsi="仿宋_GB2312" w:eastAsia="仿宋_GB2312" w:cs="仿宋_GB2312"/>
          <w:sz w:val="32"/>
          <w:szCs w:val="32"/>
        </w:rPr>
        <w:t>分）</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sym w:font="Wingdings" w:char="F081"/>
      </w:r>
      <w:r>
        <w:rPr>
          <w:rFonts w:hint="eastAsia" w:ascii="仿宋_GB2312" w:hAnsi="仿宋_GB2312" w:eastAsia="仿宋_GB2312" w:cs="仿宋_GB2312"/>
          <w:sz w:val="32"/>
          <w:szCs w:val="32"/>
        </w:rPr>
        <w:t>湘湖镇前程村航拍测绘面积</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平方公里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浮梁县县域应用大比例尺地形图航拍测绘面积322.7平方公里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浮梁县元田溪谷测绘面积18.6平方公里</w:t>
      </w:r>
      <w:r>
        <w:rPr>
          <w:rFonts w:hint="eastAsia" w:ascii="仿宋_GB2312" w:hAnsi="仿宋_GB2312" w:eastAsia="仿宋_GB2312" w:cs="仿宋_GB2312"/>
          <w:sz w:val="32"/>
          <w:szCs w:val="32"/>
          <w:lang w:eastAsia="zh-CN"/>
        </w:rPr>
        <w:t>；</w:t>
      </w:r>
      <w:r>
        <w:rPr>
          <w:rFonts w:hint="eastAsia" w:ascii="微软雅黑" w:hAnsi="微软雅黑" w:eastAsia="微软雅黑" w:cs="微软雅黑"/>
          <w:sz w:val="32"/>
          <w:szCs w:val="32"/>
          <w:lang w:eastAsia="zh-CN"/>
        </w:rPr>
        <w:t>②</w:t>
      </w:r>
      <w:r>
        <w:rPr>
          <w:rFonts w:hint="eastAsia" w:ascii="仿宋_GB2312" w:hAnsi="仿宋_GB2312" w:eastAsia="仿宋_GB2312" w:cs="仿宋_GB2312"/>
          <w:sz w:val="32"/>
          <w:szCs w:val="32"/>
        </w:rPr>
        <w:t>规划编制成果数量</w:t>
      </w:r>
      <w:r>
        <w:rPr>
          <w:rFonts w:hint="eastAsia" w:ascii="仿宋_GB2312" w:hAnsi="仿宋_GB2312" w:eastAsia="仿宋_GB2312" w:cs="仿宋_GB2312"/>
          <w:sz w:val="32"/>
          <w:szCs w:val="32"/>
          <w:lang w:val="en-US" w:eastAsia="zh-CN"/>
        </w:rPr>
        <w:t>23个（谋划2021年浮梁县重点项目：就城区交通乱、停车难、养老、商业布局、环卫、医疗、文体、给水、排水、电力、人防设施建设给出规划建议，综合协调建设选址中的各种矛盾，论证地块调规的必要性和可行性，提出调规方案，绘制调整后地块控制图则）；</w:t>
      </w:r>
      <w:r>
        <w:rPr>
          <w:rFonts w:hint="eastAsia" w:ascii="微软雅黑" w:hAnsi="微软雅黑" w:eastAsia="微软雅黑" w:cs="微软雅黑"/>
          <w:sz w:val="32"/>
          <w:szCs w:val="32"/>
          <w:lang w:val="en-US" w:eastAsia="zh-CN"/>
        </w:rPr>
        <w:t>③</w:t>
      </w:r>
      <w:r>
        <w:rPr>
          <w:rFonts w:hint="eastAsia" w:ascii="仿宋_GB2312" w:hAnsi="仿宋_GB2312" w:eastAsia="仿宋_GB2312" w:cs="仿宋_GB2312"/>
          <w:sz w:val="32"/>
          <w:szCs w:val="32"/>
        </w:rPr>
        <w:t>村庄规划评估涉及数量1239个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完善国土空间数据资源体系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建立国土空间基础信息平台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编制湘湖镇前程村、江村乡江村村、沽演村、严台村、诰峰村和蛟潭镇礼芳村六个行政村村庄规划</w:t>
      </w:r>
      <w:r>
        <w:rPr>
          <w:rFonts w:hint="eastAsia" w:ascii="仿宋_GB2312" w:hAnsi="仿宋_GB2312" w:eastAsia="仿宋_GB2312" w:cs="仿宋_GB2312"/>
          <w:sz w:val="32"/>
          <w:szCs w:val="32"/>
          <w:lang w:eastAsia="zh-CN"/>
        </w:rPr>
        <w:t>）；</w:t>
      </w:r>
      <w:r>
        <w:rPr>
          <w:rFonts w:hint="eastAsia" w:ascii="微软雅黑" w:hAnsi="微软雅黑" w:eastAsia="微软雅黑" w:cs="微软雅黑"/>
          <w:sz w:val="32"/>
          <w:szCs w:val="32"/>
          <w:lang w:eastAsia="zh-CN"/>
        </w:rPr>
        <w:t>④</w:t>
      </w:r>
      <w:r>
        <w:rPr>
          <w:rFonts w:hint="eastAsia" w:ascii="仿宋_GB2312" w:hAnsi="仿宋_GB2312" w:eastAsia="仿宋_GB2312" w:cs="仿宋_GB2312"/>
          <w:sz w:val="32"/>
          <w:szCs w:val="32"/>
          <w:lang w:eastAsia="zh-CN"/>
        </w:rPr>
        <w:t>县耕地后备资源调查评价图斑</w:t>
      </w:r>
      <w:r>
        <w:rPr>
          <w:rFonts w:hint="eastAsia" w:ascii="仿宋_GB2312" w:hAnsi="仿宋_GB2312" w:eastAsia="仿宋_GB2312" w:cs="仿宋_GB2312"/>
          <w:sz w:val="32"/>
          <w:szCs w:val="32"/>
        </w:rPr>
        <w:t>数据28017个</w:t>
      </w:r>
      <w:r>
        <w:rPr>
          <w:rFonts w:hint="eastAsia" w:ascii="仿宋_GB2312" w:hAnsi="仿宋_GB2312" w:eastAsia="仿宋_GB2312" w:cs="仿宋_GB2312"/>
          <w:sz w:val="32"/>
          <w:szCs w:val="32"/>
          <w:lang w:eastAsia="zh-CN"/>
        </w:rPr>
        <w:t>；</w:t>
      </w:r>
      <w:r>
        <w:rPr>
          <w:rFonts w:hint="eastAsia" w:ascii="微软雅黑" w:hAnsi="微软雅黑" w:eastAsia="微软雅黑" w:cs="微软雅黑"/>
          <w:sz w:val="32"/>
          <w:szCs w:val="32"/>
          <w:lang w:eastAsia="zh-CN"/>
        </w:rPr>
        <w:t>⑤</w:t>
      </w:r>
      <w:r>
        <w:rPr>
          <w:rFonts w:hint="eastAsia" w:ascii="仿宋_GB2312" w:hAnsi="仿宋_GB2312" w:eastAsia="仿宋_GB2312" w:cs="仿宋_GB2312"/>
          <w:sz w:val="32"/>
          <w:szCs w:val="32"/>
        </w:rPr>
        <w:t>土地利用总体规划延续方案总规模面积318.22公顷</w:t>
      </w:r>
      <w:r>
        <w:rPr>
          <w:rFonts w:hint="eastAsia" w:ascii="仿宋_GB2312" w:hAnsi="仿宋_GB2312" w:eastAsia="仿宋_GB2312" w:cs="仿宋_GB2312"/>
          <w:sz w:val="32"/>
          <w:szCs w:val="32"/>
          <w:lang w:eastAsia="zh-CN"/>
        </w:rPr>
        <w:t>；</w:t>
      </w:r>
      <w:r>
        <w:rPr>
          <w:rFonts w:hint="eastAsia" w:ascii="微软雅黑" w:hAnsi="微软雅黑" w:eastAsia="微软雅黑" w:cs="微软雅黑"/>
          <w:sz w:val="32"/>
          <w:szCs w:val="32"/>
          <w:lang w:eastAsia="zh-CN"/>
        </w:rPr>
        <w:t>⑥</w:t>
      </w:r>
      <w:r>
        <w:rPr>
          <w:rFonts w:hint="eastAsia" w:ascii="仿宋_GB2312" w:hAnsi="仿宋_GB2312" w:eastAsia="仿宋_GB2312" w:cs="仿宋_GB2312"/>
          <w:sz w:val="32"/>
          <w:szCs w:val="32"/>
        </w:rPr>
        <w:t>国土空间及村庄规划编制成果数量</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w:t>
      </w:r>
      <w:r>
        <w:rPr>
          <w:rFonts w:hint="eastAsia" w:ascii="微软雅黑" w:hAnsi="微软雅黑" w:eastAsia="微软雅黑" w:cs="微软雅黑"/>
          <w:sz w:val="32"/>
          <w:szCs w:val="32"/>
          <w:lang w:eastAsia="zh-CN"/>
        </w:rPr>
        <w:t>⑦</w:t>
      </w:r>
      <w:r>
        <w:rPr>
          <w:rFonts w:hint="eastAsia" w:ascii="仿宋_GB2312" w:hAnsi="仿宋_GB2312" w:eastAsia="仿宋_GB2312" w:cs="仿宋_GB2312"/>
          <w:sz w:val="32"/>
          <w:szCs w:val="32"/>
        </w:rPr>
        <w:t>完成国土变更调查面积2851平方公里</w:t>
      </w:r>
      <w:r>
        <w:rPr>
          <w:rFonts w:hint="eastAsia" w:ascii="仿宋_GB2312" w:hAnsi="仿宋_GB2312" w:eastAsia="仿宋_GB2312" w:cs="仿宋_GB2312"/>
          <w:sz w:val="32"/>
          <w:szCs w:val="32"/>
          <w:lang w:eastAsia="zh-CN"/>
        </w:rPr>
        <w:t>；</w:t>
      </w:r>
      <w:r>
        <w:rPr>
          <w:rFonts w:hint="eastAsia" w:ascii="微软雅黑" w:hAnsi="微软雅黑" w:eastAsia="微软雅黑" w:cs="微软雅黑"/>
          <w:sz w:val="32"/>
          <w:szCs w:val="32"/>
          <w:lang w:eastAsia="zh-CN"/>
        </w:rPr>
        <w:t>⑧</w:t>
      </w:r>
      <w:r>
        <w:rPr>
          <w:rFonts w:hint="eastAsia" w:ascii="仿宋_GB2312" w:hAnsi="仿宋_GB2312" w:eastAsia="仿宋_GB2312" w:cs="仿宋_GB2312"/>
          <w:sz w:val="32"/>
          <w:szCs w:val="32"/>
          <w:lang w:eastAsia="zh-CN"/>
        </w:rPr>
        <w:t>景瑶公路、S207(锦里-曲阿里)、S207（蛟潭-浮梁）三条公路征收面积701.89亩，浮梁通用机场征收土地面积169.85亩，县域范围内储备地695.83亩，原三大公路西北侧储备地251.28亩，筷乐谷项目、浮梁镇茶培村商业用地、景德镇天然气清洁能源综合利用等项目征收面积320.915亩。</w:t>
      </w:r>
    </w:p>
    <w:p>
      <w:pPr>
        <w:numPr>
          <w:ilvl w:val="0"/>
          <w:numId w:val="4"/>
        </w:num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质量</w:t>
      </w:r>
      <w:r>
        <w:rPr>
          <w:rFonts w:hint="eastAsia" w:ascii="仿宋_GB2312" w:hAnsi="仿宋_GB2312" w:eastAsia="仿宋_GB2312" w:cs="仿宋_GB2312"/>
          <w:sz w:val="32"/>
          <w:szCs w:val="32"/>
        </w:rPr>
        <w:t>指标（指标分数</w:t>
      </w:r>
      <w:r>
        <w:rPr>
          <w:rFonts w:hint="eastAsia" w:ascii="仿宋_GB2312" w:hAnsi="仿宋_GB2312" w:eastAsia="仿宋_GB2312" w:cs="仿宋_GB2312"/>
          <w:sz w:val="32"/>
          <w:szCs w:val="32"/>
          <w:lang w:val="en-US" w:eastAsia="zh-CN"/>
        </w:rPr>
        <w:t>9.7</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8.5</w:t>
      </w:r>
      <w:r>
        <w:rPr>
          <w:rFonts w:hint="eastAsia" w:ascii="仿宋_GB2312" w:hAnsi="仿宋_GB2312" w:eastAsia="仿宋_GB2312" w:cs="仿宋_GB2312"/>
          <w:sz w:val="32"/>
          <w:szCs w:val="32"/>
        </w:rPr>
        <w:t>分）</w:t>
      </w:r>
    </w:p>
    <w:p>
      <w:pPr>
        <w:numPr>
          <w:ilvl w:val="0"/>
          <w:numId w:val="0"/>
        </w:numPr>
        <w:spacing w:line="56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地形图数据成果、信息系统、规划编制成果、耕地后备资源调查评价分析报告、国土空间及村庄规划编制成果、变更调查结果等项目均验收合格。</w:t>
      </w:r>
    </w:p>
    <w:p>
      <w:pPr>
        <w:numPr>
          <w:ilvl w:val="0"/>
          <w:numId w:val="4"/>
        </w:num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质量</w:t>
      </w:r>
      <w:r>
        <w:rPr>
          <w:rFonts w:hint="eastAsia" w:ascii="仿宋_GB2312" w:hAnsi="仿宋_GB2312" w:eastAsia="仿宋_GB2312" w:cs="仿宋_GB2312"/>
          <w:sz w:val="32"/>
          <w:szCs w:val="32"/>
        </w:rPr>
        <w:t>指标（指标分数</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3.9</w:t>
      </w:r>
      <w:r>
        <w:rPr>
          <w:rFonts w:hint="eastAsia" w:ascii="仿宋_GB2312" w:hAnsi="仿宋_GB2312" w:eastAsia="仿宋_GB2312" w:cs="仿宋_GB2312"/>
          <w:sz w:val="32"/>
          <w:szCs w:val="32"/>
        </w:rPr>
        <w:t>分）</w:t>
      </w:r>
    </w:p>
    <w:p>
      <w:pPr>
        <w:numPr>
          <w:ilvl w:val="0"/>
          <w:numId w:val="0"/>
        </w:numPr>
        <w:spacing w:line="56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所有项目都按时按规范完成了。</w:t>
      </w:r>
    </w:p>
    <w:p>
      <w:pPr>
        <w:numPr>
          <w:ilvl w:val="0"/>
          <w:numId w:val="4"/>
        </w:num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成本指标</w:t>
      </w:r>
      <w:r>
        <w:rPr>
          <w:rFonts w:hint="eastAsia" w:ascii="仿宋_GB2312" w:hAnsi="仿宋_GB2312" w:eastAsia="仿宋_GB2312" w:cs="仿宋_GB2312"/>
          <w:sz w:val="32"/>
          <w:szCs w:val="32"/>
        </w:rPr>
        <w:t>（指标分数</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w:t>
      </w:r>
    </w:p>
    <w:p>
      <w:pPr>
        <w:numPr>
          <w:ilvl w:val="0"/>
          <w:numId w:val="0"/>
        </w:numPr>
        <w:spacing w:line="56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所以项目费用支出都不超过预算成本。</w:t>
      </w:r>
    </w:p>
    <w:p>
      <w:pPr>
        <w:numPr>
          <w:ilvl w:val="0"/>
          <w:numId w:val="5"/>
        </w:num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履职效果情况：</w:t>
      </w:r>
    </w:p>
    <w:p>
      <w:pPr>
        <w:numPr>
          <w:ilvl w:val="0"/>
          <w:numId w:val="0"/>
        </w:numPr>
        <w:spacing w:line="56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经济效益</w:t>
      </w:r>
      <w:r>
        <w:rPr>
          <w:rFonts w:hint="eastAsia" w:ascii="仿宋_GB2312" w:hAnsi="仿宋_GB2312" w:eastAsia="仿宋_GB2312" w:cs="仿宋_GB2312"/>
          <w:sz w:val="32"/>
          <w:szCs w:val="32"/>
        </w:rPr>
        <w:t>指标（指标分数</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4.2</w:t>
      </w:r>
      <w:r>
        <w:rPr>
          <w:rFonts w:hint="eastAsia" w:ascii="仿宋_GB2312" w:hAnsi="仿宋_GB2312" w:eastAsia="仿宋_GB2312" w:cs="仿宋_GB2312"/>
          <w:sz w:val="32"/>
          <w:szCs w:val="32"/>
        </w:rPr>
        <w:t>分）</w:t>
      </w:r>
    </w:p>
    <w:p>
      <w:pPr>
        <w:numPr>
          <w:ilvl w:val="0"/>
          <w:numId w:val="0"/>
        </w:numPr>
        <w:spacing w:line="56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通过地形图共享，促进成果及时转化和广泛利用，降低各应用地形图绘制成果的行业部门开展相关工作的成本</w:t>
      </w:r>
      <w:r>
        <w:rPr>
          <w:rFonts w:hint="eastAsia" w:ascii="仿宋_GB2312" w:hAnsi="仿宋_GB2312" w:eastAsia="仿宋_GB2312" w:cs="仿宋_GB2312"/>
          <w:sz w:val="32"/>
          <w:szCs w:val="32"/>
          <w:lang w:eastAsia="zh-CN"/>
        </w:rPr>
        <w:t>。</w:t>
      </w:r>
    </w:p>
    <w:p>
      <w:pPr>
        <w:numPr>
          <w:ilvl w:val="0"/>
          <w:numId w:val="0"/>
        </w:numPr>
        <w:spacing w:line="56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社会效益</w:t>
      </w:r>
      <w:r>
        <w:rPr>
          <w:rFonts w:hint="eastAsia" w:ascii="仿宋_GB2312" w:hAnsi="仿宋_GB2312" w:eastAsia="仿宋_GB2312" w:cs="仿宋_GB2312"/>
          <w:sz w:val="32"/>
          <w:szCs w:val="32"/>
        </w:rPr>
        <w:t>指标（指标分数</w:t>
      </w:r>
      <w:r>
        <w:rPr>
          <w:rFonts w:hint="eastAsia" w:ascii="仿宋_GB2312" w:hAnsi="仿宋_GB2312" w:eastAsia="仿宋_GB2312" w:cs="仿宋_GB2312"/>
          <w:sz w:val="32"/>
          <w:szCs w:val="32"/>
          <w:lang w:val="en-US" w:eastAsia="zh-CN"/>
        </w:rPr>
        <w:t>13.5</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12.6</w:t>
      </w:r>
      <w:r>
        <w:rPr>
          <w:rFonts w:hint="eastAsia" w:ascii="仿宋_GB2312" w:hAnsi="仿宋_GB2312" w:eastAsia="仿宋_GB2312" w:cs="仿宋_GB2312"/>
          <w:sz w:val="32"/>
          <w:szCs w:val="32"/>
        </w:rPr>
        <w:t>分）</w:t>
      </w:r>
    </w:p>
    <w:p>
      <w:pPr>
        <w:numPr>
          <w:ilvl w:val="0"/>
          <w:numId w:val="0"/>
        </w:num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sym w:font="Wingdings" w:char="F081"/>
      </w:r>
      <w:r>
        <w:rPr>
          <w:rFonts w:hint="eastAsia" w:ascii="仿宋_GB2312" w:hAnsi="仿宋_GB2312" w:eastAsia="仿宋_GB2312" w:cs="仿宋_GB2312"/>
          <w:sz w:val="32"/>
          <w:szCs w:val="32"/>
          <w:lang w:eastAsia="zh-CN"/>
        </w:rPr>
        <w:t>国土</w:t>
      </w:r>
      <w:r>
        <w:rPr>
          <w:rFonts w:hint="eastAsia" w:ascii="仿宋_GB2312" w:hAnsi="仿宋_GB2312" w:eastAsia="仿宋_GB2312" w:cs="仿宋_GB2312"/>
          <w:sz w:val="32"/>
          <w:szCs w:val="32"/>
        </w:rPr>
        <w:t>调查结果能成为国土资源管理的基础平台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调查结果能够成为土地利用总体规划、用地审批、土地开发整理等工作基础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eastAsia="zh-CN"/>
        </w:rPr>
        <w:sym w:font="Wingdings" w:char="F082"/>
      </w:r>
      <w:r>
        <w:rPr>
          <w:rFonts w:hint="eastAsia" w:ascii="仿宋_GB2312" w:hAnsi="仿宋_GB2312" w:eastAsia="仿宋_GB2312" w:cs="仿宋_GB2312"/>
          <w:sz w:val="32"/>
          <w:szCs w:val="32"/>
        </w:rPr>
        <w:t>尽量在项目施工时更加完善配套的基础设施，做到顺利完成整个项目工程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优化国土空间开发格局</w:t>
      </w:r>
      <w:r>
        <w:rPr>
          <w:rFonts w:hint="eastAsia" w:ascii="仿宋_GB2312" w:hAnsi="仿宋_GB2312" w:eastAsia="仿宋_GB2312" w:cs="仿宋_GB2312"/>
          <w:sz w:val="32"/>
          <w:szCs w:val="32"/>
          <w:lang w:eastAsia="zh-CN"/>
        </w:rPr>
        <w:t>；</w:t>
      </w:r>
      <w:r>
        <w:rPr>
          <w:rFonts w:hint="eastAsia" w:ascii="微软雅黑" w:hAnsi="微软雅黑" w:eastAsia="微软雅黑" w:cs="微软雅黑"/>
          <w:sz w:val="32"/>
          <w:szCs w:val="32"/>
          <w:lang w:eastAsia="zh-CN"/>
        </w:rPr>
        <w:t>③</w:t>
      </w:r>
      <w:r>
        <w:rPr>
          <w:rFonts w:hint="eastAsia" w:ascii="仿宋_GB2312" w:hAnsi="仿宋_GB2312" w:eastAsia="仿宋_GB2312" w:cs="仿宋_GB2312"/>
          <w:sz w:val="32"/>
          <w:szCs w:val="32"/>
        </w:rPr>
        <w:t>对土地资源利用应坚持土地尽其用、用尽其利的原则，减少和杜绝浪费现象。</w:t>
      </w:r>
    </w:p>
    <w:p>
      <w:pPr>
        <w:numPr>
          <w:ilvl w:val="0"/>
          <w:numId w:val="0"/>
        </w:numPr>
        <w:spacing w:line="56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生态效益</w:t>
      </w:r>
      <w:r>
        <w:rPr>
          <w:rFonts w:hint="eastAsia" w:ascii="仿宋_GB2312" w:hAnsi="仿宋_GB2312" w:eastAsia="仿宋_GB2312" w:cs="仿宋_GB2312"/>
          <w:sz w:val="32"/>
          <w:szCs w:val="32"/>
        </w:rPr>
        <w:t>指标（指标分数</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分）</w:t>
      </w:r>
    </w:p>
    <w:p>
      <w:pPr>
        <w:numPr>
          <w:ilvl w:val="0"/>
          <w:numId w:val="0"/>
        </w:numPr>
        <w:spacing w:line="560" w:lineRule="exact"/>
        <w:ind w:firstLine="640"/>
        <w:rPr>
          <w:rFonts w:ascii="仿宋_GB2312" w:hAnsi="仿宋_GB2312" w:eastAsia="仿宋_GB2312"/>
          <w:sz w:val="32"/>
          <w:szCs w:val="32"/>
        </w:rPr>
      </w:pPr>
      <w:r>
        <w:rPr>
          <w:rFonts w:hint="eastAsia" w:ascii="仿宋_GB2312" w:hAnsi="仿宋_GB2312" w:eastAsia="仿宋_GB2312" w:cs="仿宋_GB2312"/>
          <w:sz w:val="32"/>
          <w:szCs w:val="32"/>
        </w:rPr>
        <w:t>改善用地区域内生态环境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为生态文明建设、经济社会建设等提供持续稳定的支撑</w:t>
      </w:r>
      <w:r>
        <w:rPr>
          <w:rFonts w:hint="eastAsia" w:ascii="仿宋_GB2312" w:hAnsi="仿宋_GB2312" w:eastAsia="仿宋_GB2312" w:cs="仿宋_GB2312"/>
          <w:sz w:val="32"/>
          <w:szCs w:val="32"/>
          <w:lang w:eastAsia="zh-CN"/>
        </w:rPr>
        <w:t>。</w:t>
      </w:r>
    </w:p>
    <w:p>
      <w:pPr>
        <w:numPr>
          <w:ilvl w:val="0"/>
          <w:numId w:val="5"/>
        </w:num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社会满意度及可持续性影响（如有）。</w:t>
      </w:r>
    </w:p>
    <w:p>
      <w:pPr>
        <w:numPr>
          <w:ilvl w:val="0"/>
          <w:numId w:val="6"/>
        </w:numPr>
        <w:spacing w:line="56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可持续性影响指标（指标分数</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en-US" w:eastAsia="zh-CN"/>
        </w:rPr>
        <w:t xml:space="preserve"> </w:t>
      </w:r>
    </w:p>
    <w:p>
      <w:pPr>
        <w:numPr>
          <w:ilvl w:val="0"/>
          <w:numId w:val="0"/>
        </w:numPr>
        <w:spacing w:line="56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促进</w:t>
      </w:r>
      <w:r>
        <w:rPr>
          <w:rFonts w:hint="eastAsia" w:ascii="仿宋_GB2312" w:hAnsi="仿宋_GB2312" w:eastAsia="仿宋_GB2312" w:cs="仿宋_GB2312"/>
          <w:sz w:val="32"/>
          <w:szCs w:val="32"/>
        </w:rPr>
        <w:t>耕地后备资源合理开发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实现耕地占补平衡</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保障重大产业项目建设依法依规用地</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新增建设用地总规范增加201.5公顷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eastAsia="zh-CN"/>
        </w:rPr>
        <w:t>。</w:t>
      </w:r>
    </w:p>
    <w:p>
      <w:pPr>
        <w:numPr>
          <w:ilvl w:val="0"/>
          <w:numId w:val="6"/>
        </w:numPr>
        <w:spacing w:line="56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可持续性影响指标（指标分数</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8.9</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en-US" w:eastAsia="zh-CN"/>
        </w:rPr>
        <w:t xml:space="preserve"> </w:t>
      </w:r>
    </w:p>
    <w:p>
      <w:pPr>
        <w:numPr>
          <w:ilvl w:val="0"/>
          <w:numId w:val="0"/>
        </w:numPr>
        <w:spacing w:line="56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服务单位、政府机构主体、自然资源主管部门、受益群众等满意度都超过</w:t>
      </w:r>
      <w:r>
        <w:rPr>
          <w:rFonts w:hint="eastAsia" w:ascii="仿宋_GB2312" w:hAnsi="仿宋_GB2312" w:eastAsia="仿宋_GB2312" w:cs="仿宋_GB2312"/>
          <w:sz w:val="32"/>
          <w:szCs w:val="32"/>
          <w:lang w:val="en-US" w:eastAsia="zh-CN"/>
        </w:rPr>
        <w:t>90%。</w:t>
      </w:r>
    </w:p>
    <w:p>
      <w:pPr>
        <w:spacing w:line="560" w:lineRule="exact"/>
        <w:ind w:firstLine="640" w:firstLineChars="200"/>
        <w:rPr>
          <w:rFonts w:ascii="黑体" w:hAnsi="黑体" w:eastAsia="黑体"/>
          <w:sz w:val="32"/>
          <w:szCs w:val="32"/>
        </w:rPr>
      </w:pPr>
      <w:r>
        <w:rPr>
          <w:rFonts w:hint="eastAsia" w:ascii="黑体" w:hAnsi="黑体" w:eastAsia="黑体" w:cs="黑体"/>
          <w:sz w:val="32"/>
          <w:szCs w:val="32"/>
        </w:rPr>
        <w:t>三、部门整体支出绩效中存在问题及改进措施</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（一）主要问题及原因分析。</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2021年我部整体支出绩效在预算执行编审管理和预算执行管理方面还存在不足，在公用经费管理及结转结余资金管理方面还需要进一步改进。体现在：（1）预算编制不够完整，主要是因为部分项目资金属于追加预算，绩效目标管理合理但不精准。（2）公用经费控制率超年度标准，主要原因是机构改革后成立了一乡一所，增加了公用经费。（3）项目支出结转结余率超年度目标值，主要原因为项目招标启动晚。</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（二）改进的方向和具体措施。</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对于本次绩效自评发现的问题，我部将从提高预算编制完整性，规范预算执行、加快项目执行推进力度等方面加以改进。（1）提高预算编制完整性。在预算编制阶段将加强业财联合，提高预算编制完整性。（2）规范预算执行。在预算执行阶段将强化预算执行刚性约束力。（3）加快项目预算执行推进力度。要求项目围绕绩效目标，制度项目实施计划，明确实际进度。</w:t>
      </w:r>
    </w:p>
    <w:p>
      <w:pPr>
        <w:spacing w:line="560" w:lineRule="exact"/>
        <w:ind w:firstLine="640" w:firstLineChars="200"/>
        <w:rPr>
          <w:rFonts w:ascii="黑体" w:hAnsi="黑体" w:eastAsia="黑体"/>
          <w:sz w:val="32"/>
          <w:szCs w:val="32"/>
        </w:rPr>
      </w:pPr>
      <w:r>
        <w:rPr>
          <w:rFonts w:hint="eastAsia" w:ascii="黑体" w:hAnsi="黑体" w:eastAsia="黑体" w:cs="黑体"/>
          <w:sz w:val="32"/>
          <w:szCs w:val="32"/>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60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针对整体支出绩效评价过程中发现的问题和情况，我</w:t>
      </w:r>
      <w:r>
        <w:rPr>
          <w:rFonts w:hint="eastAsia" w:ascii="仿宋_GB2312" w:hAnsi="仿宋_GB2312" w:eastAsia="仿宋_GB2312" w:cs="仿宋_GB2312"/>
          <w:sz w:val="32"/>
          <w:szCs w:val="32"/>
          <w:lang w:eastAsia="zh-CN"/>
        </w:rPr>
        <w:t>部</w:t>
      </w:r>
      <w:r>
        <w:rPr>
          <w:rFonts w:hint="eastAsia" w:ascii="仿宋_GB2312" w:hAnsi="仿宋_GB2312" w:eastAsia="仿宋_GB2312" w:cs="仿宋_GB2312"/>
          <w:sz w:val="32"/>
          <w:szCs w:val="32"/>
        </w:rPr>
        <w:t>将坚持以问题为导向，落实改进举措。对绩效评价结果将按照政府信息公开有关规定及上级部署进行公开。</w:t>
      </w:r>
    </w:p>
    <w:p>
      <w:pPr>
        <w:keepNext w:val="0"/>
        <w:keepLines w:val="0"/>
        <w:pageBreakBefore w:val="0"/>
        <w:widowControl w:val="0"/>
        <w:kinsoku/>
        <w:wordWrap/>
        <w:overflowPunct/>
        <w:topLinePunct w:val="0"/>
        <w:autoSpaceDE/>
        <w:autoSpaceDN/>
        <w:bidi w:val="0"/>
        <w:adjustRightInd/>
        <w:snapToGrid/>
        <w:spacing w:line="600" w:lineRule="exact"/>
        <w:ind w:firstLine="320" w:firstLineChars="100"/>
        <w:textAlignment w:val="auto"/>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ascii="黑体" w:hAnsi="黑体" w:eastAsia="黑体"/>
          <w:b/>
          <w:bCs/>
          <w:sz w:val="32"/>
          <w:szCs w:val="32"/>
        </w:rPr>
      </w:pPr>
      <w:r>
        <w:rPr>
          <w:rFonts w:hint="eastAsia" w:ascii="黑体" w:hAnsi="黑体" w:eastAsia="黑体" w:cs="黑体"/>
          <w:sz w:val="32"/>
          <w:szCs w:val="32"/>
        </w:rPr>
        <w:t>附件</w:t>
      </w:r>
      <w:r>
        <w:rPr>
          <w:rFonts w:ascii="黑体" w:hAnsi="黑体" w:eastAsia="黑体" w:cs="黑体"/>
          <w:sz w:val="32"/>
          <w:szCs w:val="32"/>
        </w:rPr>
        <w:t>6</w:t>
      </w:r>
    </w:p>
    <w:p>
      <w:pPr>
        <w:spacing w:line="578" w:lineRule="exact"/>
        <w:jc w:val="center"/>
        <w:rPr>
          <w:rFonts w:ascii="仿宋" w:hAnsi="仿宋" w:eastAsia="仿宋"/>
          <w:b/>
          <w:bCs/>
          <w:sz w:val="44"/>
          <w:szCs w:val="44"/>
        </w:rPr>
      </w:pPr>
    </w:p>
    <w:p>
      <w:pPr>
        <w:spacing w:line="578" w:lineRule="exact"/>
        <w:jc w:val="center"/>
        <w:rPr>
          <w:rFonts w:ascii="方正小标宋简体" w:hAnsi="方正小标宋简体" w:eastAsia="方正小标宋简体"/>
          <w:sz w:val="44"/>
          <w:szCs w:val="44"/>
        </w:rPr>
      </w:pPr>
      <w:r>
        <w:rPr>
          <w:rFonts w:hint="eastAsia" w:ascii="方正小标宋简体" w:hAnsi="方正小标宋简体" w:eastAsia="方正小标宋简体" w:cs="方正小标宋简体"/>
          <w:sz w:val="44"/>
          <w:szCs w:val="44"/>
        </w:rPr>
        <w:t>部门评价报告</w:t>
      </w:r>
    </w:p>
    <w:p>
      <w:pPr>
        <w:spacing w:line="578" w:lineRule="exact"/>
        <w:rPr>
          <w:rFonts w:ascii="仿宋" w:hAnsi="仿宋" w:eastAsia="仿宋"/>
          <w:szCs w:val="21"/>
        </w:rPr>
      </w:pPr>
    </w:p>
    <w:p>
      <w:pPr>
        <w:spacing w:line="578" w:lineRule="exact"/>
        <w:rPr>
          <w:rFonts w:ascii="仿宋" w:hAnsi="仿宋" w:eastAsia="仿宋"/>
          <w:szCs w:val="21"/>
        </w:rPr>
      </w:pPr>
    </w:p>
    <w:p>
      <w:pPr>
        <w:spacing w:line="578" w:lineRule="exact"/>
        <w:rPr>
          <w:rFonts w:ascii="仿宋" w:hAnsi="仿宋" w:eastAsia="仿宋"/>
          <w:szCs w:val="21"/>
        </w:rPr>
      </w:pPr>
    </w:p>
    <w:p>
      <w:pPr>
        <w:spacing w:line="578" w:lineRule="exact"/>
        <w:rPr>
          <w:rFonts w:ascii="仿宋" w:hAnsi="仿宋" w:eastAsia="仿宋"/>
          <w:szCs w:val="21"/>
        </w:rPr>
      </w:pPr>
    </w:p>
    <w:p>
      <w:pPr>
        <w:spacing w:line="578" w:lineRule="exact"/>
        <w:jc w:val="left"/>
        <w:rPr>
          <w:rFonts w:ascii="仿宋_GB2312" w:hAnsi="仿宋" w:eastAsia="仿宋_GB2312"/>
          <w:sz w:val="28"/>
          <w:szCs w:val="28"/>
          <w:u w:val="single"/>
        </w:rPr>
      </w:pPr>
      <w:r>
        <w:rPr>
          <w:rFonts w:ascii="仿宋" w:hAnsi="仿宋" w:eastAsia="仿宋" w:cs="仿宋"/>
          <w:szCs w:val="21"/>
        </w:rPr>
        <w:t xml:space="preserve">         </w:t>
      </w:r>
      <w:r>
        <w:rPr>
          <w:rFonts w:hint="eastAsia" w:ascii="仿宋_GB2312" w:hAnsi="仿宋" w:eastAsia="仿宋_GB2312" w:cs="仿宋_GB2312"/>
          <w:sz w:val="28"/>
          <w:szCs w:val="28"/>
        </w:rPr>
        <w:t>评价类型：</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实施过程评价</w:t>
      </w:r>
      <w:r>
        <w:rPr>
          <w:rFonts w:ascii="仿宋_GB2312" w:hAnsi="仿宋" w:eastAsia="仿宋_GB2312" w:cs="仿宋_GB2312"/>
          <w:sz w:val="28"/>
          <w:szCs w:val="28"/>
        </w:rPr>
        <w:t xml:space="preserve">          </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完成结果评价</w:t>
      </w:r>
    </w:p>
    <w:p>
      <w:pPr>
        <w:spacing w:line="578" w:lineRule="exact"/>
        <w:jc w:val="left"/>
        <w:rPr>
          <w:rFonts w:ascii="仿宋_GB2312" w:hAnsi="仿宋" w:eastAsia="仿宋_GB2312"/>
          <w:sz w:val="28"/>
          <w:szCs w:val="28"/>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项目名称：</w:t>
      </w:r>
      <w:r>
        <w:rPr>
          <w:rFonts w:ascii="仿宋_GB2312" w:hAnsi="仿宋" w:eastAsia="仿宋_GB2312" w:cs="仿宋_GB2312"/>
          <w:sz w:val="28"/>
          <w:szCs w:val="28"/>
        </w:rPr>
        <w:t xml:space="preserve"> </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rPr>
        <w:t>不动产登记信息系统登记保护建设项目</w:t>
      </w:r>
      <w:r>
        <w:rPr>
          <w:rFonts w:ascii="仿宋_GB2312" w:hAnsi="仿宋" w:eastAsia="仿宋_GB2312" w:cs="仿宋_GB2312"/>
          <w:sz w:val="28"/>
          <w:szCs w:val="28"/>
          <w:u w:val="single"/>
        </w:rPr>
        <w:t xml:space="preserve">                             </w:t>
      </w:r>
    </w:p>
    <w:p>
      <w:pPr>
        <w:spacing w:line="578" w:lineRule="exact"/>
        <w:jc w:val="left"/>
        <w:rPr>
          <w:rFonts w:ascii="仿宋_GB2312" w:hAnsi="仿宋" w:eastAsia="仿宋_GB2312"/>
          <w:sz w:val="28"/>
          <w:szCs w:val="28"/>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项目单位：</w:t>
      </w:r>
      <w:r>
        <w:rPr>
          <w:rFonts w:ascii="仿宋_GB2312" w:hAnsi="仿宋" w:eastAsia="仿宋_GB2312" w:cs="仿宋_GB2312"/>
          <w:sz w:val="28"/>
          <w:szCs w:val="28"/>
        </w:rPr>
        <w:t xml:space="preserve"> </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lang w:eastAsia="zh-CN"/>
        </w:rPr>
        <w:t>景德镇市诚信科贸有限公司</w:t>
      </w:r>
      <w:r>
        <w:rPr>
          <w:rFonts w:ascii="仿宋_GB2312" w:hAnsi="仿宋" w:eastAsia="仿宋_GB2312" w:cs="仿宋_GB2312"/>
          <w:sz w:val="28"/>
          <w:szCs w:val="28"/>
          <w:u w:val="single"/>
        </w:rPr>
        <w:t xml:space="preserve">                       </w:t>
      </w:r>
    </w:p>
    <w:p>
      <w:pPr>
        <w:spacing w:line="578" w:lineRule="exact"/>
        <w:jc w:val="left"/>
        <w:rPr>
          <w:rFonts w:ascii="仿宋_GB2312" w:hAnsi="仿宋" w:eastAsia="仿宋_GB2312" w:cs="仿宋_GB2312"/>
          <w:sz w:val="28"/>
          <w:szCs w:val="28"/>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主管部门：</w:t>
      </w:r>
      <w:r>
        <w:rPr>
          <w:rFonts w:ascii="仿宋_GB2312" w:hAnsi="仿宋" w:eastAsia="仿宋_GB2312" w:cs="仿宋_GB2312"/>
          <w:sz w:val="28"/>
          <w:szCs w:val="28"/>
        </w:rPr>
        <w:t xml:space="preserve"> </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lang w:eastAsia="zh-CN"/>
        </w:rPr>
        <w:t>浮梁县自然资源和规划局</w:t>
      </w:r>
      <w:r>
        <w:rPr>
          <w:rFonts w:ascii="仿宋_GB2312" w:hAnsi="仿宋" w:eastAsia="仿宋_GB2312" w:cs="仿宋_GB2312"/>
          <w:sz w:val="28"/>
          <w:szCs w:val="28"/>
          <w:u w:val="single"/>
        </w:rPr>
        <w:t xml:space="preserve">                                     </w:t>
      </w:r>
      <w:r>
        <w:rPr>
          <w:rFonts w:ascii="仿宋_GB2312" w:hAnsi="仿宋" w:eastAsia="仿宋_GB2312" w:cs="仿宋_GB2312"/>
          <w:sz w:val="28"/>
          <w:szCs w:val="28"/>
        </w:rPr>
        <w:t xml:space="preserve">  </w:t>
      </w:r>
    </w:p>
    <w:p>
      <w:pPr>
        <w:spacing w:line="578" w:lineRule="exact"/>
        <w:jc w:val="left"/>
        <w:rPr>
          <w:rFonts w:ascii="仿宋_GB2312" w:hAnsi="仿宋" w:eastAsia="仿宋_GB2312"/>
          <w:sz w:val="28"/>
          <w:szCs w:val="28"/>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评价时间：</w:t>
      </w:r>
      <w:r>
        <w:rPr>
          <w:rFonts w:ascii="仿宋_GB2312" w:hAnsi="仿宋" w:eastAsia="仿宋_GB2312" w:cs="仿宋_GB2312"/>
          <w:sz w:val="28"/>
          <w:szCs w:val="28"/>
        </w:rPr>
        <w:t xml:space="preserve"> </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lang w:val="en-US" w:eastAsia="zh-CN"/>
        </w:rPr>
        <w:t>2021</w:t>
      </w:r>
      <w:r>
        <w:rPr>
          <w:rFonts w:hint="eastAsia" w:ascii="仿宋_GB2312" w:hAnsi="仿宋" w:eastAsia="仿宋_GB2312" w:cs="仿宋_GB2312"/>
          <w:sz w:val="28"/>
          <w:szCs w:val="28"/>
          <w:u w:val="single"/>
        </w:rPr>
        <w:t>年</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lang w:val="en-US" w:eastAsia="zh-CN"/>
        </w:rPr>
        <w:t xml:space="preserve"> 01</w:t>
      </w:r>
      <w:r>
        <w:rPr>
          <w:rFonts w:hint="eastAsia" w:ascii="仿宋_GB2312" w:hAnsi="仿宋" w:eastAsia="仿宋_GB2312" w:cs="仿宋_GB2312"/>
          <w:sz w:val="28"/>
          <w:szCs w:val="28"/>
          <w:u w:val="single"/>
        </w:rPr>
        <w:t>月</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lang w:val="en-US" w:eastAsia="zh-CN"/>
        </w:rPr>
        <w:t>01</w:t>
      </w:r>
      <w:r>
        <w:rPr>
          <w:rFonts w:hint="eastAsia" w:ascii="仿宋_GB2312" w:hAnsi="仿宋" w:eastAsia="仿宋_GB2312" w:cs="仿宋_GB2312"/>
          <w:sz w:val="28"/>
          <w:szCs w:val="28"/>
          <w:u w:val="single"/>
        </w:rPr>
        <w:t>日至</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lang w:val="en-US" w:eastAsia="zh-CN"/>
        </w:rPr>
        <w:t>2021</w:t>
      </w:r>
      <w:r>
        <w:rPr>
          <w:rFonts w:hint="eastAsia" w:ascii="仿宋_GB2312" w:hAnsi="仿宋" w:eastAsia="仿宋_GB2312" w:cs="仿宋_GB2312"/>
          <w:sz w:val="28"/>
          <w:szCs w:val="28"/>
          <w:u w:val="single"/>
        </w:rPr>
        <w:t>年</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lang w:val="en-US" w:eastAsia="zh-CN"/>
        </w:rPr>
        <w:t>12</w:t>
      </w:r>
      <w:r>
        <w:rPr>
          <w:rFonts w:hint="eastAsia" w:ascii="仿宋_GB2312" w:hAnsi="仿宋" w:eastAsia="仿宋_GB2312" w:cs="仿宋_GB2312"/>
          <w:sz w:val="28"/>
          <w:szCs w:val="28"/>
          <w:u w:val="single"/>
        </w:rPr>
        <w:t>月</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lang w:val="en-US" w:eastAsia="zh-CN"/>
        </w:rPr>
        <w:t>31</w:t>
      </w:r>
      <w:r>
        <w:rPr>
          <w:rFonts w:hint="eastAsia" w:ascii="仿宋_GB2312" w:hAnsi="仿宋" w:eastAsia="仿宋_GB2312" w:cs="仿宋_GB2312"/>
          <w:sz w:val="28"/>
          <w:szCs w:val="28"/>
          <w:u w:val="single"/>
        </w:rPr>
        <w:t>日</w:t>
      </w:r>
    </w:p>
    <w:p>
      <w:pPr>
        <w:spacing w:line="578" w:lineRule="exact"/>
        <w:jc w:val="left"/>
        <w:rPr>
          <w:rFonts w:ascii="仿宋_GB2312" w:hAnsi="仿宋" w:eastAsia="仿宋_GB2312"/>
          <w:sz w:val="28"/>
          <w:szCs w:val="28"/>
          <w:u w:val="single"/>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组织方式：</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财政部门</w:t>
      </w:r>
      <w:r>
        <w:rPr>
          <w:rFonts w:ascii="仿宋_GB2312" w:hAnsi="仿宋" w:eastAsia="仿宋_GB2312" w:cs="仿宋_GB2312"/>
          <w:sz w:val="28"/>
          <w:szCs w:val="28"/>
          <w:u w:val="single"/>
        </w:rPr>
        <w:t xml:space="preserve"> </w:t>
      </w:r>
      <w:r>
        <w:rPr>
          <w:rFonts w:ascii="仿宋_GB2312" w:hAnsi="仿宋" w:eastAsia="仿宋_GB2312" w:cs="仿宋_GB2312"/>
          <w:sz w:val="28"/>
          <w:szCs w:val="28"/>
        </w:rPr>
        <w:t xml:space="preserve">    </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主管部门</w:t>
      </w:r>
      <w:r>
        <w:rPr>
          <w:rFonts w:ascii="仿宋_GB2312" w:hAnsi="仿宋" w:eastAsia="仿宋_GB2312" w:cs="仿宋_GB2312"/>
          <w:sz w:val="28"/>
          <w:szCs w:val="28"/>
        </w:rPr>
        <w:t xml:space="preserve">     </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项目单位</w:t>
      </w:r>
    </w:p>
    <w:p>
      <w:pPr>
        <w:spacing w:line="578" w:lineRule="exact"/>
        <w:jc w:val="left"/>
        <w:rPr>
          <w:rFonts w:ascii="仿宋_GB2312" w:hAnsi="仿宋" w:eastAsia="仿宋_GB2312"/>
          <w:sz w:val="28"/>
          <w:szCs w:val="28"/>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评价机构：</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第三方机构</w:t>
      </w:r>
      <w:r>
        <w:rPr>
          <w:rFonts w:ascii="仿宋_GB2312" w:hAnsi="仿宋" w:eastAsia="仿宋_GB2312" w:cs="仿宋_GB2312"/>
          <w:sz w:val="28"/>
          <w:szCs w:val="28"/>
          <w:u w:val="single"/>
        </w:rPr>
        <w:t xml:space="preserve"> </w:t>
      </w:r>
      <w:r>
        <w:rPr>
          <w:rFonts w:ascii="仿宋_GB2312" w:hAnsi="仿宋" w:eastAsia="仿宋_GB2312" w:cs="仿宋_GB2312"/>
          <w:sz w:val="28"/>
          <w:szCs w:val="28"/>
        </w:rPr>
        <w:t xml:space="preserve">  </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专家组</w:t>
      </w:r>
      <w:r>
        <w:rPr>
          <w:rFonts w:ascii="仿宋_GB2312" w:hAnsi="仿宋" w:eastAsia="仿宋_GB2312" w:cs="仿宋_GB2312"/>
          <w:sz w:val="28"/>
          <w:szCs w:val="28"/>
          <w:u w:val="single"/>
        </w:rPr>
        <w:t xml:space="preserve"> </w:t>
      </w:r>
      <w:r>
        <w:rPr>
          <w:rFonts w:ascii="仿宋_GB2312" w:hAnsi="仿宋" w:eastAsia="仿宋_GB2312" w:cs="仿宋_GB2312"/>
          <w:sz w:val="28"/>
          <w:szCs w:val="28"/>
        </w:rPr>
        <w:t xml:space="preserve">  </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项目单位评价组</w:t>
      </w:r>
    </w:p>
    <w:p>
      <w:pPr>
        <w:spacing w:line="578" w:lineRule="exact"/>
        <w:ind w:left="1050" w:hanging="1050" w:hangingChars="500"/>
        <w:rPr>
          <w:rFonts w:ascii="仿宋_GB2312" w:hAnsi="仿宋" w:eastAsia="仿宋_GB2312"/>
          <w:szCs w:val="21"/>
        </w:rPr>
      </w:pPr>
    </w:p>
    <w:p>
      <w:pPr>
        <w:spacing w:line="578" w:lineRule="exact"/>
        <w:rPr>
          <w:rFonts w:ascii="仿宋_GB2312" w:hAnsi="仿宋" w:eastAsia="仿宋_GB2312"/>
          <w:szCs w:val="21"/>
        </w:rPr>
      </w:pPr>
    </w:p>
    <w:p>
      <w:pPr>
        <w:spacing w:line="578" w:lineRule="exact"/>
        <w:rPr>
          <w:rFonts w:ascii="仿宋_GB2312" w:hAnsi="仿宋" w:eastAsia="仿宋_GB2312"/>
          <w:szCs w:val="21"/>
        </w:rPr>
      </w:pPr>
    </w:p>
    <w:p>
      <w:pPr>
        <w:spacing w:line="578" w:lineRule="exact"/>
        <w:ind w:left="1050" w:hanging="1050" w:hangingChars="500"/>
        <w:rPr>
          <w:rFonts w:ascii="仿宋_GB2312" w:hAnsi="仿宋" w:eastAsia="仿宋_GB2312" w:cs="仿宋_GB2312"/>
          <w:szCs w:val="21"/>
        </w:rPr>
      </w:pPr>
      <w:r>
        <w:rPr>
          <w:rFonts w:ascii="仿宋_GB2312" w:hAnsi="仿宋" w:eastAsia="仿宋_GB2312" w:cs="仿宋_GB2312"/>
          <w:szCs w:val="21"/>
        </w:rPr>
        <w:t xml:space="preserve">             </w:t>
      </w:r>
    </w:p>
    <w:p>
      <w:pPr>
        <w:spacing w:line="578" w:lineRule="exact"/>
        <w:ind w:left="1050" w:hanging="1050" w:hangingChars="500"/>
        <w:rPr>
          <w:rFonts w:ascii="仿宋_GB2312" w:hAnsi="仿宋" w:eastAsia="仿宋_GB2312" w:cs="仿宋_GB2312"/>
          <w:szCs w:val="21"/>
        </w:rPr>
      </w:pPr>
    </w:p>
    <w:p>
      <w:pPr>
        <w:spacing w:line="578" w:lineRule="exact"/>
        <w:ind w:left="1050" w:hanging="1050" w:hangingChars="500"/>
        <w:rPr>
          <w:rFonts w:ascii="仿宋_GB2312" w:hAnsi="仿宋" w:eastAsia="仿宋_GB2312"/>
          <w:sz w:val="28"/>
          <w:szCs w:val="28"/>
        </w:rPr>
      </w:pPr>
      <w:r>
        <w:rPr>
          <w:rFonts w:ascii="仿宋_GB2312" w:hAnsi="仿宋" w:eastAsia="仿宋_GB2312" w:cs="仿宋_GB2312"/>
          <w:szCs w:val="21"/>
        </w:rPr>
        <w:t xml:space="preserve">         </w:t>
      </w:r>
      <w:r>
        <w:rPr>
          <w:rFonts w:hint="eastAsia" w:ascii="仿宋_GB2312" w:hAnsi="仿宋" w:eastAsia="仿宋_GB2312" w:cs="仿宋_GB2312"/>
          <w:sz w:val="28"/>
          <w:szCs w:val="28"/>
        </w:rPr>
        <w:t>评价单位（盖章）：</w:t>
      </w:r>
      <w:r>
        <w:rPr>
          <w:rFonts w:hint="eastAsia" w:ascii="仿宋_GB2312" w:hAnsi="仿宋" w:eastAsia="仿宋_GB2312" w:cs="仿宋_GB2312"/>
          <w:sz w:val="28"/>
          <w:szCs w:val="28"/>
          <w:lang w:eastAsia="zh-CN"/>
        </w:rPr>
        <w:t>浮梁县自然资源和规划局</w:t>
      </w:r>
    </w:p>
    <w:p>
      <w:pPr>
        <w:spacing w:line="578" w:lineRule="exact"/>
        <w:ind w:left="1400" w:hanging="1400" w:hangingChars="500"/>
        <w:rPr>
          <w:rFonts w:ascii="仿宋_GB2312" w:hAnsi="仿宋" w:eastAsia="仿宋_GB2312"/>
          <w:sz w:val="28"/>
          <w:szCs w:val="28"/>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上报时间：</w:t>
      </w:r>
      <w:r>
        <w:rPr>
          <w:rFonts w:hint="eastAsia" w:ascii="仿宋_GB2312" w:hAnsi="仿宋" w:eastAsia="仿宋_GB2312" w:cs="仿宋_GB2312"/>
          <w:sz w:val="28"/>
          <w:szCs w:val="28"/>
          <w:lang w:val="en-US" w:eastAsia="zh-CN"/>
        </w:rPr>
        <w:t>2022年6月6日</w:t>
      </w:r>
    </w:p>
    <w:p>
      <w:pPr>
        <w:spacing w:line="400" w:lineRule="exact"/>
        <w:jc w:val="left"/>
        <w:rPr>
          <w:rFonts w:ascii="仿宋" w:hAnsi="仿宋" w:eastAsia="仿宋"/>
          <w:szCs w:val="21"/>
        </w:rPr>
      </w:pPr>
    </w:p>
    <w:p>
      <w:pPr>
        <w:jc w:val="center"/>
        <w:rPr>
          <w:rFonts w:ascii="方正小标宋简体" w:hAnsi="方正小标宋简体" w:eastAsia="方正小标宋简体"/>
          <w:sz w:val="44"/>
          <w:szCs w:val="44"/>
        </w:rPr>
      </w:pPr>
      <w:r>
        <w:rPr>
          <w:rFonts w:ascii="仿宋" w:hAnsi="仿宋" w:eastAsia="仿宋"/>
          <w:szCs w:val="21"/>
        </w:rPr>
        <w:br w:type="page"/>
      </w:r>
      <w:r>
        <w:rPr>
          <w:rFonts w:hint="eastAsia" w:ascii="方正小标宋简体" w:hAnsi="方正小标宋简体" w:eastAsia="方正小标宋简体" w:cs="方正小标宋简体"/>
          <w:sz w:val="44"/>
          <w:szCs w:val="44"/>
        </w:rPr>
        <w:t>部门评价报告</w:t>
      </w:r>
    </w:p>
    <w:p>
      <w:pPr>
        <w:spacing w:line="240" w:lineRule="exact"/>
        <w:jc w:val="center"/>
        <w:rPr>
          <w:rFonts w:ascii="楷体_GB2312" w:hAnsi="楷体_GB2312" w:eastAsia="楷体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一、基本情况</w:t>
      </w:r>
    </w:p>
    <w:p>
      <w:pPr>
        <w:spacing w:line="54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pPr>
        <w:spacing w:line="54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为认真贯彻中华人民共和国《网络安全法》，根据国家、省、市自然资源部门“关于加强自然资源系统网络安全要求”的指导意见精神及进一步贯彻落实省厅“关于迅速开展全省自然资源业务内网安全隐患排查及整改工作”的相关精神，保障我县不动产登记信息系统网络免受干扰、破坏、防止数据被窃取和篡改。该项目中标金额为</w:t>
      </w:r>
      <w:r>
        <w:rPr>
          <w:rFonts w:hint="eastAsia" w:ascii="仿宋_GB2312" w:hAnsi="仿宋_GB2312" w:eastAsia="仿宋_GB2312" w:cs="仿宋_GB2312"/>
          <w:sz w:val="32"/>
          <w:szCs w:val="32"/>
          <w:lang w:val="en-US" w:eastAsia="zh-CN"/>
        </w:rPr>
        <w:t>126.89万元.</w:t>
      </w:r>
    </w:p>
    <w:p>
      <w:pPr>
        <w:numPr>
          <w:ilvl w:val="0"/>
          <w:numId w:val="7"/>
        </w:num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项目绩效目标。</w:t>
      </w:r>
    </w:p>
    <w:p>
      <w:pPr>
        <w:numPr>
          <w:ilvl w:val="0"/>
          <w:numId w:val="0"/>
        </w:numPr>
        <w:spacing w:line="54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依据信息系统所包括的信息资产的安全性、信息系统主要处理的业务信息类别、信息系统服务范围以及业务对信息系统的依赖性等指标，来划分信息系统的安全等级。通过信息安全需求分析，判断信息系统的安全保护现状与《信息安全技术信息系统安全等级保护基本要求》之间的差距，确定安全需求，然后根据信息系统的划分情况、信息系统定级情况、信息系统承载业务情况和安全需求等，设计合理得、满足等级保护要求的总体安全方案，并制定出安全实施规划，以指导后续的信息系统安全建设工程实施。</w:t>
      </w:r>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二、绩效评价工作开展情况</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pPr>
        <w:spacing w:line="54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绩效评价目的：为保障浮梁县自然资源系统网络和信息安全。</w:t>
      </w:r>
    </w:p>
    <w:p>
      <w:pPr>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评价对象和范围：（1）、存在弱口令问题。网络交换设备、网络安全设备、网页登录、数据库、数据库管理平台等使用弱口令，可以被远程登录访问，接管控制管理权。（2）、存在高危漏洞问题。服务器操作系统陈旧漏洞未能及时修复、业务系统存在SQL语句注入漏洞等，可以被直接提取，接管控制管理权。（3）、存在端口随意开放问题。远程桌面、文件共享、勒索病毒等端口未做对外封堵，未授权用户可直接访问服务器数据，直接获取办公自动化系统和不动产登记系统存储的重要文件。</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w:t>
      </w:r>
    </w:p>
    <w:p>
      <w:pPr>
        <w:spacing w:line="540" w:lineRule="exact"/>
        <w:rPr>
          <w:rFonts w:ascii="仿宋_GB2312" w:hAnsi="仿宋_GB2312" w:eastAsia="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科学规范、公正公开、分级分类、绩效相关。</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1、合理设置预算绩效管理目标。我局按照县财政绩效相关管理要求，结合部门职责和当年工作任务，确定当年部门预算绩效管理目标，优化绩效指标体系和设置绩效评价标准。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2、定期开展预算绩效执行分析。结合设定的绩效管理目标，加强对预算绩效执行日常管理和监控，并定期对执行信息进行收集、审核、分析；分析偏离绩效目标的原因，并及时采取纠偏措施。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高度重视预算绩效管理自评工作。在年度终了或项目完成时，按照“查问题、找原因”的思路，开展预算绩效管理自评工作，对照设定的绩效管理目标和评价标准，找出我局在当前预算绩效管理工作中存在的不足和问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4、充分利用预算绩效管理评价结果。根据预算绩效评价中找出的问题和原因，进行整改，同时，将评价结果作为次年预算编制的依据，从而进一步提升我局预算绩效管理水平</w:t>
      </w:r>
      <w:r>
        <w:rPr>
          <w:rFonts w:hint="eastAsia" w:ascii="仿宋_GB2312" w:hAnsi="仿宋_GB2312" w:eastAsia="仿宋_GB2312" w:cs="仿宋_GB2312"/>
          <w:sz w:val="32"/>
          <w:szCs w:val="32"/>
          <w:lang w:eastAsia="zh-CN"/>
        </w:rPr>
        <w:t>。</w:t>
      </w:r>
    </w:p>
    <w:p>
      <w:pPr>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三、综合评价情况及评价结论（附相关评分表）</w:t>
      </w:r>
    </w:p>
    <w:p>
      <w:pPr>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和管理中，实际支出与项目规定的用途一致，资金收支平衡。资金使用做到公开、公平，按程序上报和审批。项目管理有健全的组织机构，配备了能力强的工作人员专门抓项目建设。财务制度健全，执行财务制度严格，无截留、挤占、挪用项目资金等违规行为。</w:t>
      </w:r>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四、绩效评价指标分析</w:t>
      </w:r>
    </w:p>
    <w:p>
      <w:pPr>
        <w:spacing w:line="54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pPr>
        <w:spacing w:line="54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认真贯彻中华人民共和国《网络安全法》，根据国家、省、市自然资源部门“关于加强自然资源系统网络安全要求”的指导意见精神及进一步贯彻落实省厅“关于迅速开展全省自然资源业务内网安全隐患排查及整改工作”的相关精神，保障我县不动产登记信息系统网络免受干扰、破坏，防止数据被窃取和篡改。</w:t>
      </w:r>
    </w:p>
    <w:p>
      <w:pPr>
        <w:numPr>
          <w:ilvl w:val="0"/>
          <w:numId w:val="8"/>
        </w:numPr>
        <w:spacing w:line="54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项目过程情况。</w:t>
      </w:r>
    </w:p>
    <w:p>
      <w:pPr>
        <w:numPr>
          <w:ilvl w:val="0"/>
          <w:numId w:val="0"/>
        </w:numPr>
        <w:spacing w:line="540" w:lineRule="exact"/>
        <w:outlineLvl w:val="0"/>
        <w:rPr>
          <w:rFonts w:ascii="仿宋_GB2312" w:hAnsi="仿宋_GB2312" w:eastAsia="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自然资网信办发【2021】1号文件和赣自然资网信办发【2021】1号文件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保护不动产系统核心资源的安全，确保实施后各个安全层面具备相应等级的安全防护能力，以保证系统的安全正常运行和信息数据的正确可靠。</w:t>
      </w:r>
    </w:p>
    <w:p>
      <w:pPr>
        <w:numPr>
          <w:ilvl w:val="0"/>
          <w:numId w:val="8"/>
        </w:numPr>
        <w:spacing w:line="54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项目产出情况。</w:t>
      </w:r>
    </w:p>
    <w:p>
      <w:pPr>
        <w:numPr>
          <w:ilvl w:val="0"/>
          <w:numId w:val="0"/>
        </w:numPr>
        <w:spacing w:line="540" w:lineRule="exact"/>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1、数量指标：安全系统建立1套。</w:t>
      </w:r>
    </w:p>
    <w:p>
      <w:pPr>
        <w:numPr>
          <w:ilvl w:val="0"/>
          <w:numId w:val="0"/>
        </w:numPr>
        <w:spacing w:line="540" w:lineRule="exact"/>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2、质量指标：达到公安关于信息系统安全登记保护相关要求。</w:t>
      </w:r>
    </w:p>
    <w:p>
      <w:pPr>
        <w:numPr>
          <w:ilvl w:val="0"/>
          <w:numId w:val="0"/>
        </w:numPr>
        <w:spacing w:line="540" w:lineRule="exact"/>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3、时效指标：系统上线及时率≧95%。</w:t>
      </w:r>
    </w:p>
    <w:p>
      <w:pPr>
        <w:numPr>
          <w:ilvl w:val="0"/>
          <w:numId w:val="8"/>
        </w:numPr>
        <w:spacing w:line="54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项目效益情况。</w:t>
      </w:r>
    </w:p>
    <w:p>
      <w:pPr>
        <w:numPr>
          <w:ilvl w:val="0"/>
          <w:numId w:val="0"/>
        </w:numPr>
        <w:spacing w:line="540" w:lineRule="exact"/>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1、社会效益指标：重要存储信息丢失率≦5%</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，系统安全登记达标率</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w:t>
      </w:r>
    </w:p>
    <w:p>
      <w:pPr>
        <w:numPr>
          <w:ilvl w:val="0"/>
          <w:numId w:val="0"/>
        </w:numPr>
        <w:spacing w:line="540" w:lineRule="exact"/>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2、可持续影响指标：保障本单位网络安全，</w:t>
      </w:r>
    </w:p>
    <w:p>
      <w:pPr>
        <w:numPr>
          <w:ilvl w:val="0"/>
          <w:numId w:val="0"/>
        </w:numPr>
        <w:spacing w:line="540" w:lineRule="exact"/>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系统正常使用年限≧6年。</w:t>
      </w:r>
    </w:p>
    <w:p>
      <w:pPr>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p>
    <w:p>
      <w:pPr>
        <w:numPr>
          <w:ilvl w:val="0"/>
          <w:numId w:val="0"/>
        </w:numPr>
        <w:spacing w:line="540" w:lineRule="exact"/>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项目资金使用和管理中，实际支出与项目规定的用途一致，资金收支平衡。资金使用做到公开、公平，按程序上报和审批。项目管理有健全的组织机构，配备了能力强的工作人员专门抓项目建设。</w:t>
      </w:r>
    </w:p>
    <w:p>
      <w:pPr>
        <w:numPr>
          <w:ilvl w:val="0"/>
          <w:numId w:val="9"/>
        </w:numPr>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有关建议</w:t>
      </w:r>
    </w:p>
    <w:p>
      <w:pPr>
        <w:numPr>
          <w:ilvl w:val="0"/>
          <w:numId w:val="0"/>
        </w:numPr>
        <w:spacing w:line="540" w:lineRule="exact"/>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建立健全的财务制度，严格执行财务制度，无截留、挤占、挪用项目资金等违规行为。</w:t>
      </w:r>
    </w:p>
    <w:p>
      <w:pPr>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七、其他需要说明的问题</w:t>
      </w:r>
    </w:p>
    <w:p>
      <w:pPr>
        <w:spacing w:line="54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lang w:eastAsia="zh-CN"/>
        </w:rPr>
        <w:t>无</w:t>
      </w:r>
    </w:p>
    <w:p>
      <w:pPr>
        <w:spacing w:line="600" w:lineRule="exact"/>
        <w:rPr>
          <w:rFonts w:ascii="仿宋_GB2312" w:eastAsia="仿宋_GB2312"/>
          <w:sz w:val="32"/>
          <w:szCs w:val="32"/>
        </w:rPr>
      </w:pPr>
    </w:p>
    <w:p>
      <w:pPr>
        <w:spacing w:line="578" w:lineRule="exact"/>
        <w:rPr>
          <w:rFonts w:ascii="宋体"/>
          <w:sz w:val="44"/>
          <w:szCs w:val="44"/>
        </w:rPr>
      </w:pPr>
    </w:p>
    <w:p>
      <w:pPr>
        <w:spacing w:line="200" w:lineRule="exact"/>
        <w:jc w:val="center"/>
        <w:rPr>
          <w:rFonts w:ascii="方正小标宋简体" w:hAnsi="方正小标宋简体" w:eastAsia="方正小标宋简体"/>
          <w:sz w:val="44"/>
          <w:szCs w:val="44"/>
        </w:rPr>
      </w:pPr>
    </w:p>
    <w:p>
      <w:pPr>
        <w:spacing w:line="200" w:lineRule="exact"/>
        <w:jc w:val="center"/>
        <w:rPr>
          <w:rFonts w:ascii="方正小标宋简体" w:hAnsi="方正小标宋简体" w:eastAsia="方正小标宋简体"/>
          <w:sz w:val="44"/>
          <w:szCs w:val="44"/>
        </w:rPr>
      </w:pPr>
    </w:p>
    <w:p>
      <w:pPr>
        <w:spacing w:line="200" w:lineRule="exact"/>
        <w:jc w:val="center"/>
        <w:rPr>
          <w:rFonts w:ascii="方正小标宋简体" w:hAnsi="方正小标宋简体" w:eastAsia="方正小标宋简体"/>
          <w:sz w:val="44"/>
          <w:szCs w:val="44"/>
        </w:rPr>
      </w:pPr>
    </w:p>
    <w:p>
      <w:pPr>
        <w:spacing w:line="200" w:lineRule="exact"/>
        <w:jc w:val="center"/>
        <w:rPr>
          <w:rFonts w:ascii="方正小标宋简体" w:hAnsi="方正小标宋简体" w:eastAsia="方正小标宋简体"/>
          <w:sz w:val="44"/>
          <w:szCs w:val="44"/>
        </w:rPr>
      </w:pPr>
    </w:p>
    <w:p>
      <w:pPr>
        <w:spacing w:line="200" w:lineRule="exact"/>
        <w:jc w:val="center"/>
        <w:rPr>
          <w:rFonts w:ascii="方正小标宋简体" w:hAnsi="方正小标宋简体" w:eastAsia="方正小标宋简体"/>
          <w:sz w:val="44"/>
          <w:szCs w:val="44"/>
        </w:rPr>
      </w:pPr>
    </w:p>
    <w:p>
      <w:pPr>
        <w:spacing w:line="200" w:lineRule="exact"/>
        <w:jc w:val="center"/>
        <w:rPr>
          <w:rFonts w:ascii="方正小标宋简体" w:hAnsi="方正小标宋简体" w:eastAsia="方正小标宋简体"/>
          <w:sz w:val="44"/>
          <w:szCs w:val="44"/>
        </w:rPr>
      </w:pPr>
    </w:p>
    <w:p>
      <w:pPr>
        <w:spacing w:line="200" w:lineRule="exact"/>
        <w:jc w:val="center"/>
        <w:rPr>
          <w:rFonts w:ascii="方正小标宋简体" w:hAnsi="方正小标宋简体" w:eastAsia="方正小标宋简体"/>
          <w:sz w:val="44"/>
          <w:szCs w:val="44"/>
        </w:rPr>
      </w:pPr>
    </w:p>
    <w:p>
      <w:pPr>
        <w:spacing w:line="200" w:lineRule="exact"/>
        <w:jc w:val="center"/>
        <w:rPr>
          <w:rFonts w:ascii="方正小标宋简体" w:hAnsi="方正小标宋简体" w:eastAsia="方正小标宋简体"/>
          <w:sz w:val="44"/>
          <w:szCs w:val="44"/>
        </w:rPr>
      </w:pPr>
    </w:p>
    <w:p>
      <w:pPr>
        <w:spacing w:line="200" w:lineRule="exact"/>
        <w:jc w:val="center"/>
        <w:rPr>
          <w:rFonts w:ascii="方正小标宋简体" w:hAnsi="方正小标宋简体" w:eastAsia="方正小标宋简体"/>
          <w:sz w:val="44"/>
          <w:szCs w:val="44"/>
        </w:rPr>
      </w:pPr>
    </w:p>
    <w:p>
      <w:pPr>
        <w:spacing w:line="200" w:lineRule="exact"/>
        <w:jc w:val="center"/>
        <w:rPr>
          <w:rFonts w:ascii="方正小标宋简体" w:hAnsi="方正小标宋简体" w:eastAsia="方正小标宋简体"/>
          <w:sz w:val="44"/>
          <w:szCs w:val="44"/>
        </w:rPr>
      </w:pPr>
    </w:p>
    <w:p>
      <w:pPr>
        <w:pStyle w:val="2"/>
      </w:pPr>
    </w:p>
    <w:p>
      <w:pPr>
        <w:pStyle w:val="2"/>
      </w:pPr>
    </w:p>
    <w:p>
      <w:pPr>
        <w:spacing w:line="200" w:lineRule="exact"/>
        <w:jc w:val="center"/>
        <w:rPr>
          <w:rFonts w:ascii="方正小标宋简体" w:hAnsi="方正小标宋简体" w:eastAsia="方正小标宋简体"/>
          <w:sz w:val="44"/>
          <w:szCs w:val="44"/>
        </w:rPr>
      </w:pPr>
    </w:p>
    <w:p>
      <w:pPr>
        <w:spacing w:line="200" w:lineRule="exact"/>
        <w:jc w:val="center"/>
        <w:rPr>
          <w:rFonts w:ascii="方正小标宋简体" w:hAnsi="方正小标宋简体" w:eastAsia="方正小标宋简体"/>
          <w:sz w:val="44"/>
          <w:szCs w:val="44"/>
        </w:rPr>
      </w:pPr>
    </w:p>
    <w:p>
      <w:pPr>
        <w:spacing w:line="578" w:lineRule="exact"/>
        <w:jc w:val="center"/>
        <w:rPr>
          <w:rFonts w:ascii="方正小标宋简体" w:hAnsi="方正小标宋简体" w:eastAsia="方正小标宋简体"/>
          <w:sz w:val="44"/>
          <w:szCs w:val="44"/>
        </w:rPr>
      </w:pPr>
      <w:r>
        <w:rPr>
          <w:rFonts w:hint="eastAsia" w:ascii="方正小标宋简体" w:hAnsi="方正小标宋简体" w:eastAsia="方正小标宋简体" w:cs="方正小标宋简体"/>
          <w:sz w:val="44"/>
          <w:szCs w:val="44"/>
        </w:rPr>
        <w:t>部门评价表</w:t>
      </w:r>
    </w:p>
    <w:p>
      <w:pPr>
        <w:spacing w:line="200" w:lineRule="exact"/>
        <w:jc w:val="center"/>
        <w:rPr>
          <w:rFonts w:ascii="方正小标宋简体" w:hAnsi="方正小标宋简体" w:eastAsia="方正小标宋简体"/>
          <w:sz w:val="44"/>
          <w:szCs w:val="44"/>
        </w:rPr>
      </w:pPr>
    </w:p>
    <w:tbl>
      <w:tblPr>
        <w:tblStyle w:val="5"/>
        <w:tblpPr w:leftFromText="180" w:rightFromText="180" w:vertAnchor="text" w:horzAnchor="page" w:tblpXSpec="center" w:tblpY="32"/>
        <w:tblOverlap w:val="never"/>
        <w:tblW w:w="92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361"/>
        <w:gridCol w:w="497"/>
        <w:gridCol w:w="419"/>
        <w:gridCol w:w="703"/>
        <w:gridCol w:w="354"/>
        <w:gridCol w:w="215"/>
        <w:gridCol w:w="759"/>
        <w:gridCol w:w="231"/>
        <w:gridCol w:w="1034"/>
        <w:gridCol w:w="1002"/>
        <w:gridCol w:w="381"/>
        <w:gridCol w:w="118"/>
        <w:gridCol w:w="1185"/>
        <w:gridCol w:w="1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2"/>
            <w:vAlign w:val="center"/>
          </w:tcPr>
          <w:p>
            <w:pPr>
              <w:spacing w:line="300" w:lineRule="exact"/>
              <w:jc w:val="center"/>
              <w:rPr>
                <w:rFonts w:ascii="宋体"/>
                <w:szCs w:val="21"/>
              </w:rPr>
            </w:pPr>
            <w:r>
              <w:rPr>
                <w:rFonts w:hint="eastAsia" w:ascii="宋体" w:hAnsi="宋体" w:cs="宋体"/>
                <w:szCs w:val="21"/>
              </w:rPr>
              <w:t>项目名称：</w:t>
            </w:r>
          </w:p>
        </w:tc>
        <w:tc>
          <w:tcPr>
            <w:tcW w:w="7407" w:type="dxa"/>
            <w:gridSpan w:val="12"/>
            <w:vAlign w:val="center"/>
          </w:tcPr>
          <w:p>
            <w:pPr>
              <w:spacing w:line="300" w:lineRule="exact"/>
              <w:rPr>
                <w:rFonts w:ascii="宋体"/>
                <w:szCs w:val="21"/>
              </w:rPr>
            </w:pPr>
            <w:r>
              <w:rPr>
                <w:rFonts w:hint="eastAsia" w:ascii="宋体"/>
                <w:szCs w:val="21"/>
                <w:lang w:eastAsia="zh-CN"/>
              </w:rPr>
              <w:t>不动产登记信息系统登记保护建设项目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2"/>
            <w:vAlign w:val="center"/>
          </w:tcPr>
          <w:p>
            <w:pPr>
              <w:spacing w:line="300" w:lineRule="exact"/>
              <w:jc w:val="center"/>
              <w:rPr>
                <w:rFonts w:ascii="宋体"/>
                <w:szCs w:val="21"/>
              </w:rPr>
            </w:pPr>
            <w:r>
              <w:rPr>
                <w:rFonts w:hint="eastAsia" w:ascii="宋体" w:hAnsi="宋体" w:cs="宋体"/>
                <w:szCs w:val="21"/>
              </w:rPr>
              <w:t>主管部门</w:t>
            </w:r>
          </w:p>
        </w:tc>
        <w:tc>
          <w:tcPr>
            <w:tcW w:w="1476" w:type="dxa"/>
            <w:gridSpan w:val="3"/>
            <w:vAlign w:val="center"/>
          </w:tcPr>
          <w:p>
            <w:pPr>
              <w:spacing w:line="300" w:lineRule="exact"/>
              <w:jc w:val="center"/>
              <w:rPr>
                <w:rFonts w:hint="eastAsia" w:ascii="宋体" w:eastAsia="宋体"/>
                <w:szCs w:val="21"/>
                <w:lang w:eastAsia="zh-CN"/>
              </w:rPr>
            </w:pPr>
            <w:r>
              <w:rPr>
                <w:rFonts w:hint="eastAsia" w:ascii="宋体"/>
                <w:szCs w:val="21"/>
                <w:lang w:eastAsia="zh-CN"/>
              </w:rPr>
              <w:t>浮梁县自然资源和规划局</w:t>
            </w:r>
          </w:p>
        </w:tc>
        <w:tc>
          <w:tcPr>
            <w:tcW w:w="3241" w:type="dxa"/>
            <w:gridSpan w:val="5"/>
            <w:vAlign w:val="center"/>
          </w:tcPr>
          <w:p>
            <w:pPr>
              <w:spacing w:line="300" w:lineRule="exact"/>
              <w:jc w:val="center"/>
              <w:rPr>
                <w:rFonts w:ascii="宋体"/>
                <w:szCs w:val="21"/>
              </w:rPr>
            </w:pPr>
            <w:r>
              <w:rPr>
                <w:rFonts w:hint="eastAsia" w:ascii="宋体" w:hAnsi="宋体" w:cs="宋体"/>
                <w:szCs w:val="21"/>
              </w:rPr>
              <w:t>项目实施单位</w:t>
            </w:r>
          </w:p>
        </w:tc>
        <w:tc>
          <w:tcPr>
            <w:tcW w:w="2690" w:type="dxa"/>
            <w:gridSpan w:val="4"/>
            <w:vAlign w:val="center"/>
          </w:tcPr>
          <w:p>
            <w:pPr>
              <w:spacing w:line="300" w:lineRule="exact"/>
              <w:jc w:val="center"/>
              <w:rPr>
                <w:rFonts w:hint="eastAsia" w:ascii="宋体" w:eastAsia="宋体"/>
                <w:szCs w:val="21"/>
                <w:lang w:eastAsia="zh-CN"/>
              </w:rPr>
            </w:pPr>
            <w:r>
              <w:rPr>
                <w:rFonts w:hint="eastAsia" w:ascii="宋体"/>
                <w:szCs w:val="21"/>
                <w:lang w:eastAsia="zh-CN"/>
              </w:rPr>
              <w:t>浮梁县自然资源和规划局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2"/>
            <w:vAlign w:val="center"/>
          </w:tcPr>
          <w:p>
            <w:pPr>
              <w:spacing w:line="300" w:lineRule="exact"/>
              <w:jc w:val="center"/>
              <w:rPr>
                <w:rFonts w:ascii="宋体"/>
                <w:szCs w:val="21"/>
              </w:rPr>
            </w:pPr>
            <w:r>
              <w:rPr>
                <w:rFonts w:hint="eastAsia" w:ascii="宋体" w:hAnsi="宋体" w:cs="宋体"/>
                <w:szCs w:val="21"/>
              </w:rPr>
              <w:t>项目负责人</w:t>
            </w:r>
          </w:p>
        </w:tc>
        <w:tc>
          <w:tcPr>
            <w:tcW w:w="1476" w:type="dxa"/>
            <w:gridSpan w:val="3"/>
            <w:vAlign w:val="center"/>
          </w:tcPr>
          <w:p>
            <w:pPr>
              <w:spacing w:line="300" w:lineRule="exact"/>
              <w:jc w:val="center"/>
              <w:rPr>
                <w:rFonts w:hint="eastAsia" w:ascii="宋体" w:eastAsia="宋体"/>
                <w:szCs w:val="21"/>
                <w:lang w:eastAsia="zh-CN"/>
              </w:rPr>
            </w:pPr>
            <w:r>
              <w:rPr>
                <w:rFonts w:hint="eastAsia" w:ascii="宋体"/>
                <w:szCs w:val="21"/>
                <w:lang w:eastAsia="zh-CN"/>
              </w:rPr>
              <w:t>廖建宏</w:t>
            </w:r>
          </w:p>
        </w:tc>
        <w:tc>
          <w:tcPr>
            <w:tcW w:w="3241" w:type="dxa"/>
            <w:gridSpan w:val="5"/>
            <w:vAlign w:val="center"/>
          </w:tcPr>
          <w:p>
            <w:pPr>
              <w:spacing w:line="300" w:lineRule="exact"/>
              <w:jc w:val="center"/>
              <w:rPr>
                <w:rFonts w:ascii="宋体"/>
                <w:szCs w:val="21"/>
              </w:rPr>
            </w:pPr>
            <w:r>
              <w:rPr>
                <w:rFonts w:hint="eastAsia" w:ascii="宋体" w:hAnsi="宋体" w:cs="宋体"/>
                <w:szCs w:val="21"/>
              </w:rPr>
              <w:t>联系电话</w:t>
            </w:r>
          </w:p>
        </w:tc>
        <w:tc>
          <w:tcPr>
            <w:tcW w:w="2690" w:type="dxa"/>
            <w:gridSpan w:val="4"/>
            <w:vAlign w:val="center"/>
          </w:tcPr>
          <w:p>
            <w:pPr>
              <w:spacing w:line="300" w:lineRule="exact"/>
              <w:jc w:val="center"/>
              <w:rPr>
                <w:rFonts w:hint="eastAsia" w:ascii="宋体" w:eastAsia="宋体"/>
                <w:szCs w:val="21"/>
                <w:lang w:val="en-US" w:eastAsia="zh-CN"/>
              </w:rPr>
            </w:pPr>
            <w:r>
              <w:rPr>
                <w:rFonts w:hint="eastAsia" w:ascii="宋体"/>
                <w:szCs w:val="21"/>
                <w:lang w:val="en-US" w:eastAsia="zh-CN"/>
              </w:rPr>
              <w:t>19198367117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2"/>
            <w:vAlign w:val="center"/>
          </w:tcPr>
          <w:p>
            <w:pPr>
              <w:spacing w:line="300" w:lineRule="exact"/>
              <w:jc w:val="center"/>
              <w:rPr>
                <w:rFonts w:ascii="宋体"/>
                <w:szCs w:val="21"/>
              </w:rPr>
            </w:pPr>
            <w:r>
              <w:rPr>
                <w:rFonts w:hint="eastAsia" w:ascii="宋体" w:hAnsi="宋体" w:cs="宋体"/>
                <w:szCs w:val="21"/>
              </w:rPr>
              <w:t>项目类型</w:t>
            </w:r>
          </w:p>
        </w:tc>
        <w:tc>
          <w:tcPr>
            <w:tcW w:w="7407" w:type="dxa"/>
            <w:gridSpan w:val="12"/>
            <w:vAlign w:val="center"/>
          </w:tcPr>
          <w:p>
            <w:pPr>
              <w:spacing w:line="300" w:lineRule="exact"/>
              <w:jc w:val="center"/>
              <w:rPr>
                <w:rFonts w:ascii="宋体"/>
                <w:szCs w:val="21"/>
              </w:rPr>
            </w:pPr>
            <w:r>
              <w:rPr>
                <w:rFonts w:hint="eastAsia" w:ascii="宋体" w:hAnsi="宋体" w:cs="宋体"/>
                <w:szCs w:val="21"/>
              </w:rPr>
              <w:t>经常性项目（</w:t>
            </w:r>
            <w:r>
              <w:rPr>
                <w:rFonts w:ascii="宋体" w:hAnsi="宋体" w:cs="宋体"/>
                <w:szCs w:val="21"/>
              </w:rPr>
              <w:t xml:space="preserve">   </w:t>
            </w:r>
            <w:r>
              <w:rPr>
                <w:rFonts w:hint="eastAsia" w:ascii="宋体" w:hAnsi="宋体" w:cs="宋体"/>
                <w:szCs w:val="21"/>
              </w:rPr>
              <w:t>）</w:t>
            </w:r>
            <w:r>
              <w:rPr>
                <w:rFonts w:ascii="宋体" w:hAnsi="宋体" w:cs="宋体"/>
                <w:szCs w:val="21"/>
              </w:rPr>
              <w:t xml:space="preserve">       </w:t>
            </w:r>
            <w:r>
              <w:rPr>
                <w:rFonts w:hint="eastAsia" w:ascii="宋体" w:hAnsi="宋体" w:cs="宋体"/>
                <w:szCs w:val="21"/>
              </w:rPr>
              <w:t>一次性项目（</w:t>
            </w:r>
            <w:r>
              <w:rPr>
                <w:rFonts w:ascii="宋体" w:hAnsi="宋体" w:cs="宋体"/>
                <w:szCs w:val="21"/>
              </w:rPr>
              <w:t xml:space="preserve">  </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00" w:hRule="atLeast"/>
          <w:jc w:val="center"/>
        </w:trPr>
        <w:tc>
          <w:tcPr>
            <w:tcW w:w="1858" w:type="dxa"/>
            <w:gridSpan w:val="2"/>
            <w:vAlign w:val="center"/>
          </w:tcPr>
          <w:p>
            <w:pPr>
              <w:spacing w:line="240" w:lineRule="exact"/>
              <w:jc w:val="center"/>
              <w:rPr>
                <w:rFonts w:ascii="宋体"/>
                <w:szCs w:val="21"/>
              </w:rPr>
            </w:pPr>
            <w:r>
              <w:rPr>
                <w:rFonts w:hint="eastAsia" w:ascii="宋体" w:hAnsi="宋体" w:cs="宋体"/>
                <w:szCs w:val="21"/>
              </w:rPr>
              <w:t>计划投资额</w:t>
            </w:r>
          </w:p>
          <w:p>
            <w:pPr>
              <w:spacing w:line="240" w:lineRule="exact"/>
              <w:jc w:val="center"/>
              <w:rPr>
                <w:rFonts w:ascii="宋体"/>
                <w:szCs w:val="21"/>
              </w:rPr>
            </w:pPr>
            <w:r>
              <w:rPr>
                <w:rFonts w:hint="eastAsia" w:ascii="宋体" w:hAnsi="宋体" w:cs="宋体"/>
                <w:szCs w:val="21"/>
              </w:rPr>
              <w:t>（万元）</w:t>
            </w:r>
          </w:p>
        </w:tc>
        <w:tc>
          <w:tcPr>
            <w:tcW w:w="1122" w:type="dxa"/>
            <w:gridSpan w:val="2"/>
            <w:vAlign w:val="center"/>
          </w:tcPr>
          <w:p>
            <w:pPr>
              <w:spacing w:line="240" w:lineRule="exact"/>
              <w:jc w:val="center"/>
              <w:rPr>
                <w:rFonts w:hint="eastAsia" w:ascii="宋体" w:eastAsia="宋体"/>
                <w:szCs w:val="21"/>
                <w:lang w:val="en-US" w:eastAsia="zh-CN"/>
              </w:rPr>
            </w:pPr>
            <w:r>
              <w:rPr>
                <w:rFonts w:hint="eastAsia" w:ascii="宋体"/>
                <w:szCs w:val="21"/>
                <w:lang w:val="en-US" w:eastAsia="zh-CN"/>
              </w:rPr>
              <w:t>126.89</w:t>
            </w:r>
          </w:p>
        </w:tc>
        <w:tc>
          <w:tcPr>
            <w:tcW w:w="1559" w:type="dxa"/>
            <w:gridSpan w:val="4"/>
            <w:vAlign w:val="center"/>
          </w:tcPr>
          <w:p>
            <w:pPr>
              <w:spacing w:line="240" w:lineRule="exact"/>
              <w:jc w:val="center"/>
              <w:rPr>
                <w:rFonts w:ascii="宋体"/>
                <w:szCs w:val="21"/>
              </w:rPr>
            </w:pPr>
            <w:r>
              <w:rPr>
                <w:rFonts w:hint="eastAsia" w:ascii="宋体" w:hAnsi="宋体" w:cs="宋体"/>
                <w:szCs w:val="21"/>
              </w:rPr>
              <w:t>实际到位资金（万元）</w:t>
            </w:r>
          </w:p>
        </w:tc>
        <w:tc>
          <w:tcPr>
            <w:tcW w:w="1034" w:type="dxa"/>
            <w:vAlign w:val="center"/>
          </w:tcPr>
          <w:p>
            <w:pPr>
              <w:spacing w:line="240" w:lineRule="exact"/>
              <w:jc w:val="center"/>
              <w:rPr>
                <w:rFonts w:hint="eastAsia" w:ascii="宋体" w:eastAsia="宋体"/>
                <w:szCs w:val="21"/>
                <w:lang w:val="en-US" w:eastAsia="zh-CN"/>
              </w:rPr>
            </w:pPr>
            <w:r>
              <w:rPr>
                <w:rFonts w:hint="eastAsia" w:ascii="宋体"/>
                <w:szCs w:val="21"/>
                <w:lang w:val="en-US" w:eastAsia="zh-CN"/>
              </w:rPr>
              <w:t>126.89</w:t>
            </w:r>
          </w:p>
        </w:tc>
        <w:tc>
          <w:tcPr>
            <w:tcW w:w="1383" w:type="dxa"/>
            <w:gridSpan w:val="2"/>
            <w:vAlign w:val="center"/>
          </w:tcPr>
          <w:p>
            <w:pPr>
              <w:spacing w:line="240" w:lineRule="exact"/>
              <w:jc w:val="center"/>
              <w:rPr>
                <w:rFonts w:ascii="宋体"/>
                <w:szCs w:val="21"/>
              </w:rPr>
            </w:pPr>
            <w:r>
              <w:rPr>
                <w:rFonts w:hint="eastAsia" w:ascii="宋体" w:hAnsi="宋体" w:cs="宋体"/>
                <w:szCs w:val="21"/>
              </w:rPr>
              <w:t>实际使用情况（万元）</w:t>
            </w:r>
          </w:p>
        </w:tc>
        <w:tc>
          <w:tcPr>
            <w:tcW w:w="2309" w:type="dxa"/>
            <w:gridSpan w:val="3"/>
            <w:vAlign w:val="center"/>
          </w:tcPr>
          <w:p>
            <w:pPr>
              <w:spacing w:line="240" w:lineRule="exact"/>
              <w:jc w:val="center"/>
              <w:rPr>
                <w:rFonts w:hint="eastAsia" w:ascii="宋体" w:eastAsia="宋体"/>
                <w:szCs w:val="21"/>
                <w:lang w:val="en-US" w:eastAsia="zh-CN"/>
              </w:rPr>
            </w:pPr>
            <w:r>
              <w:rPr>
                <w:rFonts w:hint="eastAsia" w:ascii="宋体"/>
                <w:szCs w:val="21"/>
                <w:lang w:val="en-US" w:eastAsia="zh-CN"/>
              </w:rPr>
              <w:t>126.89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2"/>
            <w:vAlign w:val="center"/>
          </w:tcPr>
          <w:p>
            <w:pPr>
              <w:spacing w:line="300" w:lineRule="exact"/>
              <w:jc w:val="center"/>
              <w:rPr>
                <w:rFonts w:ascii="宋体"/>
                <w:szCs w:val="21"/>
              </w:rPr>
            </w:pPr>
            <w:r>
              <w:rPr>
                <w:rFonts w:hint="eastAsia" w:ascii="宋体" w:hAnsi="宋体" w:cs="宋体"/>
                <w:szCs w:val="21"/>
              </w:rPr>
              <w:t>其中：中央财政</w:t>
            </w:r>
          </w:p>
        </w:tc>
        <w:tc>
          <w:tcPr>
            <w:tcW w:w="1122" w:type="dxa"/>
            <w:gridSpan w:val="2"/>
            <w:vAlign w:val="center"/>
          </w:tcPr>
          <w:p>
            <w:pPr>
              <w:spacing w:line="300" w:lineRule="exact"/>
              <w:jc w:val="center"/>
              <w:rPr>
                <w:rFonts w:ascii="宋体"/>
                <w:szCs w:val="21"/>
              </w:rPr>
            </w:pPr>
          </w:p>
        </w:tc>
        <w:tc>
          <w:tcPr>
            <w:tcW w:w="1559" w:type="dxa"/>
            <w:gridSpan w:val="4"/>
            <w:vAlign w:val="center"/>
          </w:tcPr>
          <w:p>
            <w:pPr>
              <w:spacing w:line="300" w:lineRule="exact"/>
              <w:jc w:val="center"/>
              <w:rPr>
                <w:rFonts w:ascii="宋体"/>
                <w:szCs w:val="21"/>
              </w:rPr>
            </w:pPr>
            <w:r>
              <w:rPr>
                <w:rFonts w:hint="eastAsia" w:ascii="宋体" w:hAnsi="宋体" w:cs="宋体"/>
                <w:szCs w:val="21"/>
              </w:rPr>
              <w:t>其中：中央财政</w:t>
            </w:r>
          </w:p>
        </w:tc>
        <w:tc>
          <w:tcPr>
            <w:tcW w:w="1034" w:type="dxa"/>
            <w:vAlign w:val="center"/>
          </w:tcPr>
          <w:p>
            <w:pPr>
              <w:spacing w:line="300" w:lineRule="exact"/>
              <w:jc w:val="center"/>
              <w:rPr>
                <w:rFonts w:ascii="宋体"/>
                <w:szCs w:val="21"/>
              </w:rPr>
            </w:pPr>
          </w:p>
        </w:tc>
        <w:tc>
          <w:tcPr>
            <w:tcW w:w="1383" w:type="dxa"/>
            <w:gridSpan w:val="2"/>
            <w:vAlign w:val="center"/>
          </w:tcPr>
          <w:p>
            <w:pPr>
              <w:spacing w:line="300" w:lineRule="exact"/>
              <w:jc w:val="center"/>
              <w:rPr>
                <w:rFonts w:ascii="宋体"/>
                <w:szCs w:val="21"/>
              </w:rPr>
            </w:pPr>
          </w:p>
        </w:tc>
        <w:tc>
          <w:tcPr>
            <w:tcW w:w="2309" w:type="dxa"/>
            <w:gridSpan w:val="3"/>
            <w:vAlign w:val="center"/>
          </w:tcPr>
          <w:p>
            <w:pPr>
              <w:spacing w:line="30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2"/>
            <w:vAlign w:val="center"/>
          </w:tcPr>
          <w:p>
            <w:pPr>
              <w:spacing w:line="300" w:lineRule="exact"/>
              <w:jc w:val="center"/>
              <w:rPr>
                <w:rFonts w:ascii="宋体"/>
                <w:szCs w:val="21"/>
              </w:rPr>
            </w:pPr>
            <w:r>
              <w:rPr>
                <w:rFonts w:hint="eastAsia" w:ascii="宋体" w:hAnsi="宋体" w:cs="宋体"/>
                <w:szCs w:val="21"/>
              </w:rPr>
              <w:t>省财政</w:t>
            </w:r>
          </w:p>
        </w:tc>
        <w:tc>
          <w:tcPr>
            <w:tcW w:w="1122" w:type="dxa"/>
            <w:gridSpan w:val="2"/>
            <w:vAlign w:val="center"/>
          </w:tcPr>
          <w:p>
            <w:pPr>
              <w:spacing w:line="300" w:lineRule="exact"/>
              <w:jc w:val="center"/>
              <w:rPr>
                <w:rFonts w:ascii="宋体"/>
                <w:szCs w:val="21"/>
              </w:rPr>
            </w:pPr>
          </w:p>
        </w:tc>
        <w:tc>
          <w:tcPr>
            <w:tcW w:w="1559" w:type="dxa"/>
            <w:gridSpan w:val="4"/>
            <w:vAlign w:val="center"/>
          </w:tcPr>
          <w:p>
            <w:pPr>
              <w:spacing w:line="300" w:lineRule="exact"/>
              <w:jc w:val="center"/>
              <w:rPr>
                <w:rFonts w:ascii="宋体"/>
                <w:szCs w:val="21"/>
              </w:rPr>
            </w:pPr>
            <w:r>
              <w:rPr>
                <w:rFonts w:hint="eastAsia" w:ascii="宋体" w:hAnsi="宋体" w:cs="宋体"/>
                <w:szCs w:val="21"/>
              </w:rPr>
              <w:t>省财政</w:t>
            </w:r>
          </w:p>
        </w:tc>
        <w:tc>
          <w:tcPr>
            <w:tcW w:w="1034" w:type="dxa"/>
            <w:vAlign w:val="center"/>
          </w:tcPr>
          <w:p>
            <w:pPr>
              <w:spacing w:line="300" w:lineRule="exact"/>
              <w:jc w:val="center"/>
              <w:rPr>
                <w:rFonts w:ascii="宋体"/>
                <w:szCs w:val="21"/>
              </w:rPr>
            </w:pPr>
          </w:p>
        </w:tc>
        <w:tc>
          <w:tcPr>
            <w:tcW w:w="1383" w:type="dxa"/>
            <w:gridSpan w:val="2"/>
            <w:vAlign w:val="center"/>
          </w:tcPr>
          <w:p>
            <w:pPr>
              <w:spacing w:line="300" w:lineRule="exact"/>
              <w:jc w:val="center"/>
              <w:rPr>
                <w:rFonts w:ascii="宋体"/>
                <w:szCs w:val="21"/>
              </w:rPr>
            </w:pPr>
          </w:p>
        </w:tc>
        <w:tc>
          <w:tcPr>
            <w:tcW w:w="2309" w:type="dxa"/>
            <w:gridSpan w:val="3"/>
            <w:vAlign w:val="center"/>
          </w:tcPr>
          <w:p>
            <w:pPr>
              <w:spacing w:line="30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2"/>
            <w:vAlign w:val="center"/>
          </w:tcPr>
          <w:p>
            <w:pPr>
              <w:spacing w:line="300" w:lineRule="exact"/>
              <w:jc w:val="center"/>
              <w:rPr>
                <w:rFonts w:ascii="宋体"/>
                <w:szCs w:val="21"/>
              </w:rPr>
            </w:pPr>
            <w:r>
              <w:rPr>
                <w:rFonts w:hint="eastAsia" w:ascii="宋体" w:hAnsi="宋体" w:cs="宋体"/>
                <w:szCs w:val="21"/>
              </w:rPr>
              <w:t>市县财政</w:t>
            </w:r>
          </w:p>
        </w:tc>
        <w:tc>
          <w:tcPr>
            <w:tcW w:w="1122" w:type="dxa"/>
            <w:gridSpan w:val="2"/>
            <w:vAlign w:val="center"/>
          </w:tcPr>
          <w:p>
            <w:pPr>
              <w:spacing w:line="300" w:lineRule="exact"/>
              <w:jc w:val="center"/>
              <w:rPr>
                <w:rFonts w:hint="eastAsia" w:ascii="宋体" w:eastAsia="宋体"/>
                <w:szCs w:val="21"/>
                <w:lang w:val="en-US" w:eastAsia="zh-CN"/>
              </w:rPr>
            </w:pPr>
            <w:r>
              <w:rPr>
                <w:rFonts w:hint="eastAsia" w:ascii="宋体"/>
                <w:szCs w:val="21"/>
                <w:lang w:val="en-US" w:eastAsia="zh-CN"/>
              </w:rPr>
              <w:t>126.89</w:t>
            </w:r>
          </w:p>
        </w:tc>
        <w:tc>
          <w:tcPr>
            <w:tcW w:w="1559" w:type="dxa"/>
            <w:gridSpan w:val="4"/>
            <w:vAlign w:val="center"/>
          </w:tcPr>
          <w:p>
            <w:pPr>
              <w:spacing w:line="300" w:lineRule="exact"/>
              <w:jc w:val="center"/>
              <w:rPr>
                <w:rFonts w:ascii="宋体"/>
                <w:szCs w:val="21"/>
              </w:rPr>
            </w:pPr>
            <w:r>
              <w:rPr>
                <w:rFonts w:hint="eastAsia" w:ascii="宋体" w:hAnsi="宋体" w:cs="宋体"/>
                <w:szCs w:val="21"/>
              </w:rPr>
              <w:t>市县财政</w:t>
            </w:r>
          </w:p>
        </w:tc>
        <w:tc>
          <w:tcPr>
            <w:tcW w:w="1034" w:type="dxa"/>
            <w:vAlign w:val="center"/>
          </w:tcPr>
          <w:p>
            <w:pPr>
              <w:spacing w:line="300" w:lineRule="exact"/>
              <w:jc w:val="center"/>
              <w:rPr>
                <w:rFonts w:hint="eastAsia" w:ascii="宋体" w:eastAsia="宋体"/>
                <w:szCs w:val="21"/>
                <w:lang w:val="en-US" w:eastAsia="zh-CN"/>
              </w:rPr>
            </w:pPr>
            <w:r>
              <w:rPr>
                <w:rFonts w:hint="eastAsia" w:ascii="宋体"/>
                <w:szCs w:val="21"/>
                <w:lang w:val="en-US" w:eastAsia="zh-CN"/>
              </w:rPr>
              <w:t>126.89</w:t>
            </w:r>
          </w:p>
        </w:tc>
        <w:tc>
          <w:tcPr>
            <w:tcW w:w="1383" w:type="dxa"/>
            <w:gridSpan w:val="2"/>
            <w:vAlign w:val="center"/>
          </w:tcPr>
          <w:p>
            <w:pPr>
              <w:spacing w:line="300" w:lineRule="exact"/>
              <w:jc w:val="center"/>
              <w:rPr>
                <w:rFonts w:ascii="宋体"/>
                <w:szCs w:val="21"/>
              </w:rPr>
            </w:pPr>
          </w:p>
        </w:tc>
        <w:tc>
          <w:tcPr>
            <w:tcW w:w="2309" w:type="dxa"/>
            <w:gridSpan w:val="3"/>
            <w:vAlign w:val="center"/>
          </w:tcPr>
          <w:p>
            <w:pPr>
              <w:spacing w:line="30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2"/>
            <w:vAlign w:val="center"/>
          </w:tcPr>
          <w:p>
            <w:pPr>
              <w:spacing w:line="300" w:lineRule="exact"/>
              <w:jc w:val="center"/>
              <w:rPr>
                <w:rFonts w:ascii="宋体"/>
                <w:szCs w:val="21"/>
              </w:rPr>
            </w:pPr>
            <w:r>
              <w:rPr>
                <w:rFonts w:hint="eastAsia" w:ascii="宋体" w:hAnsi="宋体" w:cs="宋体"/>
                <w:szCs w:val="21"/>
              </w:rPr>
              <w:t>其他</w:t>
            </w:r>
          </w:p>
        </w:tc>
        <w:tc>
          <w:tcPr>
            <w:tcW w:w="1122" w:type="dxa"/>
            <w:gridSpan w:val="2"/>
            <w:vAlign w:val="center"/>
          </w:tcPr>
          <w:p>
            <w:pPr>
              <w:spacing w:line="300" w:lineRule="exact"/>
              <w:jc w:val="center"/>
              <w:rPr>
                <w:rFonts w:ascii="宋体"/>
                <w:szCs w:val="21"/>
              </w:rPr>
            </w:pPr>
          </w:p>
        </w:tc>
        <w:tc>
          <w:tcPr>
            <w:tcW w:w="1559" w:type="dxa"/>
            <w:gridSpan w:val="4"/>
            <w:vAlign w:val="center"/>
          </w:tcPr>
          <w:p>
            <w:pPr>
              <w:spacing w:line="300" w:lineRule="exact"/>
              <w:jc w:val="center"/>
              <w:rPr>
                <w:rFonts w:ascii="宋体"/>
                <w:szCs w:val="21"/>
              </w:rPr>
            </w:pPr>
            <w:r>
              <w:rPr>
                <w:rFonts w:hint="eastAsia" w:ascii="宋体" w:hAnsi="宋体" w:cs="宋体"/>
                <w:szCs w:val="21"/>
              </w:rPr>
              <w:t>其他</w:t>
            </w:r>
          </w:p>
        </w:tc>
        <w:tc>
          <w:tcPr>
            <w:tcW w:w="1034" w:type="dxa"/>
            <w:vAlign w:val="center"/>
          </w:tcPr>
          <w:p>
            <w:pPr>
              <w:spacing w:line="300" w:lineRule="exact"/>
              <w:jc w:val="center"/>
              <w:rPr>
                <w:rFonts w:ascii="宋体"/>
                <w:szCs w:val="21"/>
              </w:rPr>
            </w:pPr>
          </w:p>
        </w:tc>
        <w:tc>
          <w:tcPr>
            <w:tcW w:w="1383" w:type="dxa"/>
            <w:gridSpan w:val="2"/>
            <w:vAlign w:val="center"/>
          </w:tcPr>
          <w:p>
            <w:pPr>
              <w:spacing w:line="300" w:lineRule="exact"/>
              <w:jc w:val="center"/>
              <w:rPr>
                <w:rFonts w:ascii="宋体"/>
                <w:szCs w:val="21"/>
              </w:rPr>
            </w:pPr>
          </w:p>
        </w:tc>
        <w:tc>
          <w:tcPr>
            <w:tcW w:w="2309" w:type="dxa"/>
            <w:gridSpan w:val="3"/>
            <w:vAlign w:val="center"/>
          </w:tcPr>
          <w:p>
            <w:pPr>
              <w:spacing w:line="30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9265" w:type="dxa"/>
            <w:gridSpan w:val="14"/>
            <w:vAlign w:val="center"/>
          </w:tcPr>
          <w:p>
            <w:pPr>
              <w:spacing w:line="300" w:lineRule="exact"/>
              <w:rPr>
                <w:rFonts w:ascii="宋体"/>
                <w:szCs w:val="21"/>
              </w:rPr>
            </w:pPr>
            <w:r>
              <w:rPr>
                <w:rFonts w:hint="eastAsia" w:ascii="宋体" w:hAnsi="宋体" w:cs="宋体"/>
                <w:b/>
                <w:bCs/>
                <w:szCs w:val="21"/>
              </w:rPr>
              <w:t>二、</w:t>
            </w:r>
            <w:r>
              <w:rPr>
                <w:rFonts w:hint="eastAsia" w:ascii="宋体" w:hAnsi="宋体" w:cs="宋体"/>
                <w:b/>
                <w:bCs/>
                <w:color w:val="000000"/>
                <w:szCs w:val="21"/>
              </w:rPr>
              <w:t>绩效评价指标评分（参考）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一级指标</w:t>
            </w:r>
          </w:p>
        </w:tc>
        <w:tc>
          <w:tcPr>
            <w:tcW w:w="916" w:type="dxa"/>
            <w:gridSpan w:val="2"/>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分值</w:t>
            </w:r>
          </w:p>
        </w:tc>
        <w:tc>
          <w:tcPr>
            <w:tcW w:w="1272"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二级指标</w:t>
            </w:r>
          </w:p>
        </w:tc>
        <w:tc>
          <w:tcPr>
            <w:tcW w:w="759"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分值</w:t>
            </w:r>
          </w:p>
        </w:tc>
        <w:tc>
          <w:tcPr>
            <w:tcW w:w="2766" w:type="dxa"/>
            <w:gridSpan w:val="5"/>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三级指标</w:t>
            </w: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分值</w:t>
            </w:r>
          </w:p>
        </w:tc>
        <w:tc>
          <w:tcPr>
            <w:tcW w:w="1006"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决策</w:t>
            </w:r>
          </w:p>
        </w:tc>
        <w:tc>
          <w:tcPr>
            <w:tcW w:w="916" w:type="dxa"/>
            <w:gridSpan w:val="2"/>
            <w:vMerge w:val="restart"/>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ascii="宋体" w:hAnsi="宋体" w:cs="宋体"/>
                <w:color w:val="000000"/>
                <w:szCs w:val="21"/>
              </w:rPr>
              <w:t>40</w:t>
            </w:r>
          </w:p>
        </w:tc>
        <w:tc>
          <w:tcPr>
            <w:tcW w:w="1272" w:type="dxa"/>
            <w:gridSpan w:val="3"/>
            <w:vMerge w:val="restart"/>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项目立项</w:t>
            </w:r>
          </w:p>
        </w:tc>
        <w:tc>
          <w:tcPr>
            <w:tcW w:w="759" w:type="dxa"/>
            <w:vMerge w:val="restart"/>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c>
          <w:tcPr>
            <w:tcW w:w="2766" w:type="dxa"/>
            <w:gridSpan w:val="5"/>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立项依据充分性</w:t>
            </w: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c>
          <w:tcPr>
            <w:tcW w:w="1006"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916" w:type="dxa"/>
            <w:gridSpan w:val="2"/>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272" w:type="dxa"/>
            <w:gridSpan w:val="3"/>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59" w:type="dxa"/>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2766" w:type="dxa"/>
            <w:gridSpan w:val="5"/>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立项程序规范性</w:t>
            </w: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c>
          <w:tcPr>
            <w:tcW w:w="1006"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916" w:type="dxa"/>
            <w:gridSpan w:val="2"/>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272" w:type="dxa"/>
            <w:gridSpan w:val="3"/>
            <w:vMerge w:val="restart"/>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绩效目标</w:t>
            </w:r>
          </w:p>
        </w:tc>
        <w:tc>
          <w:tcPr>
            <w:tcW w:w="759" w:type="dxa"/>
            <w:vMerge w:val="restart"/>
            <w:tcBorders>
              <w:left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c>
          <w:tcPr>
            <w:tcW w:w="2766" w:type="dxa"/>
            <w:gridSpan w:val="5"/>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绩效目标合理性</w:t>
            </w: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c>
          <w:tcPr>
            <w:tcW w:w="1006"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916" w:type="dxa"/>
            <w:gridSpan w:val="2"/>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272" w:type="dxa"/>
            <w:gridSpan w:val="3"/>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59" w:type="dxa"/>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2766" w:type="dxa"/>
            <w:gridSpan w:val="5"/>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绩效指标明确性</w:t>
            </w: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c>
          <w:tcPr>
            <w:tcW w:w="1006"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1272" w:type="dxa"/>
            <w:gridSpan w:val="3"/>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资金投入</w:t>
            </w:r>
          </w:p>
        </w:tc>
        <w:tc>
          <w:tcPr>
            <w:tcW w:w="75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8</w:t>
            </w:r>
          </w:p>
        </w:tc>
        <w:tc>
          <w:tcPr>
            <w:tcW w:w="2766" w:type="dxa"/>
            <w:gridSpan w:val="5"/>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预算编制科学性</w:t>
            </w: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4</w:t>
            </w:r>
          </w:p>
        </w:tc>
        <w:tc>
          <w:tcPr>
            <w:tcW w:w="1006"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1272" w:type="dxa"/>
            <w:gridSpan w:val="3"/>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5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2766" w:type="dxa"/>
            <w:gridSpan w:val="5"/>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资金分配合理性</w:t>
            </w: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4</w:t>
            </w:r>
          </w:p>
        </w:tc>
        <w:tc>
          <w:tcPr>
            <w:tcW w:w="1006"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过程</w:t>
            </w:r>
          </w:p>
        </w:tc>
        <w:tc>
          <w:tcPr>
            <w:tcW w:w="916" w:type="dxa"/>
            <w:gridSpan w:val="2"/>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272" w:type="dxa"/>
            <w:gridSpan w:val="3"/>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szCs w:val="21"/>
              </w:rPr>
            </w:pPr>
            <w:r>
              <w:rPr>
                <w:rFonts w:hint="eastAsia" w:ascii="宋体" w:hAnsi="宋体" w:cs="宋体"/>
                <w:color w:val="000000"/>
                <w:szCs w:val="21"/>
              </w:rPr>
              <w:t>资金管理</w:t>
            </w:r>
          </w:p>
        </w:tc>
        <w:tc>
          <w:tcPr>
            <w:tcW w:w="75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8</w:t>
            </w:r>
          </w:p>
        </w:tc>
        <w:tc>
          <w:tcPr>
            <w:tcW w:w="2766" w:type="dxa"/>
            <w:gridSpan w:val="5"/>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资金到位率</w:t>
            </w: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4</w:t>
            </w:r>
          </w:p>
        </w:tc>
        <w:tc>
          <w:tcPr>
            <w:tcW w:w="1006"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1272"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color w:val="000000"/>
                <w:szCs w:val="21"/>
              </w:rPr>
            </w:pPr>
          </w:p>
        </w:tc>
        <w:tc>
          <w:tcPr>
            <w:tcW w:w="759" w:type="dxa"/>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2766" w:type="dxa"/>
            <w:gridSpan w:val="5"/>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预算执行率</w:t>
            </w: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4</w:t>
            </w:r>
          </w:p>
        </w:tc>
        <w:tc>
          <w:tcPr>
            <w:tcW w:w="1006"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1272"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szCs w:val="21"/>
              </w:rPr>
            </w:pPr>
            <w:r>
              <w:rPr>
                <w:rFonts w:hint="eastAsia" w:ascii="宋体" w:hAnsi="宋体" w:cs="宋体"/>
                <w:color w:val="000000"/>
                <w:szCs w:val="21"/>
              </w:rPr>
              <w:t>资金管理</w:t>
            </w:r>
          </w:p>
        </w:tc>
        <w:tc>
          <w:tcPr>
            <w:tcW w:w="759"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4</w:t>
            </w:r>
          </w:p>
        </w:tc>
        <w:tc>
          <w:tcPr>
            <w:tcW w:w="2766" w:type="dxa"/>
            <w:gridSpan w:val="5"/>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资金使用合规性</w:t>
            </w: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4</w:t>
            </w:r>
          </w:p>
        </w:tc>
        <w:tc>
          <w:tcPr>
            <w:tcW w:w="1006"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1272" w:type="dxa"/>
            <w:gridSpan w:val="3"/>
            <w:vMerge w:val="restart"/>
            <w:tcBorders>
              <w:top w:val="single" w:color="000000" w:sz="4" w:space="0"/>
              <w:left w:val="single" w:color="000000" w:sz="4" w:space="0"/>
              <w:right w:val="single" w:color="000000" w:sz="4" w:space="0"/>
            </w:tcBorders>
            <w:vAlign w:val="center"/>
          </w:tcPr>
          <w:p>
            <w:pPr>
              <w:spacing w:line="240" w:lineRule="atLeast"/>
              <w:jc w:val="center"/>
              <w:rPr>
                <w:rFonts w:ascii="宋体"/>
                <w:color w:val="000000"/>
                <w:szCs w:val="21"/>
              </w:rPr>
            </w:pPr>
            <w:r>
              <w:rPr>
                <w:rFonts w:hint="eastAsia" w:ascii="宋体" w:hAnsi="宋体" w:cs="宋体"/>
                <w:color w:val="000000"/>
                <w:szCs w:val="21"/>
              </w:rPr>
              <w:t>组织实施　</w:t>
            </w:r>
          </w:p>
        </w:tc>
        <w:tc>
          <w:tcPr>
            <w:tcW w:w="759" w:type="dxa"/>
            <w:vMerge w:val="restart"/>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hint="eastAsia" w:ascii="宋体" w:eastAsia="宋体"/>
                <w:szCs w:val="21"/>
                <w:lang w:val="en-US" w:eastAsia="zh-CN"/>
              </w:rPr>
            </w:pPr>
            <w:r>
              <w:rPr>
                <w:rFonts w:hint="eastAsia" w:ascii="宋体"/>
                <w:szCs w:val="21"/>
                <w:lang w:val="en-US" w:eastAsia="zh-CN"/>
              </w:rPr>
              <w:t>8</w:t>
            </w:r>
          </w:p>
        </w:tc>
        <w:tc>
          <w:tcPr>
            <w:tcW w:w="2766" w:type="dxa"/>
            <w:gridSpan w:val="5"/>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管理制度健全性</w:t>
            </w: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4</w:t>
            </w:r>
          </w:p>
        </w:tc>
        <w:tc>
          <w:tcPr>
            <w:tcW w:w="1006"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272" w:type="dxa"/>
            <w:gridSpan w:val="3"/>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59" w:type="dxa"/>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2766" w:type="dxa"/>
            <w:gridSpan w:val="5"/>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制度执行有效性</w:t>
            </w: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4</w:t>
            </w:r>
          </w:p>
        </w:tc>
        <w:tc>
          <w:tcPr>
            <w:tcW w:w="1006"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r>
    </w:tbl>
    <w:p/>
    <w:tbl>
      <w:tblPr>
        <w:tblStyle w:val="5"/>
        <w:tblpPr w:leftFromText="180" w:rightFromText="180" w:vertAnchor="text" w:horzAnchor="page" w:tblpXSpec="center" w:tblpY="1"/>
        <w:tblOverlap w:val="never"/>
        <w:tblW w:w="926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44"/>
        <w:gridCol w:w="17"/>
        <w:gridCol w:w="916"/>
        <w:gridCol w:w="1272"/>
        <w:gridCol w:w="759"/>
        <w:gridCol w:w="2781"/>
        <w:gridCol w:w="1170"/>
        <w:gridCol w:w="10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 w:hRule="atLeast"/>
          <w:jc w:val="center"/>
        </w:trPr>
        <w:tc>
          <w:tcPr>
            <w:tcW w:w="1361" w:type="dxa"/>
            <w:gridSpan w:val="2"/>
            <w:vMerge w:val="restart"/>
            <w:tcBorders>
              <w:tl2br w:val="nil"/>
              <w:tr2bl w:val="nil"/>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产出</w:t>
            </w:r>
          </w:p>
        </w:tc>
        <w:tc>
          <w:tcPr>
            <w:tcW w:w="916" w:type="dxa"/>
            <w:vMerge w:val="restart"/>
            <w:tcBorders>
              <w:tl2br w:val="nil"/>
              <w:tr2bl w:val="nil"/>
            </w:tcBorders>
            <w:vAlign w:val="center"/>
          </w:tcPr>
          <w:p>
            <w:pPr>
              <w:autoSpaceDN w:val="0"/>
              <w:spacing w:line="300" w:lineRule="exact"/>
              <w:jc w:val="center"/>
              <w:textAlignment w:val="center"/>
              <w:rPr>
                <w:rFonts w:ascii="宋体"/>
                <w:color w:val="000000"/>
                <w:szCs w:val="21"/>
              </w:rPr>
            </w:pPr>
            <w:r>
              <w:rPr>
                <w:rFonts w:ascii="宋体" w:hAnsi="宋体" w:cs="宋体"/>
                <w:color w:val="000000"/>
                <w:szCs w:val="21"/>
              </w:rPr>
              <w:t>60</w:t>
            </w:r>
          </w:p>
        </w:tc>
        <w:tc>
          <w:tcPr>
            <w:tcW w:w="1272" w:type="dxa"/>
            <w:tcBorders>
              <w:tl2br w:val="nil"/>
              <w:tr2bl w:val="nil"/>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产出数量</w:t>
            </w:r>
          </w:p>
        </w:tc>
        <w:tc>
          <w:tcPr>
            <w:tcW w:w="759"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8</w:t>
            </w:r>
          </w:p>
        </w:tc>
        <w:tc>
          <w:tcPr>
            <w:tcW w:w="2781" w:type="dxa"/>
            <w:tcBorders>
              <w:tl2br w:val="nil"/>
              <w:tr2bl w:val="nil"/>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kern w:val="0"/>
                <w:szCs w:val="21"/>
                <w:lang w:val="en-US" w:eastAsia="zh-CN"/>
              </w:rPr>
              <w:t>安全系统建立1套</w:t>
            </w:r>
          </w:p>
        </w:tc>
        <w:tc>
          <w:tcPr>
            <w:tcW w:w="1170"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8</w:t>
            </w:r>
          </w:p>
        </w:tc>
        <w:tc>
          <w:tcPr>
            <w:tcW w:w="1006"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5" w:hRule="atLeast"/>
          <w:jc w:val="center"/>
        </w:trPr>
        <w:tc>
          <w:tcPr>
            <w:tcW w:w="1361" w:type="dxa"/>
            <w:gridSpan w:val="2"/>
            <w:vMerge w:val="continue"/>
            <w:tcBorders>
              <w:tl2br w:val="nil"/>
              <w:tr2bl w:val="nil"/>
            </w:tcBorders>
            <w:vAlign w:val="center"/>
          </w:tcPr>
          <w:p>
            <w:pPr>
              <w:spacing w:line="300" w:lineRule="exact"/>
              <w:jc w:val="center"/>
              <w:rPr>
                <w:rFonts w:ascii="宋体"/>
                <w:szCs w:val="21"/>
              </w:rPr>
            </w:pPr>
          </w:p>
        </w:tc>
        <w:tc>
          <w:tcPr>
            <w:tcW w:w="916" w:type="dxa"/>
            <w:vMerge w:val="continue"/>
            <w:tcBorders>
              <w:tl2br w:val="nil"/>
              <w:tr2bl w:val="nil"/>
            </w:tcBorders>
            <w:vAlign w:val="center"/>
          </w:tcPr>
          <w:p>
            <w:pPr>
              <w:spacing w:line="300" w:lineRule="exact"/>
              <w:jc w:val="center"/>
              <w:rPr>
                <w:rFonts w:ascii="宋体"/>
                <w:szCs w:val="21"/>
              </w:rPr>
            </w:pPr>
          </w:p>
        </w:tc>
        <w:tc>
          <w:tcPr>
            <w:tcW w:w="1272" w:type="dxa"/>
            <w:tcBorders>
              <w:tl2br w:val="nil"/>
              <w:tr2bl w:val="nil"/>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产出质量</w:t>
            </w:r>
          </w:p>
        </w:tc>
        <w:tc>
          <w:tcPr>
            <w:tcW w:w="759" w:type="dxa"/>
            <w:tcBorders>
              <w:tl2br w:val="nil"/>
              <w:tr2bl w:val="nil"/>
            </w:tcBorders>
            <w:vAlign w:val="center"/>
          </w:tcPr>
          <w:p>
            <w:pPr>
              <w:spacing w:line="300" w:lineRule="exact"/>
              <w:jc w:val="center"/>
              <w:rPr>
                <w:rFonts w:hint="eastAsia" w:ascii="宋体" w:eastAsia="宋体"/>
                <w:szCs w:val="21"/>
                <w:lang w:val="en-US" w:eastAsia="zh-CN"/>
              </w:rPr>
            </w:pPr>
            <w:r>
              <w:rPr>
                <w:rFonts w:hint="eastAsia" w:ascii="宋体"/>
                <w:szCs w:val="21"/>
                <w:lang w:val="en-US" w:eastAsia="zh-CN"/>
              </w:rPr>
              <w:t>7</w:t>
            </w:r>
          </w:p>
        </w:tc>
        <w:tc>
          <w:tcPr>
            <w:tcW w:w="2781" w:type="dxa"/>
            <w:tcBorders>
              <w:tl2br w:val="nil"/>
              <w:tr2bl w:val="nil"/>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kern w:val="0"/>
                <w:szCs w:val="21"/>
                <w:lang w:val="en-US" w:eastAsia="zh-CN"/>
              </w:rPr>
              <w:t>达到公安关于信息系统安全登记保护相关要求</w:t>
            </w:r>
          </w:p>
        </w:tc>
        <w:tc>
          <w:tcPr>
            <w:tcW w:w="1170"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7</w:t>
            </w:r>
          </w:p>
        </w:tc>
        <w:tc>
          <w:tcPr>
            <w:tcW w:w="1006"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 w:hRule="atLeast"/>
          <w:jc w:val="center"/>
        </w:trPr>
        <w:tc>
          <w:tcPr>
            <w:tcW w:w="1361" w:type="dxa"/>
            <w:gridSpan w:val="2"/>
            <w:vMerge w:val="continue"/>
            <w:tcBorders>
              <w:tl2br w:val="nil"/>
              <w:tr2bl w:val="nil"/>
            </w:tcBorders>
            <w:vAlign w:val="center"/>
          </w:tcPr>
          <w:p>
            <w:pPr>
              <w:spacing w:line="300" w:lineRule="exact"/>
              <w:jc w:val="center"/>
              <w:rPr>
                <w:rFonts w:ascii="宋体"/>
                <w:szCs w:val="21"/>
              </w:rPr>
            </w:pPr>
          </w:p>
        </w:tc>
        <w:tc>
          <w:tcPr>
            <w:tcW w:w="916" w:type="dxa"/>
            <w:vMerge w:val="continue"/>
            <w:tcBorders>
              <w:tl2br w:val="nil"/>
              <w:tr2bl w:val="nil"/>
            </w:tcBorders>
            <w:vAlign w:val="center"/>
          </w:tcPr>
          <w:p>
            <w:pPr>
              <w:spacing w:line="300" w:lineRule="exact"/>
              <w:jc w:val="center"/>
              <w:rPr>
                <w:rFonts w:ascii="宋体"/>
                <w:szCs w:val="21"/>
              </w:rPr>
            </w:pPr>
          </w:p>
        </w:tc>
        <w:tc>
          <w:tcPr>
            <w:tcW w:w="1272" w:type="dxa"/>
            <w:tcBorders>
              <w:tl2br w:val="nil"/>
              <w:tr2bl w:val="nil"/>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产出时效</w:t>
            </w:r>
          </w:p>
        </w:tc>
        <w:tc>
          <w:tcPr>
            <w:tcW w:w="759" w:type="dxa"/>
            <w:tcBorders>
              <w:tl2br w:val="nil"/>
              <w:tr2bl w:val="nil"/>
            </w:tcBorders>
            <w:vAlign w:val="center"/>
          </w:tcPr>
          <w:p>
            <w:pPr>
              <w:spacing w:line="300" w:lineRule="exact"/>
              <w:jc w:val="center"/>
              <w:rPr>
                <w:rFonts w:hint="eastAsia" w:ascii="宋体" w:eastAsia="宋体"/>
                <w:szCs w:val="21"/>
                <w:lang w:val="en-US" w:eastAsia="zh-CN"/>
              </w:rPr>
            </w:pPr>
            <w:r>
              <w:rPr>
                <w:rFonts w:hint="eastAsia" w:ascii="宋体"/>
                <w:szCs w:val="21"/>
                <w:lang w:val="en-US" w:eastAsia="zh-CN"/>
              </w:rPr>
              <w:t>7</w:t>
            </w:r>
          </w:p>
        </w:tc>
        <w:tc>
          <w:tcPr>
            <w:tcW w:w="2781" w:type="dxa"/>
            <w:tcBorders>
              <w:tl2br w:val="nil"/>
              <w:tr2bl w:val="nil"/>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kern w:val="0"/>
                <w:szCs w:val="21"/>
                <w:lang w:val="en-US" w:eastAsia="zh-CN"/>
              </w:rPr>
              <w:t>系统上线及时率≧95%</w:t>
            </w:r>
          </w:p>
        </w:tc>
        <w:tc>
          <w:tcPr>
            <w:tcW w:w="1170"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7</w:t>
            </w:r>
          </w:p>
        </w:tc>
        <w:tc>
          <w:tcPr>
            <w:tcW w:w="1006"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361" w:type="dxa"/>
            <w:gridSpan w:val="2"/>
            <w:vMerge w:val="continue"/>
            <w:tcBorders>
              <w:tl2br w:val="nil"/>
              <w:tr2bl w:val="nil"/>
            </w:tcBorders>
            <w:vAlign w:val="center"/>
          </w:tcPr>
          <w:p>
            <w:pPr>
              <w:spacing w:line="300" w:lineRule="exact"/>
              <w:jc w:val="center"/>
              <w:rPr>
                <w:rFonts w:ascii="宋体"/>
                <w:szCs w:val="21"/>
              </w:rPr>
            </w:pPr>
          </w:p>
        </w:tc>
        <w:tc>
          <w:tcPr>
            <w:tcW w:w="916" w:type="dxa"/>
            <w:vMerge w:val="continue"/>
            <w:tcBorders>
              <w:tl2br w:val="nil"/>
              <w:tr2bl w:val="nil"/>
            </w:tcBorders>
            <w:vAlign w:val="center"/>
          </w:tcPr>
          <w:p>
            <w:pPr>
              <w:spacing w:line="300" w:lineRule="exact"/>
              <w:jc w:val="center"/>
              <w:rPr>
                <w:rFonts w:ascii="宋体"/>
                <w:szCs w:val="21"/>
              </w:rPr>
            </w:pPr>
          </w:p>
        </w:tc>
        <w:tc>
          <w:tcPr>
            <w:tcW w:w="1272" w:type="dxa"/>
            <w:vMerge w:val="restart"/>
            <w:tcBorders>
              <w:tl2br w:val="nil"/>
              <w:tr2bl w:val="nil"/>
            </w:tcBorders>
            <w:vAlign w:val="center"/>
          </w:tcPr>
          <w:p>
            <w:pPr>
              <w:autoSpaceDN w:val="0"/>
              <w:spacing w:line="300" w:lineRule="exact"/>
              <w:jc w:val="center"/>
              <w:textAlignment w:val="center"/>
              <w:rPr>
                <w:rFonts w:hint="eastAsia" w:ascii="宋体" w:hAnsi="宋体" w:cs="宋体"/>
                <w:color w:val="000000"/>
                <w:szCs w:val="21"/>
              </w:rPr>
            </w:pPr>
          </w:p>
          <w:p>
            <w:pPr>
              <w:autoSpaceDN w:val="0"/>
              <w:spacing w:line="300" w:lineRule="exact"/>
              <w:jc w:val="center"/>
              <w:textAlignment w:val="center"/>
              <w:rPr>
                <w:rFonts w:hint="eastAsia" w:ascii="宋体" w:hAnsi="宋体" w:cs="宋体"/>
                <w:color w:val="000000"/>
                <w:szCs w:val="21"/>
              </w:rPr>
            </w:pPr>
            <w:r>
              <w:rPr>
                <w:rFonts w:hint="eastAsia" w:ascii="宋体" w:hAnsi="宋体" w:cs="宋体"/>
                <w:color w:val="000000"/>
                <w:szCs w:val="21"/>
              </w:rPr>
              <w:t>社会效益</w:t>
            </w:r>
          </w:p>
          <w:p>
            <w:pPr>
              <w:autoSpaceDN w:val="0"/>
              <w:spacing w:line="300" w:lineRule="exact"/>
              <w:jc w:val="center"/>
              <w:textAlignment w:val="center"/>
              <w:rPr>
                <w:rFonts w:ascii="宋体"/>
                <w:szCs w:val="21"/>
              </w:rPr>
            </w:pPr>
          </w:p>
        </w:tc>
        <w:tc>
          <w:tcPr>
            <w:tcW w:w="759" w:type="dxa"/>
            <w:vMerge w:val="restart"/>
            <w:tcBorders>
              <w:tl2br w:val="nil"/>
              <w:tr2bl w:val="nil"/>
            </w:tcBorders>
            <w:vAlign w:val="center"/>
          </w:tcPr>
          <w:p>
            <w:pPr>
              <w:spacing w:line="300" w:lineRule="exact"/>
              <w:jc w:val="center"/>
              <w:rPr>
                <w:rFonts w:hint="eastAsia" w:ascii="宋体"/>
                <w:szCs w:val="21"/>
                <w:lang w:val="en-US" w:eastAsia="zh-CN"/>
              </w:rPr>
            </w:pPr>
            <w:r>
              <w:rPr>
                <w:rFonts w:hint="eastAsia" w:ascii="宋体"/>
                <w:szCs w:val="21"/>
                <w:lang w:val="en-US" w:eastAsia="zh-CN"/>
              </w:rPr>
              <w:tab/>
            </w:r>
          </w:p>
          <w:p>
            <w:pPr>
              <w:spacing w:line="300" w:lineRule="exact"/>
              <w:jc w:val="center"/>
              <w:rPr>
                <w:rFonts w:hint="eastAsia" w:ascii="宋体"/>
                <w:szCs w:val="21"/>
                <w:lang w:val="en-US" w:eastAsia="zh-CN"/>
              </w:rPr>
            </w:pPr>
            <w:r>
              <w:rPr>
                <w:rFonts w:hint="eastAsia" w:ascii="宋体"/>
                <w:szCs w:val="21"/>
                <w:lang w:val="en-US" w:eastAsia="zh-CN"/>
              </w:rPr>
              <w:t>14</w:t>
            </w:r>
          </w:p>
        </w:tc>
        <w:tc>
          <w:tcPr>
            <w:tcW w:w="2781" w:type="dxa"/>
            <w:tcBorders>
              <w:tl2br w:val="nil"/>
              <w:tr2bl w:val="nil"/>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kern w:val="0"/>
                <w:szCs w:val="21"/>
                <w:lang w:val="en-US" w:eastAsia="zh-CN"/>
              </w:rPr>
              <w:t>重要存储信息丢失率≦5%</w:t>
            </w:r>
          </w:p>
        </w:tc>
        <w:tc>
          <w:tcPr>
            <w:tcW w:w="1170"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c>
          <w:tcPr>
            <w:tcW w:w="1006"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 w:hRule="atLeast"/>
          <w:jc w:val="center"/>
        </w:trPr>
        <w:tc>
          <w:tcPr>
            <w:tcW w:w="1361" w:type="dxa"/>
            <w:gridSpan w:val="2"/>
            <w:vMerge w:val="restart"/>
            <w:tcBorders>
              <w:tl2br w:val="nil"/>
              <w:tr2bl w:val="nil"/>
            </w:tcBorders>
            <w:vAlign w:val="center"/>
          </w:tcPr>
          <w:p>
            <w:pPr>
              <w:spacing w:line="300" w:lineRule="exact"/>
              <w:jc w:val="center"/>
              <w:rPr>
                <w:rFonts w:hint="eastAsia" w:ascii="宋体" w:eastAsia="宋体"/>
                <w:szCs w:val="21"/>
                <w:lang w:eastAsia="zh-CN"/>
              </w:rPr>
            </w:pPr>
            <w:r>
              <w:rPr>
                <w:rFonts w:hint="eastAsia" w:ascii="宋体"/>
                <w:szCs w:val="21"/>
                <w:lang w:eastAsia="zh-CN"/>
              </w:rPr>
              <w:t>效益</w:t>
            </w:r>
          </w:p>
        </w:tc>
        <w:tc>
          <w:tcPr>
            <w:tcW w:w="916" w:type="dxa"/>
            <w:vMerge w:val="continue"/>
            <w:tcBorders>
              <w:tl2br w:val="nil"/>
              <w:tr2bl w:val="nil"/>
            </w:tcBorders>
            <w:vAlign w:val="center"/>
          </w:tcPr>
          <w:p>
            <w:pPr>
              <w:spacing w:line="300" w:lineRule="exact"/>
              <w:jc w:val="center"/>
              <w:rPr>
                <w:rFonts w:ascii="宋体"/>
                <w:szCs w:val="21"/>
              </w:rPr>
            </w:pPr>
          </w:p>
        </w:tc>
        <w:tc>
          <w:tcPr>
            <w:tcW w:w="1272" w:type="dxa"/>
            <w:vMerge w:val="continue"/>
            <w:tcBorders>
              <w:tl2br w:val="nil"/>
              <w:tr2bl w:val="nil"/>
            </w:tcBorders>
            <w:vAlign w:val="center"/>
          </w:tcPr>
          <w:p>
            <w:pPr>
              <w:autoSpaceDN w:val="0"/>
              <w:spacing w:line="300" w:lineRule="exact"/>
              <w:jc w:val="center"/>
              <w:textAlignment w:val="center"/>
              <w:rPr>
                <w:rFonts w:ascii="宋体"/>
                <w:szCs w:val="21"/>
              </w:rPr>
            </w:pPr>
          </w:p>
        </w:tc>
        <w:tc>
          <w:tcPr>
            <w:tcW w:w="759" w:type="dxa"/>
            <w:vMerge w:val="continue"/>
            <w:tcBorders>
              <w:tl2br w:val="nil"/>
              <w:tr2bl w:val="nil"/>
            </w:tcBorders>
            <w:vAlign w:val="center"/>
          </w:tcPr>
          <w:p>
            <w:pPr>
              <w:spacing w:line="300" w:lineRule="exact"/>
              <w:jc w:val="center"/>
              <w:rPr>
                <w:rFonts w:hint="eastAsia" w:ascii="宋体" w:eastAsia="宋体"/>
                <w:szCs w:val="21"/>
                <w:lang w:val="en-US" w:eastAsia="zh-CN"/>
              </w:rPr>
            </w:pPr>
          </w:p>
        </w:tc>
        <w:tc>
          <w:tcPr>
            <w:tcW w:w="2781" w:type="dxa"/>
            <w:tcBorders>
              <w:tl2br w:val="nil"/>
              <w:tr2bl w:val="nil"/>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kern w:val="0"/>
                <w:szCs w:val="21"/>
                <w:lang w:val="en-US" w:eastAsia="zh-CN"/>
              </w:rPr>
              <w:t>系统安全登记达标率≧95%</w:t>
            </w:r>
            <w:r>
              <w:rPr>
                <w:rFonts w:hint="eastAsia" w:ascii="宋体" w:hAnsi="宋体" w:cs="宋体"/>
                <w:color w:val="000000"/>
                <w:kern w:val="0"/>
                <w:szCs w:val="21"/>
                <w:lang w:val="en-US" w:eastAsia="zh-CN"/>
              </w:rPr>
              <w:tab/>
            </w:r>
          </w:p>
        </w:tc>
        <w:tc>
          <w:tcPr>
            <w:tcW w:w="1170"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8</w:t>
            </w:r>
          </w:p>
        </w:tc>
        <w:tc>
          <w:tcPr>
            <w:tcW w:w="1006"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 w:hRule="atLeast"/>
          <w:jc w:val="center"/>
        </w:trPr>
        <w:tc>
          <w:tcPr>
            <w:tcW w:w="1361" w:type="dxa"/>
            <w:gridSpan w:val="2"/>
            <w:vMerge w:val="continue"/>
            <w:tcBorders>
              <w:tl2br w:val="nil"/>
              <w:tr2bl w:val="nil"/>
            </w:tcBorders>
            <w:vAlign w:val="center"/>
          </w:tcPr>
          <w:p>
            <w:pPr>
              <w:spacing w:line="300" w:lineRule="exact"/>
              <w:jc w:val="center"/>
              <w:rPr>
                <w:rFonts w:ascii="宋体"/>
                <w:szCs w:val="21"/>
              </w:rPr>
            </w:pPr>
          </w:p>
        </w:tc>
        <w:tc>
          <w:tcPr>
            <w:tcW w:w="916" w:type="dxa"/>
            <w:vMerge w:val="continue"/>
            <w:tcBorders>
              <w:tl2br w:val="nil"/>
              <w:tr2bl w:val="nil"/>
            </w:tcBorders>
            <w:vAlign w:val="center"/>
          </w:tcPr>
          <w:p>
            <w:pPr>
              <w:spacing w:line="300" w:lineRule="exact"/>
              <w:jc w:val="center"/>
              <w:rPr>
                <w:rFonts w:ascii="宋体"/>
                <w:szCs w:val="21"/>
              </w:rPr>
            </w:pPr>
          </w:p>
        </w:tc>
        <w:tc>
          <w:tcPr>
            <w:tcW w:w="1272" w:type="dxa"/>
            <w:vMerge w:val="restart"/>
            <w:tcBorders>
              <w:tl2br w:val="nil"/>
              <w:tr2bl w:val="nil"/>
            </w:tcBorders>
            <w:vAlign w:val="center"/>
          </w:tcPr>
          <w:p>
            <w:pPr>
              <w:autoSpaceDN w:val="0"/>
              <w:spacing w:line="300" w:lineRule="exact"/>
              <w:jc w:val="center"/>
              <w:textAlignment w:val="center"/>
              <w:rPr>
                <w:rFonts w:ascii="宋体"/>
                <w:szCs w:val="21"/>
              </w:rPr>
            </w:pPr>
            <w:r>
              <w:rPr>
                <w:rFonts w:hint="eastAsia" w:ascii="宋体" w:hAnsi="宋体" w:cs="宋体"/>
                <w:color w:val="000000"/>
                <w:szCs w:val="21"/>
              </w:rPr>
              <w:t>可持续影响</w:t>
            </w:r>
          </w:p>
        </w:tc>
        <w:tc>
          <w:tcPr>
            <w:tcW w:w="759" w:type="dxa"/>
            <w:vMerge w:val="restart"/>
            <w:tcBorders>
              <w:tl2br w:val="nil"/>
              <w:tr2bl w:val="nil"/>
            </w:tcBorders>
            <w:vAlign w:val="center"/>
          </w:tcPr>
          <w:p>
            <w:pPr>
              <w:spacing w:line="280" w:lineRule="exact"/>
              <w:jc w:val="center"/>
              <w:rPr>
                <w:rFonts w:hint="eastAsia" w:ascii="宋体" w:eastAsia="宋体"/>
                <w:szCs w:val="21"/>
                <w:lang w:val="en-US" w:eastAsia="zh-CN"/>
              </w:rPr>
            </w:pPr>
          </w:p>
          <w:p>
            <w:pPr>
              <w:spacing w:line="280" w:lineRule="exact"/>
              <w:jc w:val="center"/>
              <w:rPr>
                <w:rFonts w:hint="eastAsia" w:ascii="宋体" w:eastAsia="宋体"/>
                <w:szCs w:val="21"/>
                <w:lang w:val="en-US" w:eastAsia="zh-CN"/>
              </w:rPr>
            </w:pPr>
            <w:r>
              <w:rPr>
                <w:rFonts w:hint="eastAsia" w:ascii="宋体"/>
                <w:szCs w:val="21"/>
                <w:lang w:val="en-US" w:eastAsia="zh-CN"/>
              </w:rPr>
              <w:t>14</w:t>
            </w:r>
          </w:p>
        </w:tc>
        <w:tc>
          <w:tcPr>
            <w:tcW w:w="2781" w:type="dxa"/>
            <w:tcBorders>
              <w:tl2br w:val="nil"/>
              <w:tr2bl w:val="nil"/>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kern w:val="0"/>
                <w:szCs w:val="21"/>
                <w:lang w:val="en-US" w:eastAsia="zh-CN"/>
              </w:rPr>
              <w:t>保障本单位网络安全</w:t>
            </w:r>
          </w:p>
        </w:tc>
        <w:tc>
          <w:tcPr>
            <w:tcW w:w="1170"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7</w:t>
            </w:r>
          </w:p>
        </w:tc>
        <w:tc>
          <w:tcPr>
            <w:tcW w:w="1006"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jc w:val="center"/>
        </w:trPr>
        <w:tc>
          <w:tcPr>
            <w:tcW w:w="1361" w:type="dxa"/>
            <w:gridSpan w:val="2"/>
            <w:vMerge w:val="continue"/>
            <w:tcBorders>
              <w:tl2br w:val="nil"/>
              <w:tr2bl w:val="nil"/>
            </w:tcBorders>
            <w:vAlign w:val="center"/>
          </w:tcPr>
          <w:p>
            <w:pPr>
              <w:spacing w:line="300" w:lineRule="exact"/>
              <w:jc w:val="center"/>
              <w:rPr>
                <w:rFonts w:ascii="宋体"/>
                <w:szCs w:val="21"/>
              </w:rPr>
            </w:pPr>
          </w:p>
        </w:tc>
        <w:tc>
          <w:tcPr>
            <w:tcW w:w="916" w:type="dxa"/>
            <w:vMerge w:val="continue"/>
            <w:tcBorders>
              <w:tl2br w:val="nil"/>
              <w:tr2bl w:val="nil"/>
            </w:tcBorders>
            <w:vAlign w:val="center"/>
          </w:tcPr>
          <w:p>
            <w:pPr>
              <w:spacing w:line="300" w:lineRule="exact"/>
              <w:jc w:val="center"/>
              <w:rPr>
                <w:rFonts w:ascii="宋体"/>
                <w:szCs w:val="21"/>
              </w:rPr>
            </w:pPr>
          </w:p>
        </w:tc>
        <w:tc>
          <w:tcPr>
            <w:tcW w:w="1272" w:type="dxa"/>
            <w:vMerge w:val="continue"/>
            <w:tcBorders>
              <w:tl2br w:val="nil"/>
              <w:tr2bl w:val="nil"/>
            </w:tcBorders>
            <w:vAlign w:val="center"/>
          </w:tcPr>
          <w:p>
            <w:pPr>
              <w:autoSpaceDN w:val="0"/>
              <w:spacing w:line="280" w:lineRule="exact"/>
              <w:jc w:val="center"/>
              <w:textAlignment w:val="center"/>
              <w:rPr>
                <w:rFonts w:hint="eastAsia" w:ascii="宋体" w:hAnsi="宋体" w:cs="宋体"/>
                <w:color w:val="000000"/>
                <w:szCs w:val="21"/>
              </w:rPr>
            </w:pPr>
          </w:p>
        </w:tc>
        <w:tc>
          <w:tcPr>
            <w:tcW w:w="759" w:type="dxa"/>
            <w:vMerge w:val="continue"/>
            <w:tcBorders>
              <w:tl2br w:val="nil"/>
              <w:tr2bl w:val="nil"/>
            </w:tcBorders>
            <w:vAlign w:val="center"/>
          </w:tcPr>
          <w:p>
            <w:pPr>
              <w:spacing w:line="280" w:lineRule="exact"/>
              <w:jc w:val="center"/>
              <w:rPr>
                <w:rFonts w:hint="eastAsia" w:ascii="宋体" w:eastAsia="宋体"/>
                <w:szCs w:val="21"/>
                <w:lang w:val="en-US" w:eastAsia="zh-CN"/>
              </w:rPr>
            </w:pPr>
          </w:p>
        </w:tc>
        <w:tc>
          <w:tcPr>
            <w:tcW w:w="2781" w:type="dxa"/>
            <w:tcBorders>
              <w:tl2br w:val="nil"/>
              <w:tr2bl w:val="nil"/>
            </w:tcBorders>
            <w:vAlign w:val="center"/>
          </w:tcPr>
          <w:p>
            <w:pPr>
              <w:autoSpaceDN w:val="0"/>
              <w:spacing w:line="280" w:lineRule="exact"/>
              <w:jc w:val="center"/>
              <w:textAlignment w:val="center"/>
              <w:rPr>
                <w:rFonts w:hint="eastAsia" w:ascii="宋体" w:hAnsi="宋体" w:cs="宋体"/>
                <w:color w:val="000000"/>
                <w:szCs w:val="21"/>
              </w:rPr>
            </w:pPr>
            <w:r>
              <w:rPr>
                <w:rFonts w:hint="eastAsia" w:ascii="宋体" w:hAnsi="宋体" w:cs="宋体"/>
                <w:color w:val="000000"/>
                <w:kern w:val="0"/>
                <w:szCs w:val="21"/>
                <w:lang w:val="en-US" w:eastAsia="zh-CN"/>
              </w:rPr>
              <w:t>系统正常使用年限≧6年</w:t>
            </w:r>
          </w:p>
        </w:tc>
        <w:tc>
          <w:tcPr>
            <w:tcW w:w="1170"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7</w:t>
            </w:r>
          </w:p>
        </w:tc>
        <w:tc>
          <w:tcPr>
            <w:tcW w:w="1006"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jc w:val="center"/>
        </w:trPr>
        <w:tc>
          <w:tcPr>
            <w:tcW w:w="1361" w:type="dxa"/>
            <w:gridSpan w:val="2"/>
            <w:vMerge w:val="continue"/>
            <w:tcBorders>
              <w:tl2br w:val="nil"/>
              <w:tr2bl w:val="nil"/>
            </w:tcBorders>
            <w:vAlign w:val="center"/>
          </w:tcPr>
          <w:p>
            <w:pPr>
              <w:spacing w:line="300" w:lineRule="exact"/>
              <w:jc w:val="center"/>
              <w:rPr>
                <w:rFonts w:ascii="宋体"/>
                <w:szCs w:val="21"/>
              </w:rPr>
            </w:pPr>
          </w:p>
        </w:tc>
        <w:tc>
          <w:tcPr>
            <w:tcW w:w="916" w:type="dxa"/>
            <w:vMerge w:val="continue"/>
            <w:tcBorders>
              <w:tl2br w:val="nil"/>
              <w:tr2bl w:val="nil"/>
            </w:tcBorders>
            <w:vAlign w:val="center"/>
          </w:tcPr>
          <w:p>
            <w:pPr>
              <w:spacing w:line="300" w:lineRule="exact"/>
              <w:jc w:val="center"/>
              <w:rPr>
                <w:rFonts w:ascii="宋体"/>
                <w:szCs w:val="21"/>
              </w:rPr>
            </w:pPr>
          </w:p>
        </w:tc>
        <w:tc>
          <w:tcPr>
            <w:tcW w:w="1272" w:type="dxa"/>
            <w:tcBorders>
              <w:tl2br w:val="nil"/>
              <w:tr2bl w:val="nil"/>
            </w:tcBorders>
            <w:vAlign w:val="center"/>
          </w:tcPr>
          <w:p>
            <w:pPr>
              <w:autoSpaceDN w:val="0"/>
              <w:spacing w:line="280" w:lineRule="exact"/>
              <w:jc w:val="center"/>
              <w:textAlignment w:val="center"/>
              <w:rPr>
                <w:rFonts w:ascii="宋体"/>
                <w:szCs w:val="21"/>
              </w:rPr>
            </w:pPr>
            <w:r>
              <w:rPr>
                <w:rFonts w:hint="eastAsia" w:ascii="宋体" w:hAnsi="宋体" w:cs="宋体"/>
                <w:color w:val="000000"/>
                <w:szCs w:val="21"/>
              </w:rPr>
              <w:t>满意度</w:t>
            </w:r>
          </w:p>
        </w:tc>
        <w:tc>
          <w:tcPr>
            <w:tcW w:w="759" w:type="dxa"/>
            <w:tcBorders>
              <w:tl2br w:val="nil"/>
              <w:tr2bl w:val="nil"/>
            </w:tcBorders>
            <w:vAlign w:val="center"/>
          </w:tcPr>
          <w:p>
            <w:pPr>
              <w:spacing w:line="280" w:lineRule="exact"/>
              <w:jc w:val="center"/>
              <w:rPr>
                <w:rFonts w:hint="eastAsia" w:ascii="宋体" w:eastAsia="宋体"/>
                <w:szCs w:val="21"/>
                <w:lang w:val="en-US" w:eastAsia="zh-CN"/>
              </w:rPr>
            </w:pPr>
            <w:r>
              <w:rPr>
                <w:rFonts w:hint="eastAsia" w:ascii="宋体"/>
                <w:szCs w:val="21"/>
                <w:lang w:val="en-US" w:eastAsia="zh-CN"/>
              </w:rPr>
              <w:t>10</w:t>
            </w:r>
          </w:p>
        </w:tc>
        <w:tc>
          <w:tcPr>
            <w:tcW w:w="2781" w:type="dxa"/>
            <w:tcBorders>
              <w:tl2br w:val="nil"/>
              <w:tr2bl w:val="nil"/>
            </w:tcBorders>
            <w:vAlign w:val="center"/>
          </w:tcPr>
          <w:p>
            <w:pPr>
              <w:autoSpaceDN w:val="0"/>
              <w:spacing w:line="280" w:lineRule="exact"/>
              <w:jc w:val="center"/>
              <w:textAlignment w:val="center"/>
              <w:rPr>
                <w:rFonts w:ascii="宋体"/>
                <w:color w:val="000000"/>
                <w:szCs w:val="21"/>
              </w:rPr>
            </w:pPr>
            <w:r>
              <w:rPr>
                <w:rFonts w:hint="eastAsia" w:ascii="宋体" w:hAnsi="宋体" w:cs="宋体"/>
                <w:color w:val="000000"/>
                <w:szCs w:val="21"/>
              </w:rPr>
              <w:t>社会公众或服务对象满意度</w:t>
            </w:r>
          </w:p>
        </w:tc>
        <w:tc>
          <w:tcPr>
            <w:tcW w:w="1170"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10</w:t>
            </w:r>
          </w:p>
        </w:tc>
        <w:tc>
          <w:tcPr>
            <w:tcW w:w="1006"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 w:hRule="atLeast"/>
          <w:jc w:val="center"/>
        </w:trPr>
        <w:tc>
          <w:tcPr>
            <w:tcW w:w="1361" w:type="dxa"/>
            <w:gridSpan w:val="2"/>
            <w:tcBorders>
              <w:tl2br w:val="nil"/>
              <w:tr2bl w:val="nil"/>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总分</w:t>
            </w:r>
          </w:p>
        </w:tc>
        <w:tc>
          <w:tcPr>
            <w:tcW w:w="916" w:type="dxa"/>
            <w:tcBorders>
              <w:tl2br w:val="nil"/>
              <w:tr2bl w:val="nil"/>
            </w:tcBorders>
            <w:vAlign w:val="center"/>
          </w:tcPr>
          <w:p>
            <w:pPr>
              <w:autoSpaceDN w:val="0"/>
              <w:spacing w:line="300" w:lineRule="exact"/>
              <w:jc w:val="center"/>
              <w:textAlignment w:val="center"/>
              <w:rPr>
                <w:rFonts w:ascii="宋体"/>
                <w:color w:val="000000"/>
                <w:szCs w:val="21"/>
              </w:rPr>
            </w:pPr>
            <w:r>
              <w:rPr>
                <w:rFonts w:ascii="宋体" w:hAnsi="宋体" w:cs="宋体"/>
                <w:color w:val="000000"/>
                <w:szCs w:val="21"/>
              </w:rPr>
              <w:t>100</w:t>
            </w:r>
          </w:p>
        </w:tc>
        <w:tc>
          <w:tcPr>
            <w:tcW w:w="1272" w:type="dxa"/>
            <w:tcBorders>
              <w:tl2br w:val="nil"/>
              <w:tr2bl w:val="nil"/>
            </w:tcBorders>
            <w:vAlign w:val="center"/>
          </w:tcPr>
          <w:p>
            <w:pPr>
              <w:autoSpaceDN w:val="0"/>
              <w:spacing w:line="300" w:lineRule="exact"/>
              <w:jc w:val="center"/>
              <w:textAlignment w:val="center"/>
              <w:rPr>
                <w:rFonts w:ascii="宋体"/>
                <w:color w:val="000000"/>
                <w:szCs w:val="21"/>
              </w:rPr>
            </w:pPr>
          </w:p>
        </w:tc>
        <w:tc>
          <w:tcPr>
            <w:tcW w:w="759" w:type="dxa"/>
            <w:tcBorders>
              <w:tl2br w:val="nil"/>
              <w:tr2bl w:val="nil"/>
            </w:tcBorders>
            <w:vAlign w:val="center"/>
          </w:tcPr>
          <w:p>
            <w:pPr>
              <w:autoSpaceDN w:val="0"/>
              <w:spacing w:line="300" w:lineRule="exact"/>
              <w:jc w:val="center"/>
              <w:textAlignment w:val="center"/>
              <w:rPr>
                <w:rFonts w:ascii="宋体"/>
                <w:color w:val="000000"/>
                <w:szCs w:val="21"/>
              </w:rPr>
            </w:pPr>
            <w:r>
              <w:rPr>
                <w:rFonts w:ascii="宋体" w:hAnsi="宋体" w:cs="宋体"/>
                <w:color w:val="000000"/>
                <w:szCs w:val="21"/>
              </w:rPr>
              <w:t>100</w:t>
            </w:r>
          </w:p>
        </w:tc>
        <w:tc>
          <w:tcPr>
            <w:tcW w:w="2781" w:type="dxa"/>
            <w:tcBorders>
              <w:tl2br w:val="nil"/>
              <w:tr2bl w:val="nil"/>
            </w:tcBorders>
            <w:vAlign w:val="center"/>
          </w:tcPr>
          <w:p>
            <w:pPr>
              <w:autoSpaceDN w:val="0"/>
              <w:spacing w:line="300" w:lineRule="exact"/>
              <w:jc w:val="center"/>
              <w:textAlignment w:val="center"/>
              <w:rPr>
                <w:rFonts w:ascii="宋体"/>
                <w:color w:val="000000"/>
                <w:szCs w:val="21"/>
              </w:rPr>
            </w:pPr>
          </w:p>
        </w:tc>
        <w:tc>
          <w:tcPr>
            <w:tcW w:w="1170" w:type="dxa"/>
            <w:tcBorders>
              <w:tl2br w:val="nil"/>
              <w:tr2bl w:val="nil"/>
            </w:tcBorders>
            <w:vAlign w:val="center"/>
          </w:tcPr>
          <w:p>
            <w:pPr>
              <w:autoSpaceDN w:val="0"/>
              <w:spacing w:line="300" w:lineRule="exact"/>
              <w:jc w:val="center"/>
              <w:textAlignment w:val="center"/>
              <w:rPr>
                <w:rFonts w:ascii="宋体"/>
                <w:color w:val="000000"/>
                <w:szCs w:val="21"/>
              </w:rPr>
            </w:pPr>
            <w:r>
              <w:rPr>
                <w:rFonts w:ascii="宋体" w:hAnsi="宋体" w:cs="宋体"/>
                <w:color w:val="000000"/>
                <w:szCs w:val="21"/>
              </w:rPr>
              <w:t>100</w:t>
            </w:r>
          </w:p>
        </w:tc>
        <w:tc>
          <w:tcPr>
            <w:tcW w:w="1006" w:type="dxa"/>
            <w:tcBorders>
              <w:tl2br w:val="nil"/>
              <w:tr2bl w:val="nil"/>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 w:hRule="atLeast"/>
          <w:jc w:val="center"/>
        </w:trPr>
        <w:tc>
          <w:tcPr>
            <w:tcW w:w="1344" w:type="dxa"/>
            <w:vMerge w:val="restart"/>
            <w:tcBorders>
              <w:tl2br w:val="nil"/>
              <w:tr2bl w:val="nil"/>
            </w:tcBorders>
            <w:vAlign w:val="center"/>
          </w:tcPr>
          <w:p>
            <w:pPr>
              <w:spacing w:line="300" w:lineRule="exact"/>
              <w:jc w:val="center"/>
              <w:rPr>
                <w:rFonts w:ascii="宋体"/>
                <w:szCs w:val="21"/>
              </w:rPr>
            </w:pPr>
            <w:r>
              <w:rPr>
                <w:rFonts w:hint="eastAsia" w:ascii="宋体" w:hAnsi="宋体" w:cs="宋体"/>
                <w:szCs w:val="21"/>
              </w:rPr>
              <w:t>评价等次</w:t>
            </w:r>
          </w:p>
        </w:tc>
        <w:tc>
          <w:tcPr>
            <w:tcW w:w="7921" w:type="dxa"/>
            <w:gridSpan w:val="7"/>
            <w:tcBorders>
              <w:tl2br w:val="nil"/>
              <w:tr2bl w:val="nil"/>
            </w:tcBorders>
            <w:vAlign w:val="center"/>
          </w:tcPr>
          <w:p>
            <w:pPr>
              <w:spacing w:line="300" w:lineRule="exact"/>
              <w:jc w:val="center"/>
              <w:rPr>
                <w:rFonts w:ascii="宋体"/>
                <w:szCs w:val="21"/>
              </w:rPr>
            </w:pPr>
            <w:r>
              <w:rPr>
                <w:rFonts w:hint="eastAsia" w:ascii="宋体" w:hAnsi="宋体" w:cs="宋体"/>
                <w:color w:val="000000"/>
                <w:kern w:val="0"/>
                <w:szCs w:val="21"/>
              </w:rPr>
              <w:t>优□</w:t>
            </w:r>
            <w:r>
              <w:rPr>
                <w:rFonts w:ascii="宋体" w:hAnsi="宋体" w:cs="宋体"/>
                <w:color w:val="000000"/>
                <w:kern w:val="0"/>
                <w:szCs w:val="21"/>
              </w:rPr>
              <w:t xml:space="preserve">        </w:t>
            </w:r>
            <w:r>
              <w:rPr>
                <w:rFonts w:hint="eastAsia" w:ascii="宋体" w:hAnsi="宋体" w:cs="宋体"/>
                <w:color w:val="000000"/>
                <w:kern w:val="0"/>
                <w:szCs w:val="21"/>
              </w:rPr>
              <w:t>良□</w:t>
            </w:r>
            <w:r>
              <w:rPr>
                <w:rFonts w:ascii="宋体" w:hAnsi="宋体" w:cs="宋体"/>
                <w:color w:val="000000"/>
                <w:kern w:val="0"/>
                <w:szCs w:val="21"/>
              </w:rPr>
              <w:t xml:space="preserve">       </w:t>
            </w:r>
            <w:r>
              <w:rPr>
                <w:rFonts w:hint="eastAsia" w:ascii="宋体" w:hAnsi="宋体" w:cs="宋体"/>
                <w:color w:val="000000"/>
                <w:kern w:val="0"/>
                <w:szCs w:val="21"/>
              </w:rPr>
              <w:t>中</w:t>
            </w:r>
            <w:r>
              <w:rPr>
                <w:rFonts w:ascii="宋体" w:hAnsi="宋体" w:cs="宋体"/>
                <w:color w:val="000000"/>
                <w:kern w:val="0"/>
                <w:szCs w:val="21"/>
              </w:rPr>
              <w:t xml:space="preserve"> </w:t>
            </w:r>
            <w:r>
              <w:rPr>
                <w:rFonts w:hint="eastAsia" w:ascii="宋体" w:hAnsi="宋体" w:cs="宋体"/>
                <w:color w:val="000000"/>
                <w:kern w:val="0"/>
                <w:szCs w:val="21"/>
              </w:rPr>
              <w:t>□</w:t>
            </w:r>
            <w:r>
              <w:rPr>
                <w:rFonts w:ascii="宋体" w:hAnsi="宋体" w:cs="宋体"/>
                <w:color w:val="000000"/>
                <w:kern w:val="0"/>
                <w:szCs w:val="21"/>
              </w:rPr>
              <w:t xml:space="preserve">       </w:t>
            </w:r>
            <w:r>
              <w:rPr>
                <w:rFonts w:hint="eastAsia" w:ascii="宋体" w:hAnsi="宋体" w:cs="宋体"/>
                <w:color w:val="000000"/>
                <w:kern w:val="0"/>
                <w:szCs w:val="21"/>
              </w:rPr>
              <w:t>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jc w:val="center"/>
        </w:trPr>
        <w:tc>
          <w:tcPr>
            <w:tcW w:w="1344" w:type="dxa"/>
            <w:vMerge w:val="continue"/>
            <w:tcBorders>
              <w:tl2br w:val="nil"/>
              <w:tr2bl w:val="nil"/>
            </w:tcBorders>
            <w:vAlign w:val="center"/>
          </w:tcPr>
          <w:p>
            <w:pPr>
              <w:spacing w:line="300" w:lineRule="exact"/>
              <w:jc w:val="center"/>
              <w:rPr>
                <w:rFonts w:ascii="宋体"/>
                <w:szCs w:val="21"/>
              </w:rPr>
            </w:pPr>
          </w:p>
        </w:tc>
        <w:tc>
          <w:tcPr>
            <w:tcW w:w="7921" w:type="dxa"/>
            <w:gridSpan w:val="7"/>
            <w:tcBorders>
              <w:tl2br w:val="nil"/>
              <w:tr2bl w:val="nil"/>
            </w:tcBorders>
          </w:tcPr>
          <w:p>
            <w:pPr>
              <w:spacing w:line="260" w:lineRule="exact"/>
              <w:rPr>
                <w:rFonts w:ascii="宋体"/>
                <w:color w:val="000000"/>
                <w:kern w:val="0"/>
                <w:szCs w:val="21"/>
              </w:rPr>
            </w:pPr>
            <w:r>
              <w:rPr>
                <w:rFonts w:ascii="宋体" w:hAnsi="宋体" w:cs="宋体"/>
                <w:color w:val="000000"/>
                <w:kern w:val="0"/>
                <w:szCs w:val="21"/>
              </w:rPr>
              <w:t>100-90</w:t>
            </w:r>
            <w:r>
              <w:rPr>
                <w:rFonts w:hint="eastAsia" w:ascii="宋体" w:hAnsi="宋体" w:cs="宋体"/>
                <w:color w:val="000000"/>
                <w:kern w:val="0"/>
                <w:szCs w:val="21"/>
              </w:rPr>
              <w:t>（含）分为优、</w:t>
            </w:r>
            <w:r>
              <w:rPr>
                <w:rFonts w:ascii="宋体" w:hAnsi="宋体" w:cs="宋体"/>
                <w:color w:val="000000"/>
                <w:kern w:val="0"/>
                <w:szCs w:val="21"/>
              </w:rPr>
              <w:t>90-80</w:t>
            </w:r>
            <w:r>
              <w:rPr>
                <w:rFonts w:hint="eastAsia" w:ascii="宋体" w:hAnsi="宋体" w:cs="宋体"/>
                <w:color w:val="000000"/>
                <w:kern w:val="0"/>
                <w:szCs w:val="21"/>
              </w:rPr>
              <w:t>（含）分为良、</w:t>
            </w:r>
            <w:r>
              <w:rPr>
                <w:rFonts w:ascii="宋体" w:hAnsi="宋体" w:cs="宋体"/>
                <w:color w:val="000000"/>
                <w:kern w:val="0"/>
                <w:szCs w:val="21"/>
              </w:rPr>
              <w:t>80-60</w:t>
            </w:r>
            <w:r>
              <w:rPr>
                <w:rFonts w:hint="eastAsia" w:ascii="宋体" w:hAnsi="宋体" w:cs="宋体"/>
                <w:color w:val="000000"/>
                <w:kern w:val="0"/>
                <w:szCs w:val="21"/>
              </w:rPr>
              <w:t>（含）分为中、</w:t>
            </w:r>
            <w:r>
              <w:rPr>
                <w:rFonts w:ascii="宋体" w:hAnsi="宋体" w:cs="宋体"/>
                <w:color w:val="000000"/>
                <w:kern w:val="0"/>
                <w:szCs w:val="21"/>
              </w:rPr>
              <w:t>60</w:t>
            </w:r>
            <w:r>
              <w:rPr>
                <w:rFonts w:hint="eastAsia" w:ascii="宋体" w:hAnsi="宋体" w:cs="宋体"/>
                <w:color w:val="000000"/>
                <w:kern w:val="0"/>
                <w:szCs w:val="21"/>
              </w:rPr>
              <w:t>分以下为差</w:t>
            </w:r>
          </w:p>
        </w:tc>
      </w:tr>
    </w:tbl>
    <w:p>
      <w:r>
        <w:rPr>
          <w:rFonts w:hint="eastAsia" w:ascii="仿宋_GB2312" w:hAnsi="仿宋" w:eastAsia="仿宋_GB2312" w:cs="仿宋_GB2312"/>
          <w:szCs w:val="21"/>
        </w:rPr>
        <w:t>注：指标可参考财政部《项目支出绩效评价管理办法》中附件</w:t>
      </w:r>
      <w:r>
        <w:rPr>
          <w:rFonts w:ascii="仿宋_GB2312" w:hAnsi="仿宋" w:eastAsia="仿宋_GB2312" w:cs="仿宋_GB2312"/>
          <w:szCs w:val="21"/>
        </w:rPr>
        <w:t>2</w:t>
      </w:r>
      <w:r>
        <w:rPr>
          <w:rFonts w:hint="eastAsia" w:ascii="仿宋_GB2312" w:hAnsi="仿宋" w:eastAsia="仿宋_GB2312" w:cs="仿宋_GB2312"/>
          <w:szCs w:val="21"/>
        </w:rPr>
        <w:t>：《项目支出绩效评价指标体系框架》设置。</w:t>
      </w:r>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4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67DB51"/>
    <w:multiLevelType w:val="singleLevel"/>
    <w:tmpl w:val="5867DB51"/>
    <w:lvl w:ilvl="0" w:tentative="0">
      <w:start w:val="2"/>
      <w:numFmt w:val="chineseCounting"/>
      <w:suff w:val="nothing"/>
      <w:lvlText w:val="（%1）"/>
      <w:lvlJc w:val="left"/>
    </w:lvl>
  </w:abstractNum>
  <w:abstractNum w:abstractNumId="1">
    <w:nsid w:val="5867E2D4"/>
    <w:multiLevelType w:val="singleLevel"/>
    <w:tmpl w:val="5867E2D4"/>
    <w:lvl w:ilvl="0" w:tentative="0">
      <w:start w:val="2"/>
      <w:numFmt w:val="chineseCounting"/>
      <w:suff w:val="nothing"/>
      <w:lvlText w:val="（%1）"/>
      <w:lvlJc w:val="left"/>
    </w:lvl>
  </w:abstractNum>
  <w:abstractNum w:abstractNumId="2">
    <w:nsid w:val="5867E5AA"/>
    <w:multiLevelType w:val="singleLevel"/>
    <w:tmpl w:val="5867E5AA"/>
    <w:lvl w:ilvl="0" w:tentative="0">
      <w:start w:val="2"/>
      <w:numFmt w:val="chineseCounting"/>
      <w:suff w:val="nothing"/>
      <w:lvlText w:val="（%1）"/>
      <w:lvlJc w:val="left"/>
    </w:lvl>
  </w:abstractNum>
  <w:abstractNum w:abstractNumId="3">
    <w:nsid w:val="628AFAB8"/>
    <w:multiLevelType w:val="singleLevel"/>
    <w:tmpl w:val="628AFAB8"/>
    <w:lvl w:ilvl="0" w:tentative="0">
      <w:start w:val="6"/>
      <w:numFmt w:val="chineseCounting"/>
      <w:suff w:val="nothing"/>
      <w:lvlText w:val="%1、"/>
      <w:lvlJc w:val="left"/>
    </w:lvl>
  </w:abstractNum>
  <w:abstractNum w:abstractNumId="4">
    <w:nsid w:val="6296D574"/>
    <w:multiLevelType w:val="singleLevel"/>
    <w:tmpl w:val="6296D574"/>
    <w:lvl w:ilvl="0" w:tentative="0">
      <w:start w:val="2"/>
      <w:numFmt w:val="chineseCounting"/>
      <w:suff w:val="nothing"/>
      <w:lvlText w:val="（%1）"/>
      <w:lvlJc w:val="left"/>
    </w:lvl>
  </w:abstractNum>
  <w:abstractNum w:abstractNumId="5">
    <w:nsid w:val="62971A58"/>
    <w:multiLevelType w:val="singleLevel"/>
    <w:tmpl w:val="62971A58"/>
    <w:lvl w:ilvl="0" w:tentative="0">
      <w:start w:val="5"/>
      <w:numFmt w:val="chineseCounting"/>
      <w:suff w:val="nothing"/>
      <w:lvlText w:val="（%1）"/>
      <w:lvlJc w:val="left"/>
    </w:lvl>
  </w:abstractNum>
  <w:abstractNum w:abstractNumId="6">
    <w:nsid w:val="62971EEF"/>
    <w:multiLevelType w:val="singleLevel"/>
    <w:tmpl w:val="62971EEF"/>
    <w:lvl w:ilvl="0" w:tentative="0">
      <w:start w:val="2"/>
      <w:numFmt w:val="decimal"/>
      <w:suff w:val="nothing"/>
      <w:lvlText w:val="%1、"/>
      <w:lvlJc w:val="left"/>
    </w:lvl>
  </w:abstractNum>
  <w:abstractNum w:abstractNumId="7">
    <w:nsid w:val="629721FF"/>
    <w:multiLevelType w:val="singleLevel"/>
    <w:tmpl w:val="629721FF"/>
    <w:lvl w:ilvl="0" w:tentative="0">
      <w:start w:val="1"/>
      <w:numFmt w:val="decimal"/>
      <w:suff w:val="nothing"/>
      <w:lvlText w:val="%1、"/>
      <w:lvlJc w:val="left"/>
    </w:lvl>
  </w:abstractNum>
  <w:abstractNum w:abstractNumId="8">
    <w:nsid w:val="629F0873"/>
    <w:multiLevelType w:val="singleLevel"/>
    <w:tmpl w:val="629F0873"/>
    <w:lvl w:ilvl="0" w:tentative="0">
      <w:start w:val="2"/>
      <w:numFmt w:val="decimal"/>
      <w:suff w:val="nothing"/>
      <w:lvlText w:val="%1、"/>
      <w:lvlJc w:val="left"/>
    </w:lvl>
  </w:abstractNum>
  <w:num w:numId="1">
    <w:abstractNumId w:val="0"/>
  </w:num>
  <w:num w:numId="2">
    <w:abstractNumId w:val="8"/>
  </w:num>
  <w:num w:numId="3">
    <w:abstractNumId w:val="5"/>
  </w:num>
  <w:num w:numId="4">
    <w:abstractNumId w:val="6"/>
  </w:num>
  <w:num w:numId="5">
    <w:abstractNumId w:val="4"/>
  </w:num>
  <w:num w:numId="6">
    <w:abstractNumId w:val="7"/>
  </w:num>
  <w:num w:numId="7">
    <w:abstractNumId w:val="2"/>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EzOTdlNmM3NzBiMTQyMmRlNjIxNzM2MzMxNTU1YzYifQ=="/>
  </w:docVars>
  <w:rsids>
    <w:rsidRoot w:val="008616BC"/>
    <w:rsid w:val="00011C33"/>
    <w:rsid w:val="00051163"/>
    <w:rsid w:val="000835C4"/>
    <w:rsid w:val="004B697F"/>
    <w:rsid w:val="00834EF2"/>
    <w:rsid w:val="008616BC"/>
    <w:rsid w:val="00A602F4"/>
    <w:rsid w:val="00D5389C"/>
    <w:rsid w:val="00F46CF3"/>
    <w:rsid w:val="01051852"/>
    <w:rsid w:val="01227A72"/>
    <w:rsid w:val="01286109"/>
    <w:rsid w:val="015D7764"/>
    <w:rsid w:val="016B0B75"/>
    <w:rsid w:val="01713EA3"/>
    <w:rsid w:val="0173399B"/>
    <w:rsid w:val="01EB4867"/>
    <w:rsid w:val="02023C1E"/>
    <w:rsid w:val="02096171"/>
    <w:rsid w:val="02260DE9"/>
    <w:rsid w:val="0227494C"/>
    <w:rsid w:val="0237454D"/>
    <w:rsid w:val="02934C53"/>
    <w:rsid w:val="029A6699"/>
    <w:rsid w:val="02A643C7"/>
    <w:rsid w:val="02B02552"/>
    <w:rsid w:val="02BF2B05"/>
    <w:rsid w:val="02C84CA4"/>
    <w:rsid w:val="02D43EC3"/>
    <w:rsid w:val="02D50A7D"/>
    <w:rsid w:val="02D6624A"/>
    <w:rsid w:val="02E01690"/>
    <w:rsid w:val="02F262D3"/>
    <w:rsid w:val="02F37A6E"/>
    <w:rsid w:val="03051DA6"/>
    <w:rsid w:val="031954F9"/>
    <w:rsid w:val="03244455"/>
    <w:rsid w:val="036129CC"/>
    <w:rsid w:val="03654D56"/>
    <w:rsid w:val="03800244"/>
    <w:rsid w:val="041178B8"/>
    <w:rsid w:val="046D1568"/>
    <w:rsid w:val="048B6C0F"/>
    <w:rsid w:val="04A05BC5"/>
    <w:rsid w:val="04BA6340"/>
    <w:rsid w:val="04CC51E9"/>
    <w:rsid w:val="04ED5FCE"/>
    <w:rsid w:val="0502047C"/>
    <w:rsid w:val="0514619C"/>
    <w:rsid w:val="05244A1E"/>
    <w:rsid w:val="052846AF"/>
    <w:rsid w:val="05441E12"/>
    <w:rsid w:val="0574510C"/>
    <w:rsid w:val="0575098A"/>
    <w:rsid w:val="057773D5"/>
    <w:rsid w:val="05B25D9B"/>
    <w:rsid w:val="05F0142D"/>
    <w:rsid w:val="061309B3"/>
    <w:rsid w:val="06171738"/>
    <w:rsid w:val="064A72EA"/>
    <w:rsid w:val="06665232"/>
    <w:rsid w:val="06781BE3"/>
    <w:rsid w:val="067B762B"/>
    <w:rsid w:val="06BF2D3F"/>
    <w:rsid w:val="06C00887"/>
    <w:rsid w:val="06C97645"/>
    <w:rsid w:val="06D717DE"/>
    <w:rsid w:val="06D756C8"/>
    <w:rsid w:val="06F6144A"/>
    <w:rsid w:val="070E5B1A"/>
    <w:rsid w:val="073739EB"/>
    <w:rsid w:val="0753597D"/>
    <w:rsid w:val="079A6C04"/>
    <w:rsid w:val="07A86F06"/>
    <w:rsid w:val="07BC4C7F"/>
    <w:rsid w:val="07C46A8C"/>
    <w:rsid w:val="07C51326"/>
    <w:rsid w:val="083514FC"/>
    <w:rsid w:val="08885660"/>
    <w:rsid w:val="089179A8"/>
    <w:rsid w:val="08931108"/>
    <w:rsid w:val="08B13979"/>
    <w:rsid w:val="08DF27C3"/>
    <w:rsid w:val="08F73298"/>
    <w:rsid w:val="090F2FF5"/>
    <w:rsid w:val="092E0DE2"/>
    <w:rsid w:val="093272AD"/>
    <w:rsid w:val="093A2153"/>
    <w:rsid w:val="094C18F1"/>
    <w:rsid w:val="09647C8B"/>
    <w:rsid w:val="0970437F"/>
    <w:rsid w:val="09852B12"/>
    <w:rsid w:val="098E67D5"/>
    <w:rsid w:val="098F0D4F"/>
    <w:rsid w:val="09CB39F6"/>
    <w:rsid w:val="09D3328D"/>
    <w:rsid w:val="09E54533"/>
    <w:rsid w:val="09EF60A0"/>
    <w:rsid w:val="09FA1D05"/>
    <w:rsid w:val="0A2A4C11"/>
    <w:rsid w:val="0A66316A"/>
    <w:rsid w:val="0A863527"/>
    <w:rsid w:val="0A867F26"/>
    <w:rsid w:val="0A9252C5"/>
    <w:rsid w:val="0ABA7E02"/>
    <w:rsid w:val="0AD81061"/>
    <w:rsid w:val="0AE518FF"/>
    <w:rsid w:val="0AEA1CCC"/>
    <w:rsid w:val="0AF70685"/>
    <w:rsid w:val="0B314080"/>
    <w:rsid w:val="0B843E84"/>
    <w:rsid w:val="0B8F541C"/>
    <w:rsid w:val="0BA05712"/>
    <w:rsid w:val="0BB957CD"/>
    <w:rsid w:val="0BC64E3C"/>
    <w:rsid w:val="0BEA369B"/>
    <w:rsid w:val="0BFD6023"/>
    <w:rsid w:val="0C101657"/>
    <w:rsid w:val="0C293019"/>
    <w:rsid w:val="0C4607EF"/>
    <w:rsid w:val="0C7B7115"/>
    <w:rsid w:val="0C7C0EDE"/>
    <w:rsid w:val="0C957520"/>
    <w:rsid w:val="0C9B0CED"/>
    <w:rsid w:val="0C9C5362"/>
    <w:rsid w:val="0C9F2974"/>
    <w:rsid w:val="0CAA6C89"/>
    <w:rsid w:val="0CAC3EB0"/>
    <w:rsid w:val="0CCF3E99"/>
    <w:rsid w:val="0D0A64A9"/>
    <w:rsid w:val="0D104999"/>
    <w:rsid w:val="0D193CFF"/>
    <w:rsid w:val="0D7E002C"/>
    <w:rsid w:val="0D7F021C"/>
    <w:rsid w:val="0D827D1F"/>
    <w:rsid w:val="0D992771"/>
    <w:rsid w:val="0DDF5077"/>
    <w:rsid w:val="0DEE1B98"/>
    <w:rsid w:val="0E417A0A"/>
    <w:rsid w:val="0E493A11"/>
    <w:rsid w:val="0E5F77CB"/>
    <w:rsid w:val="0E7D3D50"/>
    <w:rsid w:val="0EA71B8B"/>
    <w:rsid w:val="0EC73027"/>
    <w:rsid w:val="0ED81DAA"/>
    <w:rsid w:val="0EEC5FB5"/>
    <w:rsid w:val="0F1C580D"/>
    <w:rsid w:val="0FA00ACC"/>
    <w:rsid w:val="0FAC6973"/>
    <w:rsid w:val="0FBD361B"/>
    <w:rsid w:val="100D6787"/>
    <w:rsid w:val="102F46C5"/>
    <w:rsid w:val="103D122D"/>
    <w:rsid w:val="10740DB6"/>
    <w:rsid w:val="10DB69D1"/>
    <w:rsid w:val="10E4082C"/>
    <w:rsid w:val="10E472F9"/>
    <w:rsid w:val="10FA409B"/>
    <w:rsid w:val="11334C1D"/>
    <w:rsid w:val="114A59C4"/>
    <w:rsid w:val="114D25C7"/>
    <w:rsid w:val="11F0005E"/>
    <w:rsid w:val="12075161"/>
    <w:rsid w:val="126B4578"/>
    <w:rsid w:val="12730E1D"/>
    <w:rsid w:val="127F16C5"/>
    <w:rsid w:val="1286182B"/>
    <w:rsid w:val="12887E5B"/>
    <w:rsid w:val="128978F0"/>
    <w:rsid w:val="1296042A"/>
    <w:rsid w:val="12D45F4C"/>
    <w:rsid w:val="12F22CDA"/>
    <w:rsid w:val="12FF6A9C"/>
    <w:rsid w:val="130525E9"/>
    <w:rsid w:val="132C5BDA"/>
    <w:rsid w:val="13365091"/>
    <w:rsid w:val="134F37C8"/>
    <w:rsid w:val="13A56F00"/>
    <w:rsid w:val="13A641CE"/>
    <w:rsid w:val="13D51CD6"/>
    <w:rsid w:val="13ED0EEF"/>
    <w:rsid w:val="13FC3BF2"/>
    <w:rsid w:val="1404308A"/>
    <w:rsid w:val="141661DD"/>
    <w:rsid w:val="14681F7E"/>
    <w:rsid w:val="14781EE0"/>
    <w:rsid w:val="1480107B"/>
    <w:rsid w:val="14B81BAF"/>
    <w:rsid w:val="14D8156C"/>
    <w:rsid w:val="14EC4DE7"/>
    <w:rsid w:val="14FB72E2"/>
    <w:rsid w:val="15073E25"/>
    <w:rsid w:val="15080689"/>
    <w:rsid w:val="15300812"/>
    <w:rsid w:val="155902AB"/>
    <w:rsid w:val="15764DC0"/>
    <w:rsid w:val="157D066F"/>
    <w:rsid w:val="158255B8"/>
    <w:rsid w:val="15B00B47"/>
    <w:rsid w:val="15CF2170"/>
    <w:rsid w:val="161F239C"/>
    <w:rsid w:val="16373A7B"/>
    <w:rsid w:val="165A5E9D"/>
    <w:rsid w:val="16C04081"/>
    <w:rsid w:val="16DE507A"/>
    <w:rsid w:val="170B776A"/>
    <w:rsid w:val="173E541A"/>
    <w:rsid w:val="173F5AEB"/>
    <w:rsid w:val="1762758D"/>
    <w:rsid w:val="17665356"/>
    <w:rsid w:val="17892702"/>
    <w:rsid w:val="17AC5A7B"/>
    <w:rsid w:val="17B03DBA"/>
    <w:rsid w:val="17EC5FF1"/>
    <w:rsid w:val="17F63558"/>
    <w:rsid w:val="18282FAC"/>
    <w:rsid w:val="18563D79"/>
    <w:rsid w:val="185A1F9E"/>
    <w:rsid w:val="186D00AC"/>
    <w:rsid w:val="1876365C"/>
    <w:rsid w:val="18790C9B"/>
    <w:rsid w:val="18853351"/>
    <w:rsid w:val="18F93801"/>
    <w:rsid w:val="191955DF"/>
    <w:rsid w:val="192D2C6B"/>
    <w:rsid w:val="194E6D25"/>
    <w:rsid w:val="19580AC4"/>
    <w:rsid w:val="196F044F"/>
    <w:rsid w:val="199B1E8F"/>
    <w:rsid w:val="19AE7430"/>
    <w:rsid w:val="19E9757F"/>
    <w:rsid w:val="1A082619"/>
    <w:rsid w:val="1A3C0C4E"/>
    <w:rsid w:val="1A701E6E"/>
    <w:rsid w:val="1A7A1C9B"/>
    <w:rsid w:val="1A8E64F9"/>
    <w:rsid w:val="1A9A5D21"/>
    <w:rsid w:val="1AB31682"/>
    <w:rsid w:val="1AB5245D"/>
    <w:rsid w:val="1AD11184"/>
    <w:rsid w:val="1AF44B81"/>
    <w:rsid w:val="1AFD0AFD"/>
    <w:rsid w:val="1AFF578C"/>
    <w:rsid w:val="1B0B4B33"/>
    <w:rsid w:val="1B5318EC"/>
    <w:rsid w:val="1B730E8E"/>
    <w:rsid w:val="1BD555A8"/>
    <w:rsid w:val="1C001868"/>
    <w:rsid w:val="1C1A5CE2"/>
    <w:rsid w:val="1C606958"/>
    <w:rsid w:val="1C6A4109"/>
    <w:rsid w:val="1C762B42"/>
    <w:rsid w:val="1C846E38"/>
    <w:rsid w:val="1C8E4EB0"/>
    <w:rsid w:val="1C937CF9"/>
    <w:rsid w:val="1CB53F8D"/>
    <w:rsid w:val="1CB811DE"/>
    <w:rsid w:val="1CBB2F8B"/>
    <w:rsid w:val="1CCE0E44"/>
    <w:rsid w:val="1CD57F0D"/>
    <w:rsid w:val="1CF96E4A"/>
    <w:rsid w:val="1D3379CB"/>
    <w:rsid w:val="1D412281"/>
    <w:rsid w:val="1D7325AF"/>
    <w:rsid w:val="1D84714A"/>
    <w:rsid w:val="1D8A1083"/>
    <w:rsid w:val="1D997E8D"/>
    <w:rsid w:val="1DD5761E"/>
    <w:rsid w:val="1DD979D3"/>
    <w:rsid w:val="1DDA61D7"/>
    <w:rsid w:val="1E0E133F"/>
    <w:rsid w:val="1E0E569C"/>
    <w:rsid w:val="1E690750"/>
    <w:rsid w:val="1E6B4FA7"/>
    <w:rsid w:val="1E885B59"/>
    <w:rsid w:val="1E8E6273"/>
    <w:rsid w:val="1E916134"/>
    <w:rsid w:val="1E9E6246"/>
    <w:rsid w:val="1EB830B3"/>
    <w:rsid w:val="1ED15C97"/>
    <w:rsid w:val="1F3A656A"/>
    <w:rsid w:val="1F573686"/>
    <w:rsid w:val="1F5C1C62"/>
    <w:rsid w:val="1F814F05"/>
    <w:rsid w:val="1F916F92"/>
    <w:rsid w:val="1F993824"/>
    <w:rsid w:val="1FD15EE5"/>
    <w:rsid w:val="202C009E"/>
    <w:rsid w:val="20477190"/>
    <w:rsid w:val="206D5AFA"/>
    <w:rsid w:val="20712CE9"/>
    <w:rsid w:val="20887821"/>
    <w:rsid w:val="20CE5301"/>
    <w:rsid w:val="20CF4EC4"/>
    <w:rsid w:val="20D60BE9"/>
    <w:rsid w:val="21024732"/>
    <w:rsid w:val="216A5D6E"/>
    <w:rsid w:val="21747C5C"/>
    <w:rsid w:val="217C36BB"/>
    <w:rsid w:val="217C4DA4"/>
    <w:rsid w:val="21816547"/>
    <w:rsid w:val="21827B99"/>
    <w:rsid w:val="218B5047"/>
    <w:rsid w:val="21DA05F1"/>
    <w:rsid w:val="21DE5226"/>
    <w:rsid w:val="21F6019E"/>
    <w:rsid w:val="21F84C6A"/>
    <w:rsid w:val="21FF31CB"/>
    <w:rsid w:val="220F3A0C"/>
    <w:rsid w:val="2214579F"/>
    <w:rsid w:val="222E1D7C"/>
    <w:rsid w:val="22384FE5"/>
    <w:rsid w:val="225738EF"/>
    <w:rsid w:val="225911B1"/>
    <w:rsid w:val="225C65C1"/>
    <w:rsid w:val="22633F7C"/>
    <w:rsid w:val="22673522"/>
    <w:rsid w:val="229804B2"/>
    <w:rsid w:val="22CC722B"/>
    <w:rsid w:val="22E519A7"/>
    <w:rsid w:val="235246D9"/>
    <w:rsid w:val="235916AB"/>
    <w:rsid w:val="23DB6658"/>
    <w:rsid w:val="23E11BA3"/>
    <w:rsid w:val="24327F5A"/>
    <w:rsid w:val="24360E3D"/>
    <w:rsid w:val="24386A21"/>
    <w:rsid w:val="245045C2"/>
    <w:rsid w:val="24901520"/>
    <w:rsid w:val="249E0AA9"/>
    <w:rsid w:val="24A742E6"/>
    <w:rsid w:val="24AC0B75"/>
    <w:rsid w:val="24B551A3"/>
    <w:rsid w:val="24DB2E8B"/>
    <w:rsid w:val="24E71A31"/>
    <w:rsid w:val="25060F6C"/>
    <w:rsid w:val="2521238F"/>
    <w:rsid w:val="253651A5"/>
    <w:rsid w:val="25366B81"/>
    <w:rsid w:val="25555F45"/>
    <w:rsid w:val="2555759C"/>
    <w:rsid w:val="257E7C85"/>
    <w:rsid w:val="258D652D"/>
    <w:rsid w:val="2596022C"/>
    <w:rsid w:val="25AD28BE"/>
    <w:rsid w:val="25BF2DBB"/>
    <w:rsid w:val="25F20BD9"/>
    <w:rsid w:val="25F376C6"/>
    <w:rsid w:val="26161A3A"/>
    <w:rsid w:val="263C1721"/>
    <w:rsid w:val="265C1A07"/>
    <w:rsid w:val="269041EA"/>
    <w:rsid w:val="26BA5132"/>
    <w:rsid w:val="26C22AB8"/>
    <w:rsid w:val="271E2369"/>
    <w:rsid w:val="27377876"/>
    <w:rsid w:val="273F322D"/>
    <w:rsid w:val="2758478F"/>
    <w:rsid w:val="277D3DCE"/>
    <w:rsid w:val="277E557D"/>
    <w:rsid w:val="279E6DF4"/>
    <w:rsid w:val="27C57417"/>
    <w:rsid w:val="27E87206"/>
    <w:rsid w:val="281D371D"/>
    <w:rsid w:val="28513F51"/>
    <w:rsid w:val="285F4042"/>
    <w:rsid w:val="2875049B"/>
    <w:rsid w:val="28760E99"/>
    <w:rsid w:val="287A501E"/>
    <w:rsid w:val="288F68FF"/>
    <w:rsid w:val="288F7A69"/>
    <w:rsid w:val="28B728B3"/>
    <w:rsid w:val="28F5305C"/>
    <w:rsid w:val="290C3C31"/>
    <w:rsid w:val="291577AD"/>
    <w:rsid w:val="29311CDC"/>
    <w:rsid w:val="29433F18"/>
    <w:rsid w:val="29721A69"/>
    <w:rsid w:val="29A045E0"/>
    <w:rsid w:val="29A27F47"/>
    <w:rsid w:val="29B72873"/>
    <w:rsid w:val="29E408C2"/>
    <w:rsid w:val="29EA530F"/>
    <w:rsid w:val="2A067935"/>
    <w:rsid w:val="2A1526FE"/>
    <w:rsid w:val="2A2C6762"/>
    <w:rsid w:val="2A6935F0"/>
    <w:rsid w:val="2A7B1356"/>
    <w:rsid w:val="2A971F69"/>
    <w:rsid w:val="2A9B2B4C"/>
    <w:rsid w:val="2ABF3533"/>
    <w:rsid w:val="2ACF26D8"/>
    <w:rsid w:val="2AD52E32"/>
    <w:rsid w:val="2AD90E6D"/>
    <w:rsid w:val="2AE25BF2"/>
    <w:rsid w:val="2AE93277"/>
    <w:rsid w:val="2B565B91"/>
    <w:rsid w:val="2BB74FBC"/>
    <w:rsid w:val="2BDA5893"/>
    <w:rsid w:val="2C5867E3"/>
    <w:rsid w:val="2C6B3479"/>
    <w:rsid w:val="2C7F4CD3"/>
    <w:rsid w:val="2C817F28"/>
    <w:rsid w:val="2C832C1B"/>
    <w:rsid w:val="2C983D92"/>
    <w:rsid w:val="2C99166D"/>
    <w:rsid w:val="2CF37823"/>
    <w:rsid w:val="2CFB62C3"/>
    <w:rsid w:val="2D157873"/>
    <w:rsid w:val="2D2D6E85"/>
    <w:rsid w:val="2D2F21E0"/>
    <w:rsid w:val="2D3F28A6"/>
    <w:rsid w:val="2D5115D9"/>
    <w:rsid w:val="2D9E135B"/>
    <w:rsid w:val="2DBF70B4"/>
    <w:rsid w:val="2E087E8C"/>
    <w:rsid w:val="2E61263F"/>
    <w:rsid w:val="2E621CD1"/>
    <w:rsid w:val="2E6B4AB7"/>
    <w:rsid w:val="2E763064"/>
    <w:rsid w:val="2E9D1CEB"/>
    <w:rsid w:val="2EA87821"/>
    <w:rsid w:val="2EC86CA8"/>
    <w:rsid w:val="2EE96D1D"/>
    <w:rsid w:val="2EF76EB9"/>
    <w:rsid w:val="2F0705A1"/>
    <w:rsid w:val="2F35298B"/>
    <w:rsid w:val="2F657C20"/>
    <w:rsid w:val="2F6C343B"/>
    <w:rsid w:val="2F7614EA"/>
    <w:rsid w:val="2FBA4E9F"/>
    <w:rsid w:val="2FE813AE"/>
    <w:rsid w:val="30141BB9"/>
    <w:rsid w:val="304021FB"/>
    <w:rsid w:val="304C64DF"/>
    <w:rsid w:val="309D6934"/>
    <w:rsid w:val="30B07AA6"/>
    <w:rsid w:val="30B679BD"/>
    <w:rsid w:val="30C31A59"/>
    <w:rsid w:val="30E012C2"/>
    <w:rsid w:val="30F65FCE"/>
    <w:rsid w:val="312A1415"/>
    <w:rsid w:val="3154558A"/>
    <w:rsid w:val="317906D4"/>
    <w:rsid w:val="318703FC"/>
    <w:rsid w:val="31B73EE3"/>
    <w:rsid w:val="31BA0ABB"/>
    <w:rsid w:val="3213558C"/>
    <w:rsid w:val="32316627"/>
    <w:rsid w:val="32352C60"/>
    <w:rsid w:val="323D423F"/>
    <w:rsid w:val="32BE2384"/>
    <w:rsid w:val="32C227DE"/>
    <w:rsid w:val="32C64F2C"/>
    <w:rsid w:val="331E26BA"/>
    <w:rsid w:val="333670AC"/>
    <w:rsid w:val="334802A1"/>
    <w:rsid w:val="33634B99"/>
    <w:rsid w:val="336761E9"/>
    <w:rsid w:val="33C909C6"/>
    <w:rsid w:val="33C9633A"/>
    <w:rsid w:val="33E36A2F"/>
    <w:rsid w:val="33F72EEF"/>
    <w:rsid w:val="33FB69DB"/>
    <w:rsid w:val="343513E0"/>
    <w:rsid w:val="346354A0"/>
    <w:rsid w:val="3463636C"/>
    <w:rsid w:val="346C554A"/>
    <w:rsid w:val="34B60308"/>
    <w:rsid w:val="34ED47C5"/>
    <w:rsid w:val="34EE0F57"/>
    <w:rsid w:val="351771CE"/>
    <w:rsid w:val="35634760"/>
    <w:rsid w:val="356D78E0"/>
    <w:rsid w:val="3578662A"/>
    <w:rsid w:val="357C204D"/>
    <w:rsid w:val="358219A7"/>
    <w:rsid w:val="358E34F3"/>
    <w:rsid w:val="360D1AA2"/>
    <w:rsid w:val="364201E3"/>
    <w:rsid w:val="3655580A"/>
    <w:rsid w:val="366C12C2"/>
    <w:rsid w:val="367040A3"/>
    <w:rsid w:val="367E7A5C"/>
    <w:rsid w:val="36817E67"/>
    <w:rsid w:val="368551D0"/>
    <w:rsid w:val="36A97712"/>
    <w:rsid w:val="36DE78E6"/>
    <w:rsid w:val="36E8063B"/>
    <w:rsid w:val="36F51D76"/>
    <w:rsid w:val="373D299C"/>
    <w:rsid w:val="374C3EFD"/>
    <w:rsid w:val="374E702D"/>
    <w:rsid w:val="378751A3"/>
    <w:rsid w:val="378C5F41"/>
    <w:rsid w:val="37933D7A"/>
    <w:rsid w:val="37BF6AD1"/>
    <w:rsid w:val="37E306DA"/>
    <w:rsid w:val="37EF7A0E"/>
    <w:rsid w:val="38515D7C"/>
    <w:rsid w:val="38774CC0"/>
    <w:rsid w:val="38BA037C"/>
    <w:rsid w:val="38CE6A7A"/>
    <w:rsid w:val="38D52FE7"/>
    <w:rsid w:val="39562F76"/>
    <w:rsid w:val="395C4F84"/>
    <w:rsid w:val="395E22ED"/>
    <w:rsid w:val="39840D28"/>
    <w:rsid w:val="3989093D"/>
    <w:rsid w:val="39FF0355"/>
    <w:rsid w:val="3A3535D1"/>
    <w:rsid w:val="3A4F06E3"/>
    <w:rsid w:val="3A6F4499"/>
    <w:rsid w:val="3A980DA3"/>
    <w:rsid w:val="3AA246ED"/>
    <w:rsid w:val="3AD6195A"/>
    <w:rsid w:val="3B0B63AB"/>
    <w:rsid w:val="3B262589"/>
    <w:rsid w:val="3B2A0551"/>
    <w:rsid w:val="3B6B4054"/>
    <w:rsid w:val="3B7546F9"/>
    <w:rsid w:val="3B763664"/>
    <w:rsid w:val="3BA05B47"/>
    <w:rsid w:val="3BC4380E"/>
    <w:rsid w:val="3BD27899"/>
    <w:rsid w:val="3BE51B38"/>
    <w:rsid w:val="3C433AC7"/>
    <w:rsid w:val="3C642C69"/>
    <w:rsid w:val="3C777372"/>
    <w:rsid w:val="3C7D21F7"/>
    <w:rsid w:val="3C8C4BDD"/>
    <w:rsid w:val="3CA47F19"/>
    <w:rsid w:val="3CD1668F"/>
    <w:rsid w:val="3CF67B4B"/>
    <w:rsid w:val="3D02270F"/>
    <w:rsid w:val="3D2117FC"/>
    <w:rsid w:val="3D4B6F5D"/>
    <w:rsid w:val="3D6A108D"/>
    <w:rsid w:val="3D7E2D39"/>
    <w:rsid w:val="3D811B64"/>
    <w:rsid w:val="3DA13C1A"/>
    <w:rsid w:val="3DB656A9"/>
    <w:rsid w:val="3DB81D8A"/>
    <w:rsid w:val="3DDF5D74"/>
    <w:rsid w:val="3E045837"/>
    <w:rsid w:val="3E0B700B"/>
    <w:rsid w:val="3E7102C2"/>
    <w:rsid w:val="3E760579"/>
    <w:rsid w:val="3E9E73A8"/>
    <w:rsid w:val="3EB86381"/>
    <w:rsid w:val="3EC931FC"/>
    <w:rsid w:val="3ED66DBB"/>
    <w:rsid w:val="3EF042D2"/>
    <w:rsid w:val="3F254E6B"/>
    <w:rsid w:val="3F3064BF"/>
    <w:rsid w:val="3F382879"/>
    <w:rsid w:val="3F4523AC"/>
    <w:rsid w:val="3F543412"/>
    <w:rsid w:val="3F58474E"/>
    <w:rsid w:val="3FB5210D"/>
    <w:rsid w:val="4001305F"/>
    <w:rsid w:val="40186392"/>
    <w:rsid w:val="401E5EBE"/>
    <w:rsid w:val="402E785D"/>
    <w:rsid w:val="405C0A2D"/>
    <w:rsid w:val="40863F8C"/>
    <w:rsid w:val="409462CF"/>
    <w:rsid w:val="40FF18EE"/>
    <w:rsid w:val="41077AB2"/>
    <w:rsid w:val="41420D50"/>
    <w:rsid w:val="414E17B3"/>
    <w:rsid w:val="41573FFD"/>
    <w:rsid w:val="41881420"/>
    <w:rsid w:val="41941EF9"/>
    <w:rsid w:val="419C2403"/>
    <w:rsid w:val="41A45F7F"/>
    <w:rsid w:val="41BF5D07"/>
    <w:rsid w:val="41C35FB4"/>
    <w:rsid w:val="41DA3363"/>
    <w:rsid w:val="420E6849"/>
    <w:rsid w:val="42111908"/>
    <w:rsid w:val="422B6A25"/>
    <w:rsid w:val="42633024"/>
    <w:rsid w:val="42B679E7"/>
    <w:rsid w:val="42CB41EB"/>
    <w:rsid w:val="42D170D4"/>
    <w:rsid w:val="42D2428C"/>
    <w:rsid w:val="43075235"/>
    <w:rsid w:val="430F4F45"/>
    <w:rsid w:val="43125765"/>
    <w:rsid w:val="431E476B"/>
    <w:rsid w:val="43407500"/>
    <w:rsid w:val="435709D2"/>
    <w:rsid w:val="435E2C78"/>
    <w:rsid w:val="436D1319"/>
    <w:rsid w:val="437A26A9"/>
    <w:rsid w:val="43A53E49"/>
    <w:rsid w:val="43D52899"/>
    <w:rsid w:val="43E7171F"/>
    <w:rsid w:val="44512337"/>
    <w:rsid w:val="44AB2A9A"/>
    <w:rsid w:val="45107034"/>
    <w:rsid w:val="451D2611"/>
    <w:rsid w:val="45353460"/>
    <w:rsid w:val="45982B9C"/>
    <w:rsid w:val="459E6B01"/>
    <w:rsid w:val="45D004EF"/>
    <w:rsid w:val="45EC4FDA"/>
    <w:rsid w:val="462C7F21"/>
    <w:rsid w:val="463A4C5B"/>
    <w:rsid w:val="46472EA4"/>
    <w:rsid w:val="465E2B45"/>
    <w:rsid w:val="46894E98"/>
    <w:rsid w:val="468D3CB8"/>
    <w:rsid w:val="46B272BA"/>
    <w:rsid w:val="46C52B73"/>
    <w:rsid w:val="46C5335C"/>
    <w:rsid w:val="46D54709"/>
    <w:rsid w:val="46E26A0C"/>
    <w:rsid w:val="46F0157E"/>
    <w:rsid w:val="46FB187E"/>
    <w:rsid w:val="47816422"/>
    <w:rsid w:val="478D5E82"/>
    <w:rsid w:val="47B0604F"/>
    <w:rsid w:val="47CF7C4B"/>
    <w:rsid w:val="47E77DA5"/>
    <w:rsid w:val="47F74788"/>
    <w:rsid w:val="480D6356"/>
    <w:rsid w:val="482202ED"/>
    <w:rsid w:val="48263A02"/>
    <w:rsid w:val="48374FBE"/>
    <w:rsid w:val="48595930"/>
    <w:rsid w:val="489B049E"/>
    <w:rsid w:val="489C0C0B"/>
    <w:rsid w:val="48B31761"/>
    <w:rsid w:val="48CB66CA"/>
    <w:rsid w:val="48CF6F80"/>
    <w:rsid w:val="48D03A20"/>
    <w:rsid w:val="48FB5021"/>
    <w:rsid w:val="4904604E"/>
    <w:rsid w:val="4920393A"/>
    <w:rsid w:val="49240E3D"/>
    <w:rsid w:val="49315C79"/>
    <w:rsid w:val="493866F1"/>
    <w:rsid w:val="497464E6"/>
    <w:rsid w:val="49752940"/>
    <w:rsid w:val="497776BB"/>
    <w:rsid w:val="49870A72"/>
    <w:rsid w:val="49B00E6C"/>
    <w:rsid w:val="49DB2FAF"/>
    <w:rsid w:val="49EF0195"/>
    <w:rsid w:val="4A1E6D1C"/>
    <w:rsid w:val="4A515A0A"/>
    <w:rsid w:val="4A5B08B9"/>
    <w:rsid w:val="4A941C5F"/>
    <w:rsid w:val="4A9D0044"/>
    <w:rsid w:val="4ACB6BB6"/>
    <w:rsid w:val="4ADD162E"/>
    <w:rsid w:val="4B18703C"/>
    <w:rsid w:val="4B2E5D28"/>
    <w:rsid w:val="4B5A6906"/>
    <w:rsid w:val="4B84401A"/>
    <w:rsid w:val="4B9959B9"/>
    <w:rsid w:val="4BA60050"/>
    <w:rsid w:val="4BD14F75"/>
    <w:rsid w:val="4BD164BD"/>
    <w:rsid w:val="4BD96116"/>
    <w:rsid w:val="4BDE67D2"/>
    <w:rsid w:val="4C2844A2"/>
    <w:rsid w:val="4C5B3314"/>
    <w:rsid w:val="4C722193"/>
    <w:rsid w:val="4C750D19"/>
    <w:rsid w:val="4C8636B6"/>
    <w:rsid w:val="4C9600F1"/>
    <w:rsid w:val="4C9D4B1C"/>
    <w:rsid w:val="4CA42992"/>
    <w:rsid w:val="4CBF5508"/>
    <w:rsid w:val="4D1D4980"/>
    <w:rsid w:val="4D750446"/>
    <w:rsid w:val="4D785BC4"/>
    <w:rsid w:val="4D786411"/>
    <w:rsid w:val="4D9E5ECF"/>
    <w:rsid w:val="4DB80A4B"/>
    <w:rsid w:val="4DBB6EC7"/>
    <w:rsid w:val="4DC124E1"/>
    <w:rsid w:val="4DC14F10"/>
    <w:rsid w:val="4DDD4E19"/>
    <w:rsid w:val="4E5D7AC8"/>
    <w:rsid w:val="4E6B442A"/>
    <w:rsid w:val="4E8A3629"/>
    <w:rsid w:val="4E931932"/>
    <w:rsid w:val="4E9D082B"/>
    <w:rsid w:val="4ECF6140"/>
    <w:rsid w:val="4EDA4A35"/>
    <w:rsid w:val="4EF4682B"/>
    <w:rsid w:val="4EF678DA"/>
    <w:rsid w:val="4F163793"/>
    <w:rsid w:val="4F4D5CAE"/>
    <w:rsid w:val="4F6D4070"/>
    <w:rsid w:val="4FA90C77"/>
    <w:rsid w:val="5013037E"/>
    <w:rsid w:val="501D32AE"/>
    <w:rsid w:val="50233DE5"/>
    <w:rsid w:val="50690EB2"/>
    <w:rsid w:val="50960A5B"/>
    <w:rsid w:val="509872DE"/>
    <w:rsid w:val="50A67D06"/>
    <w:rsid w:val="50A91D68"/>
    <w:rsid w:val="50B9174A"/>
    <w:rsid w:val="50BD094A"/>
    <w:rsid w:val="50BD1B70"/>
    <w:rsid w:val="50C30EE6"/>
    <w:rsid w:val="50D554F5"/>
    <w:rsid w:val="50F61F2B"/>
    <w:rsid w:val="50FF3690"/>
    <w:rsid w:val="5104163D"/>
    <w:rsid w:val="513F6287"/>
    <w:rsid w:val="514D0732"/>
    <w:rsid w:val="517810EC"/>
    <w:rsid w:val="51945620"/>
    <w:rsid w:val="519A5815"/>
    <w:rsid w:val="51A43E4C"/>
    <w:rsid w:val="51B612F5"/>
    <w:rsid w:val="51BF7D7D"/>
    <w:rsid w:val="51C351E4"/>
    <w:rsid w:val="51E32A57"/>
    <w:rsid w:val="51E95D39"/>
    <w:rsid w:val="521333C1"/>
    <w:rsid w:val="522D7B4F"/>
    <w:rsid w:val="52474F87"/>
    <w:rsid w:val="52624798"/>
    <w:rsid w:val="527E60A6"/>
    <w:rsid w:val="52A266F1"/>
    <w:rsid w:val="52A73929"/>
    <w:rsid w:val="52C8044B"/>
    <w:rsid w:val="52CD26BE"/>
    <w:rsid w:val="52ED4C94"/>
    <w:rsid w:val="53115BAD"/>
    <w:rsid w:val="5330380D"/>
    <w:rsid w:val="5334079A"/>
    <w:rsid w:val="533654EB"/>
    <w:rsid w:val="535D45AB"/>
    <w:rsid w:val="53765699"/>
    <w:rsid w:val="53CD4DB5"/>
    <w:rsid w:val="54053DFE"/>
    <w:rsid w:val="5429393C"/>
    <w:rsid w:val="542D3FBE"/>
    <w:rsid w:val="545F66E2"/>
    <w:rsid w:val="546013C2"/>
    <w:rsid w:val="546E1F4B"/>
    <w:rsid w:val="54767695"/>
    <w:rsid w:val="547B788A"/>
    <w:rsid w:val="54A01C27"/>
    <w:rsid w:val="54D854E9"/>
    <w:rsid w:val="54EE5D29"/>
    <w:rsid w:val="553A09BD"/>
    <w:rsid w:val="55574DB0"/>
    <w:rsid w:val="555A2749"/>
    <w:rsid w:val="557A1D26"/>
    <w:rsid w:val="55B3601E"/>
    <w:rsid w:val="55B37E6A"/>
    <w:rsid w:val="55BA363E"/>
    <w:rsid w:val="56263AB2"/>
    <w:rsid w:val="565C5FD2"/>
    <w:rsid w:val="567B2288"/>
    <w:rsid w:val="56A47D73"/>
    <w:rsid w:val="56FE68E1"/>
    <w:rsid w:val="56FF626D"/>
    <w:rsid w:val="57087D01"/>
    <w:rsid w:val="57102C5F"/>
    <w:rsid w:val="573D3CDC"/>
    <w:rsid w:val="575A4AB5"/>
    <w:rsid w:val="57784885"/>
    <w:rsid w:val="57911456"/>
    <w:rsid w:val="5797657C"/>
    <w:rsid w:val="579D4E61"/>
    <w:rsid w:val="57A0319E"/>
    <w:rsid w:val="57D01FAE"/>
    <w:rsid w:val="58324D0C"/>
    <w:rsid w:val="58490616"/>
    <w:rsid w:val="58510748"/>
    <w:rsid w:val="58563786"/>
    <w:rsid w:val="585A23D0"/>
    <w:rsid w:val="585C500E"/>
    <w:rsid w:val="58772D3C"/>
    <w:rsid w:val="58801CCD"/>
    <w:rsid w:val="589C0351"/>
    <w:rsid w:val="58AE25C3"/>
    <w:rsid w:val="58D67E46"/>
    <w:rsid w:val="58D85ABE"/>
    <w:rsid w:val="58EA18B2"/>
    <w:rsid w:val="59033E98"/>
    <w:rsid w:val="590900B1"/>
    <w:rsid w:val="59154C90"/>
    <w:rsid w:val="59246BE1"/>
    <w:rsid w:val="59523ABF"/>
    <w:rsid w:val="5980672E"/>
    <w:rsid w:val="5981229C"/>
    <w:rsid w:val="59AB7C2E"/>
    <w:rsid w:val="59BA0328"/>
    <w:rsid w:val="59CA4BBA"/>
    <w:rsid w:val="59D2755B"/>
    <w:rsid w:val="5A1F3B83"/>
    <w:rsid w:val="5A4B1A2E"/>
    <w:rsid w:val="5A5D1C20"/>
    <w:rsid w:val="5A690563"/>
    <w:rsid w:val="5A886659"/>
    <w:rsid w:val="5AC30009"/>
    <w:rsid w:val="5AC94A3F"/>
    <w:rsid w:val="5ADE1A9A"/>
    <w:rsid w:val="5AEB2C32"/>
    <w:rsid w:val="5AEC1F77"/>
    <w:rsid w:val="5AF06C92"/>
    <w:rsid w:val="5B52045D"/>
    <w:rsid w:val="5B6758F8"/>
    <w:rsid w:val="5B6E1E86"/>
    <w:rsid w:val="5B872DE0"/>
    <w:rsid w:val="5B8B076C"/>
    <w:rsid w:val="5B9C5FA2"/>
    <w:rsid w:val="5B9D5BAC"/>
    <w:rsid w:val="5B9E7C3E"/>
    <w:rsid w:val="5BA45D09"/>
    <w:rsid w:val="5BA70C83"/>
    <w:rsid w:val="5BAA76B8"/>
    <w:rsid w:val="5BBC213B"/>
    <w:rsid w:val="5BBF3FAD"/>
    <w:rsid w:val="5BCD4864"/>
    <w:rsid w:val="5BDB7E99"/>
    <w:rsid w:val="5BEC0925"/>
    <w:rsid w:val="5C092F49"/>
    <w:rsid w:val="5C1438D7"/>
    <w:rsid w:val="5C302297"/>
    <w:rsid w:val="5C4717FC"/>
    <w:rsid w:val="5C493B95"/>
    <w:rsid w:val="5C60459D"/>
    <w:rsid w:val="5C642249"/>
    <w:rsid w:val="5CD304A1"/>
    <w:rsid w:val="5CEF1BB7"/>
    <w:rsid w:val="5D0129E7"/>
    <w:rsid w:val="5D3136B9"/>
    <w:rsid w:val="5D343300"/>
    <w:rsid w:val="5DA54191"/>
    <w:rsid w:val="5DCB112C"/>
    <w:rsid w:val="5DD45BF4"/>
    <w:rsid w:val="5DED0AAB"/>
    <w:rsid w:val="5E43466F"/>
    <w:rsid w:val="5EA13258"/>
    <w:rsid w:val="5ECF4973"/>
    <w:rsid w:val="5ED33759"/>
    <w:rsid w:val="5EDB4B01"/>
    <w:rsid w:val="5EE573B5"/>
    <w:rsid w:val="5F0D6567"/>
    <w:rsid w:val="5F5F6011"/>
    <w:rsid w:val="5F8C6E48"/>
    <w:rsid w:val="5FEA38A8"/>
    <w:rsid w:val="5FF00093"/>
    <w:rsid w:val="5FF173C4"/>
    <w:rsid w:val="5FF963CA"/>
    <w:rsid w:val="60025A4D"/>
    <w:rsid w:val="60031E91"/>
    <w:rsid w:val="604A1B9C"/>
    <w:rsid w:val="604F4D68"/>
    <w:rsid w:val="607322A2"/>
    <w:rsid w:val="60860918"/>
    <w:rsid w:val="60D833E6"/>
    <w:rsid w:val="60E702D6"/>
    <w:rsid w:val="60F7788F"/>
    <w:rsid w:val="610801E3"/>
    <w:rsid w:val="610B412C"/>
    <w:rsid w:val="611167F7"/>
    <w:rsid w:val="61581673"/>
    <w:rsid w:val="616900F4"/>
    <w:rsid w:val="618420BD"/>
    <w:rsid w:val="619075D0"/>
    <w:rsid w:val="61994373"/>
    <w:rsid w:val="61AA15C3"/>
    <w:rsid w:val="61B5464A"/>
    <w:rsid w:val="61CB02E5"/>
    <w:rsid w:val="61E3616C"/>
    <w:rsid w:val="61EA7764"/>
    <w:rsid w:val="62117C2A"/>
    <w:rsid w:val="621D76E4"/>
    <w:rsid w:val="62237825"/>
    <w:rsid w:val="62387310"/>
    <w:rsid w:val="62614246"/>
    <w:rsid w:val="629159AB"/>
    <w:rsid w:val="629A089D"/>
    <w:rsid w:val="62B22684"/>
    <w:rsid w:val="62C21A6F"/>
    <w:rsid w:val="62D33612"/>
    <w:rsid w:val="63112ECF"/>
    <w:rsid w:val="63220E91"/>
    <w:rsid w:val="633A66D3"/>
    <w:rsid w:val="63441480"/>
    <w:rsid w:val="637547ED"/>
    <w:rsid w:val="63862835"/>
    <w:rsid w:val="63BE035D"/>
    <w:rsid w:val="63C40138"/>
    <w:rsid w:val="63D84A28"/>
    <w:rsid w:val="63EC30AB"/>
    <w:rsid w:val="641C285C"/>
    <w:rsid w:val="64287197"/>
    <w:rsid w:val="64467BB6"/>
    <w:rsid w:val="645A17F5"/>
    <w:rsid w:val="645C16D5"/>
    <w:rsid w:val="647C1084"/>
    <w:rsid w:val="647C705C"/>
    <w:rsid w:val="649D5C02"/>
    <w:rsid w:val="64A93ECC"/>
    <w:rsid w:val="64FD52F2"/>
    <w:rsid w:val="65224095"/>
    <w:rsid w:val="65284B5A"/>
    <w:rsid w:val="654808F3"/>
    <w:rsid w:val="654846D0"/>
    <w:rsid w:val="65561E53"/>
    <w:rsid w:val="657737A8"/>
    <w:rsid w:val="657A7D21"/>
    <w:rsid w:val="658E2061"/>
    <w:rsid w:val="65D0552E"/>
    <w:rsid w:val="65DD7BE4"/>
    <w:rsid w:val="65EF1C51"/>
    <w:rsid w:val="65F91112"/>
    <w:rsid w:val="6625788C"/>
    <w:rsid w:val="66421B9F"/>
    <w:rsid w:val="664E74D7"/>
    <w:rsid w:val="66903B70"/>
    <w:rsid w:val="669253B2"/>
    <w:rsid w:val="66C05CB6"/>
    <w:rsid w:val="66DA6804"/>
    <w:rsid w:val="6704291B"/>
    <w:rsid w:val="67251451"/>
    <w:rsid w:val="67480E9D"/>
    <w:rsid w:val="675C04F0"/>
    <w:rsid w:val="6764035B"/>
    <w:rsid w:val="67767FC4"/>
    <w:rsid w:val="67911F1A"/>
    <w:rsid w:val="6794293E"/>
    <w:rsid w:val="679624DD"/>
    <w:rsid w:val="67A404F4"/>
    <w:rsid w:val="67A4541D"/>
    <w:rsid w:val="684C258C"/>
    <w:rsid w:val="686D04CF"/>
    <w:rsid w:val="68A0424F"/>
    <w:rsid w:val="68B555C7"/>
    <w:rsid w:val="68BD268B"/>
    <w:rsid w:val="693E50D2"/>
    <w:rsid w:val="696D55E0"/>
    <w:rsid w:val="69856B73"/>
    <w:rsid w:val="69930C96"/>
    <w:rsid w:val="69B13807"/>
    <w:rsid w:val="69F47BDC"/>
    <w:rsid w:val="6A2B56C1"/>
    <w:rsid w:val="6A41200E"/>
    <w:rsid w:val="6A4D335F"/>
    <w:rsid w:val="6A6D38A1"/>
    <w:rsid w:val="6A7F4A8A"/>
    <w:rsid w:val="6A900E1B"/>
    <w:rsid w:val="6ABB54FC"/>
    <w:rsid w:val="6ADF1DDF"/>
    <w:rsid w:val="6AE05A6C"/>
    <w:rsid w:val="6B27720F"/>
    <w:rsid w:val="6B3B1DF1"/>
    <w:rsid w:val="6B4F18B9"/>
    <w:rsid w:val="6B51211E"/>
    <w:rsid w:val="6B5A0574"/>
    <w:rsid w:val="6B640D94"/>
    <w:rsid w:val="6B6A746E"/>
    <w:rsid w:val="6B88667F"/>
    <w:rsid w:val="6BA648AC"/>
    <w:rsid w:val="6BB55667"/>
    <w:rsid w:val="6BC47B2F"/>
    <w:rsid w:val="6BDE03FA"/>
    <w:rsid w:val="6C1110FB"/>
    <w:rsid w:val="6C317BA8"/>
    <w:rsid w:val="6C384433"/>
    <w:rsid w:val="6C400B64"/>
    <w:rsid w:val="6C4D3F0C"/>
    <w:rsid w:val="6C654D23"/>
    <w:rsid w:val="6C735892"/>
    <w:rsid w:val="6C843BEB"/>
    <w:rsid w:val="6C884449"/>
    <w:rsid w:val="6CA37D1B"/>
    <w:rsid w:val="6CAF27BA"/>
    <w:rsid w:val="6CB9189B"/>
    <w:rsid w:val="6CD14E71"/>
    <w:rsid w:val="6CE21A46"/>
    <w:rsid w:val="6CEE4C74"/>
    <w:rsid w:val="6D0E6654"/>
    <w:rsid w:val="6D4D394E"/>
    <w:rsid w:val="6DA37465"/>
    <w:rsid w:val="6DB15F72"/>
    <w:rsid w:val="6DC94C40"/>
    <w:rsid w:val="6DCB1ABC"/>
    <w:rsid w:val="6DEB4166"/>
    <w:rsid w:val="6DF654E0"/>
    <w:rsid w:val="6E090CDD"/>
    <w:rsid w:val="6E5C658F"/>
    <w:rsid w:val="6E742833"/>
    <w:rsid w:val="6E7A2789"/>
    <w:rsid w:val="6E850780"/>
    <w:rsid w:val="6E85721F"/>
    <w:rsid w:val="6EAC5677"/>
    <w:rsid w:val="6EB121B7"/>
    <w:rsid w:val="6EFD65BA"/>
    <w:rsid w:val="6F144179"/>
    <w:rsid w:val="6F4346CF"/>
    <w:rsid w:val="6F4E2140"/>
    <w:rsid w:val="6FF50713"/>
    <w:rsid w:val="70336063"/>
    <w:rsid w:val="70354087"/>
    <w:rsid w:val="70674154"/>
    <w:rsid w:val="709A7FB6"/>
    <w:rsid w:val="70A91EB0"/>
    <w:rsid w:val="70CC729F"/>
    <w:rsid w:val="70F83ADB"/>
    <w:rsid w:val="71086E16"/>
    <w:rsid w:val="7123070B"/>
    <w:rsid w:val="715327F1"/>
    <w:rsid w:val="7168787F"/>
    <w:rsid w:val="719D55BF"/>
    <w:rsid w:val="71A00266"/>
    <w:rsid w:val="71B056C6"/>
    <w:rsid w:val="71BA7558"/>
    <w:rsid w:val="71E35689"/>
    <w:rsid w:val="71E97497"/>
    <w:rsid w:val="72477098"/>
    <w:rsid w:val="724B4D81"/>
    <w:rsid w:val="725126B5"/>
    <w:rsid w:val="72AB75AE"/>
    <w:rsid w:val="72C87EE9"/>
    <w:rsid w:val="72D11B77"/>
    <w:rsid w:val="73011F0B"/>
    <w:rsid w:val="73127DA5"/>
    <w:rsid w:val="73360795"/>
    <w:rsid w:val="73545464"/>
    <w:rsid w:val="735D6BA8"/>
    <w:rsid w:val="739B6940"/>
    <w:rsid w:val="739F35A4"/>
    <w:rsid w:val="73A83AFC"/>
    <w:rsid w:val="73AE4233"/>
    <w:rsid w:val="73CD4284"/>
    <w:rsid w:val="73E138F7"/>
    <w:rsid w:val="73EB6578"/>
    <w:rsid w:val="74053272"/>
    <w:rsid w:val="74173552"/>
    <w:rsid w:val="744D74A2"/>
    <w:rsid w:val="74827EDF"/>
    <w:rsid w:val="74B368B8"/>
    <w:rsid w:val="74DE027C"/>
    <w:rsid w:val="74DE1926"/>
    <w:rsid w:val="7529210A"/>
    <w:rsid w:val="75307249"/>
    <w:rsid w:val="755666D6"/>
    <w:rsid w:val="75592EB1"/>
    <w:rsid w:val="757E7ADE"/>
    <w:rsid w:val="759136DE"/>
    <w:rsid w:val="75BD03F6"/>
    <w:rsid w:val="75BD6828"/>
    <w:rsid w:val="75EA440D"/>
    <w:rsid w:val="764650F4"/>
    <w:rsid w:val="768532B4"/>
    <w:rsid w:val="768F7AD8"/>
    <w:rsid w:val="76927A32"/>
    <w:rsid w:val="76931B28"/>
    <w:rsid w:val="76A16BBA"/>
    <w:rsid w:val="76C20D28"/>
    <w:rsid w:val="76CD418E"/>
    <w:rsid w:val="76EE2DD7"/>
    <w:rsid w:val="76F77363"/>
    <w:rsid w:val="770657B2"/>
    <w:rsid w:val="773667CF"/>
    <w:rsid w:val="77385137"/>
    <w:rsid w:val="77541E35"/>
    <w:rsid w:val="77562D5B"/>
    <w:rsid w:val="776209B2"/>
    <w:rsid w:val="777A713B"/>
    <w:rsid w:val="77B10359"/>
    <w:rsid w:val="77CA1E5B"/>
    <w:rsid w:val="77E955B5"/>
    <w:rsid w:val="77E96264"/>
    <w:rsid w:val="783B5C8E"/>
    <w:rsid w:val="787874E2"/>
    <w:rsid w:val="787C7F7A"/>
    <w:rsid w:val="78C55A2A"/>
    <w:rsid w:val="78CB6D00"/>
    <w:rsid w:val="79581B86"/>
    <w:rsid w:val="79892936"/>
    <w:rsid w:val="79910617"/>
    <w:rsid w:val="799B748F"/>
    <w:rsid w:val="79AB546F"/>
    <w:rsid w:val="79DA6842"/>
    <w:rsid w:val="79E2123E"/>
    <w:rsid w:val="79ED60C1"/>
    <w:rsid w:val="79FE566C"/>
    <w:rsid w:val="7A785B29"/>
    <w:rsid w:val="7A82332F"/>
    <w:rsid w:val="7A936F0B"/>
    <w:rsid w:val="7A9C6723"/>
    <w:rsid w:val="7ABF2DFB"/>
    <w:rsid w:val="7AC20720"/>
    <w:rsid w:val="7ADD24AD"/>
    <w:rsid w:val="7ADF5590"/>
    <w:rsid w:val="7B37553A"/>
    <w:rsid w:val="7B4A792C"/>
    <w:rsid w:val="7B657094"/>
    <w:rsid w:val="7B6769A1"/>
    <w:rsid w:val="7B8F705E"/>
    <w:rsid w:val="7BBD2601"/>
    <w:rsid w:val="7BE426F1"/>
    <w:rsid w:val="7C5A7D1C"/>
    <w:rsid w:val="7C857499"/>
    <w:rsid w:val="7C864CE1"/>
    <w:rsid w:val="7CA450BC"/>
    <w:rsid w:val="7CA86FEA"/>
    <w:rsid w:val="7CC74C62"/>
    <w:rsid w:val="7CD87A8A"/>
    <w:rsid w:val="7D06526E"/>
    <w:rsid w:val="7D090267"/>
    <w:rsid w:val="7D1822D0"/>
    <w:rsid w:val="7D65199E"/>
    <w:rsid w:val="7D684390"/>
    <w:rsid w:val="7D6B7734"/>
    <w:rsid w:val="7D9328C0"/>
    <w:rsid w:val="7DAB59CB"/>
    <w:rsid w:val="7DEB1065"/>
    <w:rsid w:val="7DF566DE"/>
    <w:rsid w:val="7E0B703A"/>
    <w:rsid w:val="7E42589E"/>
    <w:rsid w:val="7E4B260E"/>
    <w:rsid w:val="7E512DE8"/>
    <w:rsid w:val="7E625BD5"/>
    <w:rsid w:val="7E781CF0"/>
    <w:rsid w:val="7E7955DA"/>
    <w:rsid w:val="7E795C5E"/>
    <w:rsid w:val="7EA52781"/>
    <w:rsid w:val="7EEF01C4"/>
    <w:rsid w:val="7F2D0BAF"/>
    <w:rsid w:val="7F696DFA"/>
    <w:rsid w:val="7F6A78B8"/>
    <w:rsid w:val="7F737AE3"/>
    <w:rsid w:val="7FD16160"/>
    <w:rsid w:val="7FE5366D"/>
    <w:rsid w:val="7FF11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customStyle="1" w:styleId="2">
    <w:name w:val="Heading2"/>
    <w:basedOn w:val="1"/>
    <w:next w:val="1"/>
    <w:qFormat/>
    <w:uiPriority w:val="0"/>
    <w:pPr>
      <w:keepNext/>
      <w:keepLines/>
      <w:spacing w:before="260" w:after="260" w:line="416" w:lineRule="auto"/>
      <w:jc w:val="both"/>
      <w:textAlignment w:val="baseline"/>
    </w:pPr>
    <w:rPr>
      <w:rFonts w:ascii="Cambria" w:hAnsi="Cambria" w:eastAsia="宋体" w:cs="Times New Roman"/>
      <w:b/>
      <w:bCs/>
      <w:kern w:val="2"/>
      <w:sz w:val="30"/>
      <w:szCs w:val="32"/>
      <w:lang w:val="en-US" w:eastAsia="zh-CN" w:bidi="ar-SA"/>
    </w:rPr>
  </w:style>
  <w:style w:type="paragraph" w:styleId="3">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
    <w:name w:val="正文1 Char Char Char"/>
    <w:qFormat/>
    <w:uiPriority w:val="99"/>
    <w:pPr>
      <w:widowControl w:val="0"/>
      <w:spacing w:line="360" w:lineRule="auto"/>
      <w:ind w:firstLine="200" w:firstLineChars="20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30</Pages>
  <Words>14437</Words>
  <Characters>16168</Characters>
  <Lines>15</Lines>
  <Paragraphs>14</Paragraphs>
  <TotalTime>13</TotalTime>
  <ScaleCrop>false</ScaleCrop>
  <LinksUpToDate>false</LinksUpToDate>
  <CharactersWithSpaces>16652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2022-05-05T08:02:00Z</dcterms:created>
  <dc:creator>Administrator</dc:creator>
  <cp:lastModifiedBy>Administrator</cp:lastModifiedBy>
  <cp:lastPrinted>2022-06-08T09:08:00Z</cp:lastPrinted>
  <dcterms:modified xsi:type="dcterms:W3CDTF">2022-10-21T09:05:09Z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3396F40CA568472BACF809E160575622</vt:lpwstr>
  </property>
</Properties>
</file>