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460"/>
        <w:gridCol w:w="795"/>
        <w:gridCol w:w="795"/>
        <w:gridCol w:w="532"/>
        <w:gridCol w:w="83"/>
        <w:gridCol w:w="465"/>
        <w:gridCol w:w="90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用于解决浮梁通用机场项目征地资金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3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浮梁县自然资源和规划局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浮梁县土地储备中心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</w:t>
            </w:r>
            <w:bookmarkEnd w:id="0"/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303.3521万</w:t>
            </w: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303.3521万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浮府办抄字（2021）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231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号文件，对于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解决浮梁通用机场项目征地资金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做到专款专项，在规定时间内做到土地及时征收到位。</w:t>
            </w:r>
          </w:p>
        </w:tc>
        <w:tc>
          <w:tcPr>
            <w:tcW w:w="33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征地及时征收到位，资金做到专款专项。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储备地面积（亩）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169.85</w:t>
            </w:r>
            <w:r>
              <w:rPr>
                <w:rFonts w:hint="eastAsia" w:ascii="宋体"/>
                <w:kern w:val="0"/>
                <w:sz w:val="18"/>
                <w:szCs w:val="18"/>
              </w:rPr>
              <w:t>亩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净地覆盖率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相关部门验收合格率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征地完成及时性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征地资金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303.3521万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303.3521万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完善配套基础设施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尽量在项目施工时更加完善配套的基础设施，做到顺利完成整个项目工程。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合理利用土地资源，产生更大的社会效益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对土地资源利用应坚持土地尽其用、用尽其利的原则，减少和杜绝浪费现象。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改善用地区域内生态环境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尽量在项目施工是时不破坏周边的生态环境。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对后续项目施工产生持续影响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受群众满意度（%）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虚心接受群众提出意见，争取做到每个人都满意。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2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ODAwZTllODVjODY5MmExOGM0ZjFjMDQwYjI5YmUifQ=="/>
  </w:docVars>
  <w:rsids>
    <w:rsidRoot w:val="44BB5541"/>
    <w:rsid w:val="44BB5541"/>
    <w:rsid w:val="46276996"/>
    <w:rsid w:val="54B822A1"/>
    <w:rsid w:val="5FCF4646"/>
    <w:rsid w:val="7E937C64"/>
    <w:rsid w:val="7EF9775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597</Words>
  <Characters>737</Characters>
  <Lines>0</Lines>
  <Paragraphs>0</Paragraphs>
  <TotalTime>0</TotalTime>
  <ScaleCrop>false</ScaleCrop>
  <LinksUpToDate>false</LinksUpToDate>
  <CharactersWithSpaces>745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2022-05-23T06:54:00Z</dcterms:created>
  <dc:creator>DELL</dc:creator>
  <cp:lastModifiedBy>Administrator</cp:lastModifiedBy>
  <dcterms:modified xsi:type="dcterms:W3CDTF">2022-06-07T03:23:27Z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6C28DFF40A024C39BD9FC035A9140585</vt:lpwstr>
  </property>
</Properties>
</file>