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BAC4">
      <w:pPr>
        <w:pStyle w:val="17"/>
        <w:rPr>
          <w:rFonts w:hint="default"/>
        </w:rPr>
      </w:pPr>
      <w:r>
        <w:t>浮梁县自然资源和规划局2026年部门预算</w:t>
      </w:r>
    </w:p>
    <w:p w14:paraId="70ADC513">
      <w:pPr>
        <w:pStyle w:val="14"/>
        <w:spacing w:line="600" w:lineRule="atLeast"/>
        <w:jc w:val="center"/>
        <w:rPr>
          <w:rFonts w:ascii="黑体" w:hAnsi="黑体" w:eastAsia="黑体"/>
          <w:color w:val="000000"/>
          <w:sz w:val="32"/>
          <w:szCs w:val="32"/>
        </w:rPr>
      </w:pPr>
    </w:p>
    <w:p w14:paraId="656E372B">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B6A4B4C">
      <w:pPr>
        <w:pStyle w:val="14"/>
        <w:rPr>
          <w:rFonts w:ascii="宋体" w:hAnsi="宋体"/>
          <w:color w:val="000000"/>
        </w:rPr>
      </w:pPr>
    </w:p>
    <w:p w14:paraId="5B337B93">
      <w:pPr>
        <w:pStyle w:val="18"/>
        <w:numPr>
          <w:ilvl w:val="0"/>
          <w:numId w:val="0"/>
        </w:numPr>
        <w:ind w:left="420" w:leftChars="200"/>
        <w:jc w:val="left"/>
      </w:pPr>
      <w:r>
        <w:rPr>
          <w:rFonts w:hint="eastAsia"/>
        </w:rPr>
        <w:t>第一部分  浮梁县自然资源和规划局概况</w:t>
      </w:r>
    </w:p>
    <w:p w14:paraId="168833A9">
      <w:pPr>
        <w:pStyle w:val="19"/>
        <w:ind w:firstLine="640"/>
        <w:rPr>
          <w:rFonts w:cs="仿宋_GB2312"/>
        </w:rPr>
      </w:pPr>
      <w:r>
        <w:rPr>
          <w:rFonts w:hint="eastAsia" w:cs="仿宋_GB2312"/>
        </w:rPr>
        <w:t>一、部门主要职责</w:t>
      </w:r>
    </w:p>
    <w:p w14:paraId="68EDEB2F">
      <w:pPr>
        <w:pStyle w:val="19"/>
        <w:ind w:firstLine="640"/>
        <w:rPr>
          <w:rFonts w:cs="仿宋_GB2312"/>
        </w:rPr>
      </w:pPr>
      <w:r>
        <w:rPr>
          <w:rFonts w:hint="eastAsia" w:cs="仿宋_GB2312"/>
        </w:rPr>
        <w:t>二、机构设置及人员情况</w:t>
      </w:r>
    </w:p>
    <w:p w14:paraId="20A22441">
      <w:pPr>
        <w:pStyle w:val="18"/>
        <w:numPr>
          <w:ilvl w:val="0"/>
          <w:numId w:val="0"/>
        </w:numPr>
        <w:ind w:left="420" w:leftChars="200"/>
        <w:jc w:val="left"/>
      </w:pPr>
      <w:r>
        <w:rPr>
          <w:rFonts w:hint="eastAsia"/>
        </w:rPr>
        <w:t>第二部分  浮梁县自然资源和规划局2026年部门预算表</w:t>
      </w:r>
    </w:p>
    <w:p w14:paraId="566FF7B8">
      <w:pPr>
        <w:pStyle w:val="19"/>
        <w:ind w:firstLine="640"/>
        <w:rPr>
          <w:rFonts w:cs="仿宋_GB2312"/>
        </w:rPr>
      </w:pPr>
      <w:r>
        <w:rPr>
          <w:rFonts w:hint="eastAsia" w:cs="仿宋_GB2312"/>
        </w:rPr>
        <w:t>一、《收支预算总表》</w:t>
      </w:r>
    </w:p>
    <w:p w14:paraId="3F5DD454">
      <w:pPr>
        <w:pStyle w:val="19"/>
        <w:ind w:firstLine="640"/>
        <w:rPr>
          <w:rFonts w:cs="仿宋_GB2312"/>
        </w:rPr>
      </w:pPr>
      <w:r>
        <w:rPr>
          <w:rFonts w:hint="eastAsia" w:cs="仿宋_GB2312"/>
        </w:rPr>
        <w:t>二、《部门收入总表》</w:t>
      </w:r>
    </w:p>
    <w:p w14:paraId="676CE47E">
      <w:pPr>
        <w:pStyle w:val="19"/>
        <w:ind w:firstLine="640"/>
        <w:rPr>
          <w:rFonts w:cs="仿宋_GB2312"/>
        </w:rPr>
      </w:pPr>
      <w:r>
        <w:rPr>
          <w:rFonts w:hint="eastAsia" w:cs="仿宋_GB2312"/>
        </w:rPr>
        <w:t>三、《部门支出总表》</w:t>
      </w:r>
    </w:p>
    <w:p w14:paraId="476ECF09">
      <w:pPr>
        <w:pStyle w:val="19"/>
        <w:ind w:firstLine="640"/>
        <w:rPr>
          <w:rFonts w:cs="仿宋_GB2312"/>
        </w:rPr>
      </w:pPr>
      <w:r>
        <w:rPr>
          <w:rFonts w:hint="eastAsia" w:cs="仿宋_GB2312"/>
        </w:rPr>
        <w:t>四、《财政拨款收支总表》</w:t>
      </w:r>
    </w:p>
    <w:p w14:paraId="640CBF98">
      <w:pPr>
        <w:pStyle w:val="19"/>
        <w:ind w:firstLine="640"/>
        <w:rPr>
          <w:rFonts w:cs="仿宋_GB2312"/>
        </w:rPr>
      </w:pPr>
      <w:r>
        <w:rPr>
          <w:rFonts w:hint="eastAsia" w:cs="仿宋_GB2312"/>
        </w:rPr>
        <w:t>五、《一般公共预算支出表》</w:t>
      </w:r>
    </w:p>
    <w:p w14:paraId="3FBB1380">
      <w:pPr>
        <w:pStyle w:val="19"/>
        <w:ind w:firstLine="640"/>
        <w:rPr>
          <w:rFonts w:cs="仿宋_GB2312"/>
        </w:rPr>
      </w:pPr>
      <w:r>
        <w:rPr>
          <w:rFonts w:hint="eastAsia" w:cs="仿宋_GB2312"/>
        </w:rPr>
        <w:t>六、《一般公共预算基本支出表》</w:t>
      </w:r>
    </w:p>
    <w:p w14:paraId="4A2E0A2B">
      <w:pPr>
        <w:pStyle w:val="19"/>
        <w:ind w:firstLine="640"/>
        <w:rPr>
          <w:rFonts w:cs="仿宋_GB2312"/>
        </w:rPr>
      </w:pPr>
      <w:r>
        <w:rPr>
          <w:rFonts w:hint="eastAsia" w:cs="仿宋_GB2312"/>
        </w:rPr>
        <w:t>七、《财政拨款“三公”经费支出表》</w:t>
      </w:r>
    </w:p>
    <w:p w14:paraId="629B97A4">
      <w:pPr>
        <w:pStyle w:val="19"/>
        <w:ind w:firstLine="640"/>
        <w:rPr>
          <w:rFonts w:cs="仿宋_GB2312"/>
        </w:rPr>
      </w:pPr>
      <w:r>
        <w:rPr>
          <w:rFonts w:hint="eastAsia" w:cs="仿宋_GB2312"/>
        </w:rPr>
        <w:t>八、《政府性基金预算支出表》</w:t>
      </w:r>
    </w:p>
    <w:p w14:paraId="0A79B8D6">
      <w:pPr>
        <w:pStyle w:val="19"/>
        <w:ind w:firstLine="640"/>
        <w:rPr>
          <w:rFonts w:cs="仿宋_GB2312"/>
        </w:rPr>
      </w:pPr>
      <w:r>
        <w:rPr>
          <w:rFonts w:hint="eastAsia" w:cs="仿宋_GB2312"/>
        </w:rPr>
        <w:t>九、《国有资本经营预算支出表》</w:t>
      </w:r>
      <w:r>
        <w:rPr>
          <w:rFonts w:hint="eastAsia" w:cs="仿宋_GB2312"/>
        </w:rPr>
        <w:tab/>
      </w:r>
    </w:p>
    <w:p w14:paraId="48544D3D">
      <w:pPr>
        <w:pStyle w:val="19"/>
        <w:ind w:firstLine="640"/>
        <w:rPr>
          <w:rFonts w:cs="仿宋_GB2312"/>
        </w:rPr>
      </w:pPr>
      <w:r>
        <w:rPr>
          <w:rFonts w:hint="eastAsia" w:cs="仿宋_GB2312"/>
        </w:rPr>
        <w:t>十、《部门整体绩效目标》</w:t>
      </w:r>
    </w:p>
    <w:p w14:paraId="16A732F4">
      <w:pPr>
        <w:pStyle w:val="19"/>
        <w:ind w:firstLine="640"/>
        <w:rPr>
          <w:rFonts w:cs="仿宋_GB2312"/>
        </w:rPr>
      </w:pPr>
      <w:r>
        <w:rPr>
          <w:rFonts w:hint="eastAsia" w:cs="仿宋_GB2312"/>
        </w:rPr>
        <w:t>十一、《项目绩效目标表》</w:t>
      </w:r>
    </w:p>
    <w:p w14:paraId="789ED9B6">
      <w:pPr>
        <w:pStyle w:val="18"/>
        <w:numPr>
          <w:ilvl w:val="0"/>
          <w:numId w:val="0"/>
        </w:numPr>
        <w:ind w:left="420" w:leftChars="200"/>
        <w:jc w:val="left"/>
      </w:pPr>
      <w:r>
        <w:rPr>
          <w:rFonts w:hint="eastAsia"/>
        </w:rPr>
        <w:t>第三部分 浮梁县自然资源和规划局 2026年部门预算情况说明</w:t>
      </w:r>
    </w:p>
    <w:p w14:paraId="323362B8">
      <w:pPr>
        <w:pStyle w:val="19"/>
        <w:ind w:firstLine="640"/>
        <w:rPr>
          <w:rFonts w:cs="仿宋_GB2312"/>
        </w:rPr>
      </w:pPr>
      <w:r>
        <w:rPr>
          <w:rFonts w:hint="eastAsia" w:cs="仿宋_GB2312"/>
        </w:rPr>
        <w:t>一、2026年部门预算收支情况说明</w:t>
      </w:r>
    </w:p>
    <w:p w14:paraId="539CC78B">
      <w:pPr>
        <w:pStyle w:val="19"/>
        <w:ind w:firstLine="640"/>
        <w:rPr>
          <w:rFonts w:cs="仿宋_GB2312"/>
        </w:rPr>
      </w:pPr>
      <w:r>
        <w:rPr>
          <w:rFonts w:hint="eastAsia" w:cs="仿宋_GB2312"/>
        </w:rPr>
        <w:t>二、2026年财政拨款“三公”经费预算情况说明</w:t>
      </w:r>
    </w:p>
    <w:p w14:paraId="178CFF46">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1DBED7A6">
      <w:pPr>
        <w:pStyle w:val="18"/>
        <w:numPr>
          <w:ilvl w:val="0"/>
          <w:numId w:val="0"/>
        </w:numPr>
        <w:ind w:left="420" w:leftChars="200"/>
        <w:jc w:val="left"/>
      </w:pPr>
      <w:r>
        <w:rPr>
          <w:rFonts w:hint="eastAsia"/>
        </w:rPr>
        <w:t>第四部分  名词解释</w:t>
      </w:r>
    </w:p>
    <w:p w14:paraId="03224E17">
      <w:pPr>
        <w:widowControl/>
        <w:spacing w:line="580" w:lineRule="exact"/>
        <w:jc w:val="center"/>
        <w:rPr>
          <w:rFonts w:ascii="仿宋_GB2312" w:eastAsia="仿宋_GB2312"/>
          <w:b/>
          <w:sz w:val="32"/>
          <w:szCs w:val="30"/>
        </w:rPr>
      </w:pPr>
    </w:p>
    <w:p w14:paraId="03417369">
      <w:pPr>
        <w:widowControl/>
        <w:spacing w:line="580" w:lineRule="exact"/>
        <w:jc w:val="center"/>
        <w:rPr>
          <w:rFonts w:ascii="仿宋_GB2312" w:eastAsia="仿宋_GB2312"/>
          <w:b/>
          <w:sz w:val="32"/>
          <w:szCs w:val="30"/>
        </w:rPr>
      </w:pPr>
    </w:p>
    <w:p w14:paraId="0C6A4814">
      <w:pPr>
        <w:pStyle w:val="18"/>
        <w:numPr>
          <w:ilvl w:val="0"/>
          <w:numId w:val="0"/>
        </w:numPr>
        <w:ind w:left="420" w:leftChars="200"/>
        <w:jc w:val="center"/>
      </w:pPr>
      <w:r>
        <w:rPr>
          <w:rFonts w:hint="eastAsia"/>
        </w:rPr>
        <w:t>第一部分  浮梁县自然资源和规划局概况</w:t>
      </w:r>
    </w:p>
    <w:p w14:paraId="4958DA2F">
      <w:pPr>
        <w:widowControl/>
        <w:spacing w:line="580" w:lineRule="exact"/>
        <w:jc w:val="left"/>
        <w:rPr>
          <w:rFonts w:asciiTheme="minorEastAsia" w:hAnsiTheme="minorEastAsia"/>
          <w:b/>
          <w:sz w:val="36"/>
          <w:szCs w:val="36"/>
        </w:rPr>
      </w:pPr>
    </w:p>
    <w:p w14:paraId="647EB763">
      <w:pPr>
        <w:pStyle w:val="18"/>
        <w:numPr>
          <w:ilvl w:val="0"/>
          <w:numId w:val="0"/>
        </w:numPr>
        <w:ind w:left="420" w:leftChars="200" w:firstLine="320" w:firstLineChars="100"/>
      </w:pPr>
      <w:r>
        <w:rPr>
          <w:rFonts w:hint="eastAsia"/>
        </w:rPr>
        <w:t>一、部门主要职责</w:t>
      </w:r>
    </w:p>
    <w:p w14:paraId="2898106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142BB0B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02545FB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0B36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5E62565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50C1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24D999D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5A4FDC8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12ED1FFC">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0B3ED4C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34AA1256">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0A0CB70B">
      <w:pPr>
        <w:spacing w:line="360" w:lineRule="auto"/>
        <w:ind w:firstLine="640" w:firstLineChars="200"/>
        <w:rPr>
          <w:rFonts w:cs="仿宋_GB231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3253B8FD">
      <w:pPr>
        <w:pStyle w:val="18"/>
        <w:numPr>
          <w:ilvl w:val="0"/>
          <w:numId w:val="0"/>
        </w:numPr>
        <w:ind w:left="420" w:leftChars="200" w:firstLine="320" w:firstLineChars="100"/>
      </w:pPr>
      <w:r>
        <w:rPr>
          <w:rFonts w:hint="eastAsia"/>
        </w:rPr>
        <w:t>二、机构设置及人员情况</w:t>
      </w:r>
    </w:p>
    <w:p w14:paraId="26B17941">
      <w:pPr>
        <w:pStyle w:val="19"/>
        <w:ind w:firstLine="640"/>
        <w:rPr>
          <w:rFonts w:cs="仿宋_GB2312"/>
        </w:rPr>
      </w:pPr>
      <w:r>
        <w:rPr>
          <w:rFonts w:hint="eastAsia" w:cs="仿宋_GB2312"/>
        </w:rPr>
        <w:t>浮梁县自然资源和规划局共有预算单位2个，包括浮梁县自然资源和规划局和1个所属预算单位，所属预算单位具体包括：浮梁县自然资源储备利用中心。</w:t>
      </w:r>
      <w:r>
        <w:rPr>
          <w:rFonts w:hint="eastAsia" w:ascii="仿宋_GB2312" w:hAnsi="仿宋_GB2312" w:eastAsia="仿宋_GB2312" w:cs="仿宋_GB2312"/>
          <w:sz w:val="32"/>
          <w:szCs w:val="32"/>
          <w:lang w:val="en-US" w:eastAsia="zh-CN"/>
        </w:rPr>
        <w:t>本单位属于行政单位，财务隶属于浮梁县财政局，法定人代表：林群，地址为浮梁县朝阳中大道77号，2026年年初编制人数1</w:t>
      </w:r>
      <w:r>
        <w:rPr>
          <w:rFonts w:hint="eastAsia" w:cs="仿宋_GB2312"/>
          <w:sz w:val="32"/>
          <w:szCs w:val="32"/>
          <w:lang w:val="en-US" w:eastAsia="zh-CN"/>
        </w:rPr>
        <w:t>19</w:t>
      </w:r>
      <w:r>
        <w:rPr>
          <w:rFonts w:hint="eastAsia" w:ascii="仿宋_GB2312" w:hAnsi="仿宋_GB2312" w:eastAsia="仿宋_GB2312" w:cs="仿宋_GB2312"/>
          <w:sz w:val="32"/>
          <w:szCs w:val="32"/>
          <w:lang w:val="en-US" w:eastAsia="zh-CN"/>
        </w:rPr>
        <w:t>人，其中：行政编制13人，事业编制</w:t>
      </w:r>
      <w:r>
        <w:rPr>
          <w:rFonts w:hint="eastAsia" w:cs="仿宋_GB2312"/>
          <w:sz w:val="32"/>
          <w:szCs w:val="32"/>
          <w:lang w:val="en-US" w:eastAsia="zh-CN"/>
        </w:rPr>
        <w:t>106</w:t>
      </w:r>
      <w:r>
        <w:rPr>
          <w:rFonts w:hint="eastAsia" w:ascii="仿宋_GB2312" w:hAnsi="仿宋_GB2312" w:eastAsia="仿宋_GB2312" w:cs="仿宋_GB2312"/>
          <w:sz w:val="32"/>
          <w:szCs w:val="32"/>
          <w:lang w:val="en-US" w:eastAsia="zh-CN"/>
        </w:rPr>
        <w:t>人；实有在</w:t>
      </w:r>
      <w:r>
        <w:rPr>
          <w:rFonts w:hint="eastAsia" w:cs="仿宋_GB2312"/>
          <w:sz w:val="32"/>
          <w:szCs w:val="32"/>
          <w:lang w:val="en-US" w:eastAsia="zh-CN"/>
        </w:rPr>
        <w:t>编在岗</w:t>
      </w:r>
      <w:r>
        <w:rPr>
          <w:rFonts w:hint="eastAsia" w:ascii="仿宋_GB2312" w:hAnsi="仿宋_GB2312" w:eastAsia="仿宋_GB2312" w:cs="仿宋_GB2312"/>
          <w:sz w:val="32"/>
          <w:szCs w:val="32"/>
          <w:lang w:val="en-US" w:eastAsia="zh-CN"/>
        </w:rPr>
        <w:t>职人员</w:t>
      </w:r>
      <w:r>
        <w:rPr>
          <w:rFonts w:hint="eastAsia" w:cs="仿宋_GB2312"/>
          <w:sz w:val="32"/>
          <w:szCs w:val="32"/>
          <w:lang w:val="en-US" w:eastAsia="zh-CN"/>
        </w:rPr>
        <w:t>94</w:t>
      </w:r>
      <w:r>
        <w:rPr>
          <w:rFonts w:hint="eastAsia" w:ascii="仿宋_GB2312" w:hAnsi="仿宋_GB2312" w:eastAsia="仿宋_GB2312" w:cs="仿宋_GB2312"/>
          <w:sz w:val="32"/>
          <w:szCs w:val="32"/>
          <w:lang w:val="en-US" w:eastAsia="zh-CN"/>
        </w:rPr>
        <w:t>人</w:t>
      </w:r>
      <w:r>
        <w:rPr>
          <w:rFonts w:hint="eastAsia" w:cs="仿宋_GB2312"/>
          <w:sz w:val="32"/>
          <w:szCs w:val="32"/>
          <w:lang w:val="en-US" w:eastAsia="zh-CN"/>
        </w:rPr>
        <w:t>，</w:t>
      </w:r>
      <w:r>
        <w:rPr>
          <w:rFonts w:hint="eastAsia" w:ascii="仿宋_GB2312" w:hAnsi="仿宋_GB2312" w:eastAsia="仿宋_GB2312" w:cs="仿宋_GB2312"/>
          <w:lang w:eastAsia="zh-CN"/>
        </w:rPr>
        <w:t>自聘人员</w:t>
      </w:r>
      <w:r>
        <w:rPr>
          <w:rFonts w:hint="eastAsia" w:cs="仿宋_GB2312"/>
          <w:lang w:val="en-US" w:eastAsia="zh-CN"/>
        </w:rPr>
        <w:t>20</w:t>
      </w:r>
      <w:r>
        <w:rPr>
          <w:rFonts w:hint="eastAsia" w:ascii="仿宋_GB2312" w:hAnsi="仿宋_GB2312" w:eastAsia="仿宋_GB2312" w:cs="仿宋_GB2312"/>
          <w:lang w:eastAsia="zh-CN"/>
        </w:rPr>
        <w:t>人</w:t>
      </w:r>
      <w:r>
        <w:rPr>
          <w:rFonts w:hint="eastAsia" w:ascii="仿宋_GB2312" w:hAnsi="仿宋_GB2312" w:eastAsia="仿宋_GB2312" w:cs="仿宋_GB2312"/>
          <w:sz w:val="32"/>
          <w:szCs w:val="32"/>
          <w:lang w:val="en-US" w:eastAsia="zh-CN"/>
        </w:rPr>
        <w:t>。</w:t>
      </w:r>
      <w:bookmarkStart w:id="0" w:name="_GoBack"/>
      <w:bookmarkEnd w:id="0"/>
    </w:p>
    <w:p w14:paraId="3A6A10C9">
      <w:pPr>
        <w:pStyle w:val="19"/>
        <w:ind w:firstLine="640"/>
        <w:rPr>
          <w:rFonts w:hint="eastAsia" w:cs="仿宋_GB2312"/>
        </w:rPr>
      </w:pPr>
    </w:p>
    <w:p w14:paraId="20BD545A">
      <w:pPr>
        <w:pStyle w:val="19"/>
        <w:ind w:firstLine="640"/>
        <w:rPr>
          <w:rFonts w:cs="仿宋_GB2312"/>
        </w:rPr>
      </w:pPr>
    </w:p>
    <w:p w14:paraId="0E265A2F">
      <w:pPr>
        <w:widowControl/>
        <w:spacing w:line="580" w:lineRule="exact"/>
        <w:jc w:val="center"/>
        <w:rPr>
          <w:rFonts w:ascii="仿宋_GB2312" w:eastAsia="仿宋_GB2312"/>
          <w:b/>
          <w:szCs w:val="30"/>
        </w:rPr>
      </w:pPr>
    </w:p>
    <w:p w14:paraId="44D689ED">
      <w:pPr>
        <w:pStyle w:val="18"/>
        <w:numPr>
          <w:ilvl w:val="0"/>
          <w:numId w:val="0"/>
        </w:numPr>
        <w:ind w:left="420" w:leftChars="200"/>
        <w:jc w:val="center"/>
      </w:pPr>
      <w:r>
        <w:rPr>
          <w:rFonts w:hint="eastAsia"/>
        </w:rPr>
        <w:t>第二部分  浮梁县自然资源和规划局2026年部门预算表</w:t>
      </w:r>
    </w:p>
    <w:p w14:paraId="57CA67D2">
      <w:pPr>
        <w:pStyle w:val="18"/>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0ABEC2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4D3BD90">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4F36EB5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D2446D0">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填报单位:314浮梁县自然资源和规划局</w:t>
            </w:r>
          </w:p>
        </w:tc>
        <w:tc>
          <w:tcPr>
            <w:tcW w:w="1655" w:type="pct"/>
            <w:noWrap/>
            <w:vAlign w:val="bottom"/>
          </w:tcPr>
          <w:p w14:paraId="0FC71D0B">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15CBB53C">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12DAD35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4C91C7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8F98D5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1D84D7A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4B65D1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59BC984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5A037A0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8F26C5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28A100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BA6E6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16BDC8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10,573.86</w:t>
            </w:r>
          </w:p>
        </w:tc>
        <w:tc>
          <w:tcPr>
            <w:tcW w:w="1655" w:type="pct"/>
            <w:tcBorders>
              <w:top w:val="nil"/>
              <w:left w:val="nil"/>
              <w:bottom w:val="single" w:color="000000" w:sz="4" w:space="0"/>
              <w:right w:val="single" w:color="000000" w:sz="4" w:space="0"/>
            </w:tcBorders>
            <w:noWrap/>
            <w:vAlign w:val="center"/>
          </w:tcPr>
          <w:p w14:paraId="066539A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3B405ACE">
            <w:pPr>
              <w:widowControl/>
              <w:snapToGrid w:val="0"/>
              <w:jc w:val="center"/>
              <w:textAlignment w:val="center"/>
              <w:rPr>
                <w:rFonts w:asciiTheme="minorEastAsia" w:hAnsiTheme="minorEastAsia" w:cstheme="minorEastAsia"/>
                <w:color w:val="000000"/>
                <w:kern w:val="0"/>
                <w:szCs w:val="21"/>
                <w:lang w:bidi="ar"/>
              </w:rPr>
            </w:pPr>
            <w:r>
              <w:t>229.31</w:t>
            </w:r>
          </w:p>
        </w:tc>
      </w:tr>
      <w:tr w14:paraId="5962A9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970BD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EDE08F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2,142.40</w:t>
            </w:r>
          </w:p>
        </w:tc>
        <w:tc>
          <w:tcPr>
            <w:tcW w:w="1655" w:type="pct"/>
            <w:tcBorders>
              <w:top w:val="nil"/>
              <w:left w:val="nil"/>
              <w:bottom w:val="single" w:color="000000" w:sz="4" w:space="0"/>
              <w:right w:val="single" w:color="000000" w:sz="4" w:space="0"/>
            </w:tcBorders>
            <w:noWrap/>
            <w:vAlign w:val="center"/>
          </w:tcPr>
          <w:p w14:paraId="31AB14EA">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5CB97B7">
            <w:pPr>
              <w:widowControl/>
              <w:snapToGrid w:val="0"/>
              <w:jc w:val="center"/>
              <w:textAlignment w:val="center"/>
              <w:rPr>
                <w:rFonts w:asciiTheme="minorEastAsia" w:hAnsiTheme="minorEastAsia" w:cstheme="minorEastAsia"/>
                <w:color w:val="000000"/>
                <w:kern w:val="0"/>
                <w:szCs w:val="21"/>
                <w:lang w:bidi="ar"/>
              </w:rPr>
            </w:pPr>
            <w:r>
              <w:t>63.70</w:t>
            </w:r>
          </w:p>
        </w:tc>
      </w:tr>
      <w:tr w14:paraId="524FC5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34702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E1E411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8,431.46</w:t>
            </w:r>
          </w:p>
        </w:tc>
        <w:tc>
          <w:tcPr>
            <w:tcW w:w="1655" w:type="pct"/>
            <w:tcBorders>
              <w:top w:val="nil"/>
              <w:left w:val="nil"/>
              <w:bottom w:val="single" w:color="000000" w:sz="4" w:space="0"/>
              <w:right w:val="single" w:color="000000" w:sz="4" w:space="0"/>
            </w:tcBorders>
            <w:noWrap/>
            <w:vAlign w:val="center"/>
          </w:tcPr>
          <w:p w14:paraId="00C48AE0">
            <w:pPr>
              <w:widowControl/>
              <w:snapToGrid w:val="0"/>
              <w:jc w:val="center"/>
              <w:textAlignment w:val="center"/>
              <w:rPr>
                <w:rFonts w:asciiTheme="minorEastAsia" w:hAnsiTheme="minorEastAsia" w:cstheme="minorEastAsia"/>
                <w:color w:val="000000"/>
                <w:kern w:val="0"/>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610474B7">
            <w:pPr>
              <w:widowControl/>
              <w:snapToGrid w:val="0"/>
              <w:jc w:val="center"/>
              <w:textAlignment w:val="center"/>
              <w:rPr>
                <w:rFonts w:asciiTheme="minorEastAsia" w:hAnsiTheme="minorEastAsia" w:cstheme="minorEastAsia"/>
                <w:color w:val="000000"/>
                <w:kern w:val="0"/>
                <w:szCs w:val="21"/>
                <w:lang w:bidi="ar"/>
              </w:rPr>
            </w:pPr>
            <w:r>
              <w:t>13,361.72</w:t>
            </w:r>
          </w:p>
        </w:tc>
      </w:tr>
      <w:tr w14:paraId="395B7E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62759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FC7A94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37597DA">
            <w:pPr>
              <w:widowControl/>
              <w:snapToGrid w:val="0"/>
              <w:jc w:val="center"/>
              <w:textAlignment w:val="center"/>
              <w:rPr>
                <w:rFonts w:asciiTheme="minorEastAsia" w:hAnsiTheme="minorEastAsia" w:cstheme="minorEastAsia"/>
                <w:color w:val="000000"/>
                <w:kern w:val="0"/>
                <w:szCs w:val="21"/>
                <w:lang w:bidi="ar"/>
              </w:rPr>
            </w:pPr>
            <w:r>
              <w:t>自然资源海洋气象等支出</w:t>
            </w:r>
          </w:p>
        </w:tc>
        <w:tc>
          <w:tcPr>
            <w:tcW w:w="829" w:type="pct"/>
            <w:tcBorders>
              <w:top w:val="nil"/>
              <w:left w:val="nil"/>
              <w:bottom w:val="single" w:color="000000" w:sz="4" w:space="0"/>
              <w:right w:val="single" w:color="000000" w:sz="4" w:space="0"/>
            </w:tcBorders>
            <w:noWrap/>
            <w:vAlign w:val="center"/>
          </w:tcPr>
          <w:p w14:paraId="7EF35E24">
            <w:pPr>
              <w:widowControl/>
              <w:snapToGrid w:val="0"/>
              <w:jc w:val="center"/>
              <w:textAlignment w:val="center"/>
              <w:rPr>
                <w:rFonts w:asciiTheme="minorEastAsia" w:hAnsiTheme="minorEastAsia" w:cstheme="minorEastAsia"/>
                <w:color w:val="000000"/>
                <w:kern w:val="0"/>
                <w:szCs w:val="21"/>
                <w:lang w:bidi="ar"/>
              </w:rPr>
            </w:pPr>
            <w:r>
              <w:t>1,833.90</w:t>
            </w:r>
          </w:p>
        </w:tc>
      </w:tr>
      <w:tr w14:paraId="06631D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8B141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2A3E4E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0A07B271">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B73B5CC">
            <w:pPr>
              <w:widowControl/>
              <w:snapToGrid w:val="0"/>
              <w:jc w:val="center"/>
              <w:textAlignment w:val="center"/>
              <w:rPr>
                <w:rFonts w:asciiTheme="minorEastAsia" w:hAnsiTheme="minorEastAsia" w:cstheme="minorEastAsia"/>
                <w:color w:val="000000"/>
                <w:kern w:val="0"/>
                <w:szCs w:val="21"/>
                <w:lang w:bidi="ar"/>
              </w:rPr>
            </w:pPr>
            <w:r>
              <w:t>117.50</w:t>
            </w:r>
          </w:p>
        </w:tc>
      </w:tr>
      <w:tr w14:paraId="1FAF67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77661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4A620B7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6067074C">
            <w:pPr>
              <w:widowControl/>
              <w:snapToGrid w:val="0"/>
              <w:jc w:val="center"/>
              <w:textAlignment w:val="center"/>
              <w:rPr>
                <w:rFonts w:asciiTheme="minorEastAsia" w:hAnsiTheme="minorEastAsia" w:cstheme="minorEastAsia"/>
                <w:color w:val="000000"/>
                <w:kern w:val="0"/>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5B367D71">
            <w:pPr>
              <w:widowControl/>
              <w:snapToGrid w:val="0"/>
              <w:jc w:val="center"/>
              <w:textAlignment w:val="center"/>
              <w:rPr>
                <w:rFonts w:asciiTheme="minorEastAsia" w:hAnsiTheme="minorEastAsia" w:cstheme="minorEastAsia"/>
                <w:color w:val="000000"/>
                <w:kern w:val="0"/>
                <w:szCs w:val="21"/>
                <w:lang w:bidi="ar"/>
              </w:rPr>
            </w:pPr>
            <w:r>
              <w:t>32.42</w:t>
            </w:r>
          </w:p>
        </w:tc>
      </w:tr>
      <w:tr w14:paraId="4CD6FA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C144F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F9D864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22D0CC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B1CEFD7">
            <w:pPr>
              <w:widowControl/>
              <w:snapToGrid w:val="0"/>
              <w:jc w:val="center"/>
              <w:textAlignment w:val="center"/>
              <w:rPr>
                <w:rFonts w:asciiTheme="minorEastAsia" w:hAnsiTheme="minorEastAsia" w:cstheme="minorEastAsia"/>
                <w:color w:val="000000"/>
                <w:kern w:val="0"/>
                <w:szCs w:val="21"/>
                <w:lang w:bidi="ar"/>
              </w:rPr>
            </w:pPr>
          </w:p>
        </w:tc>
      </w:tr>
      <w:tr w14:paraId="339727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D41F2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3F5606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0B347F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245B67">
            <w:pPr>
              <w:widowControl/>
              <w:snapToGrid w:val="0"/>
              <w:jc w:val="center"/>
              <w:textAlignment w:val="center"/>
              <w:rPr>
                <w:rFonts w:asciiTheme="minorEastAsia" w:hAnsiTheme="minorEastAsia" w:cstheme="minorEastAsia"/>
                <w:color w:val="000000"/>
                <w:kern w:val="0"/>
                <w:szCs w:val="21"/>
                <w:lang w:bidi="ar"/>
              </w:rPr>
            </w:pPr>
          </w:p>
        </w:tc>
      </w:tr>
      <w:tr w14:paraId="753161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84E494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1025A9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EFAB85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981FB7B">
            <w:pPr>
              <w:widowControl/>
              <w:snapToGrid w:val="0"/>
              <w:jc w:val="center"/>
              <w:textAlignment w:val="center"/>
              <w:rPr>
                <w:rFonts w:asciiTheme="minorEastAsia" w:hAnsiTheme="minorEastAsia" w:cstheme="minorEastAsia"/>
                <w:color w:val="000000"/>
                <w:kern w:val="0"/>
                <w:szCs w:val="21"/>
                <w:lang w:bidi="ar"/>
              </w:rPr>
            </w:pPr>
          </w:p>
        </w:tc>
      </w:tr>
      <w:tr w14:paraId="033C46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1F2FE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72B52B4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90.00</w:t>
            </w:r>
          </w:p>
        </w:tc>
        <w:tc>
          <w:tcPr>
            <w:tcW w:w="1655" w:type="pct"/>
            <w:tcBorders>
              <w:top w:val="nil"/>
              <w:left w:val="nil"/>
              <w:bottom w:val="single" w:color="000000" w:sz="4" w:space="0"/>
              <w:right w:val="single" w:color="000000" w:sz="4" w:space="0"/>
            </w:tcBorders>
            <w:noWrap/>
            <w:vAlign w:val="center"/>
          </w:tcPr>
          <w:p w14:paraId="0F5C2C3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A46D97B">
            <w:pPr>
              <w:widowControl/>
              <w:snapToGrid w:val="0"/>
              <w:jc w:val="center"/>
              <w:textAlignment w:val="center"/>
              <w:rPr>
                <w:rFonts w:asciiTheme="minorEastAsia" w:hAnsiTheme="minorEastAsia" w:cstheme="minorEastAsia"/>
                <w:color w:val="000000"/>
                <w:kern w:val="0"/>
                <w:szCs w:val="21"/>
                <w:lang w:bidi="ar"/>
              </w:rPr>
            </w:pPr>
          </w:p>
        </w:tc>
      </w:tr>
      <w:tr w14:paraId="0EF93D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8FDD5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4E63A03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11630C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767AA72">
            <w:pPr>
              <w:widowControl/>
              <w:snapToGrid w:val="0"/>
              <w:jc w:val="center"/>
              <w:textAlignment w:val="center"/>
              <w:rPr>
                <w:rFonts w:asciiTheme="minorEastAsia" w:hAnsiTheme="minorEastAsia" w:cstheme="minorEastAsia"/>
                <w:color w:val="000000"/>
                <w:kern w:val="0"/>
                <w:szCs w:val="21"/>
                <w:lang w:bidi="ar"/>
              </w:rPr>
            </w:pPr>
          </w:p>
        </w:tc>
      </w:tr>
      <w:tr w14:paraId="6FDF59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91291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402845D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377722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22A77B8">
            <w:pPr>
              <w:widowControl/>
              <w:snapToGrid w:val="0"/>
              <w:jc w:val="center"/>
              <w:textAlignment w:val="center"/>
              <w:rPr>
                <w:rFonts w:asciiTheme="minorEastAsia" w:hAnsiTheme="minorEastAsia" w:cstheme="minorEastAsia"/>
                <w:color w:val="000000"/>
                <w:kern w:val="0"/>
                <w:szCs w:val="21"/>
                <w:lang w:bidi="ar"/>
              </w:rPr>
            </w:pPr>
          </w:p>
        </w:tc>
      </w:tr>
      <w:tr w14:paraId="128797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4FB245">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D81395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CCE1BB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6E3C651">
            <w:pPr>
              <w:widowControl/>
              <w:snapToGrid w:val="0"/>
              <w:jc w:val="center"/>
              <w:textAlignment w:val="center"/>
              <w:rPr>
                <w:rFonts w:asciiTheme="minorEastAsia" w:hAnsiTheme="minorEastAsia" w:cstheme="minorEastAsia"/>
                <w:color w:val="000000"/>
                <w:kern w:val="0"/>
                <w:szCs w:val="21"/>
                <w:lang w:bidi="ar"/>
              </w:rPr>
            </w:pPr>
          </w:p>
        </w:tc>
      </w:tr>
      <w:tr w14:paraId="4FAE95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38BE0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2DD920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51195D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37B92F7">
            <w:pPr>
              <w:widowControl/>
              <w:snapToGrid w:val="0"/>
              <w:jc w:val="center"/>
              <w:textAlignment w:val="center"/>
              <w:rPr>
                <w:rFonts w:asciiTheme="minorEastAsia" w:hAnsiTheme="minorEastAsia" w:cstheme="minorEastAsia"/>
                <w:color w:val="000000"/>
                <w:kern w:val="0"/>
                <w:szCs w:val="21"/>
                <w:lang w:bidi="ar"/>
              </w:rPr>
            </w:pPr>
          </w:p>
        </w:tc>
      </w:tr>
      <w:tr w14:paraId="1BC1B8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CD285F">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452326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C2327A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FFCE2AE">
            <w:pPr>
              <w:widowControl/>
              <w:snapToGrid w:val="0"/>
              <w:jc w:val="center"/>
              <w:textAlignment w:val="center"/>
              <w:rPr>
                <w:rFonts w:asciiTheme="minorEastAsia" w:hAnsiTheme="minorEastAsia" w:cstheme="minorEastAsia"/>
                <w:color w:val="000000"/>
                <w:kern w:val="0"/>
                <w:szCs w:val="21"/>
                <w:lang w:bidi="ar"/>
              </w:rPr>
            </w:pPr>
          </w:p>
        </w:tc>
      </w:tr>
      <w:tr w14:paraId="6A4B95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6F0C1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3D4821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FF27ED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3384601">
            <w:pPr>
              <w:widowControl/>
              <w:snapToGrid w:val="0"/>
              <w:jc w:val="center"/>
              <w:textAlignment w:val="center"/>
              <w:rPr>
                <w:rFonts w:asciiTheme="minorEastAsia" w:hAnsiTheme="minorEastAsia" w:cstheme="minorEastAsia"/>
                <w:color w:val="000000"/>
                <w:kern w:val="0"/>
                <w:szCs w:val="21"/>
                <w:lang w:bidi="ar"/>
              </w:rPr>
            </w:pPr>
          </w:p>
        </w:tc>
      </w:tr>
      <w:tr w14:paraId="32D492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EFB4B0">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12CEF5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C0F227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C19A3AB">
            <w:pPr>
              <w:widowControl/>
              <w:snapToGrid w:val="0"/>
              <w:jc w:val="center"/>
              <w:textAlignment w:val="center"/>
              <w:rPr>
                <w:rFonts w:asciiTheme="minorEastAsia" w:hAnsiTheme="minorEastAsia" w:cstheme="minorEastAsia"/>
                <w:color w:val="000000"/>
                <w:kern w:val="0"/>
                <w:szCs w:val="21"/>
                <w:lang w:bidi="ar"/>
              </w:rPr>
            </w:pPr>
          </w:p>
        </w:tc>
      </w:tr>
      <w:tr w14:paraId="22CE72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E843E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440A99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3F397A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512360E">
            <w:pPr>
              <w:widowControl/>
              <w:snapToGrid w:val="0"/>
              <w:jc w:val="center"/>
              <w:textAlignment w:val="center"/>
              <w:rPr>
                <w:rFonts w:asciiTheme="minorEastAsia" w:hAnsiTheme="minorEastAsia" w:cstheme="minorEastAsia"/>
                <w:color w:val="000000"/>
                <w:kern w:val="0"/>
                <w:szCs w:val="21"/>
                <w:lang w:bidi="ar"/>
              </w:rPr>
            </w:pPr>
          </w:p>
        </w:tc>
      </w:tr>
      <w:tr w14:paraId="581A5B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6C0FC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CA078F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9F0668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354A837">
            <w:pPr>
              <w:widowControl/>
              <w:snapToGrid w:val="0"/>
              <w:jc w:val="center"/>
              <w:textAlignment w:val="center"/>
              <w:rPr>
                <w:rFonts w:asciiTheme="minorEastAsia" w:hAnsiTheme="minorEastAsia" w:cstheme="minorEastAsia"/>
                <w:color w:val="000000"/>
                <w:kern w:val="0"/>
                <w:szCs w:val="21"/>
                <w:lang w:bidi="ar"/>
              </w:rPr>
            </w:pPr>
          </w:p>
        </w:tc>
      </w:tr>
      <w:tr w14:paraId="3760B3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07FAB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DE036F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539CC7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A8D1DAB">
            <w:pPr>
              <w:widowControl/>
              <w:snapToGrid w:val="0"/>
              <w:jc w:val="center"/>
              <w:textAlignment w:val="center"/>
              <w:rPr>
                <w:rFonts w:asciiTheme="minorEastAsia" w:hAnsiTheme="minorEastAsia" w:cstheme="minorEastAsia"/>
                <w:color w:val="000000"/>
                <w:kern w:val="0"/>
                <w:szCs w:val="21"/>
                <w:lang w:bidi="ar"/>
              </w:rPr>
            </w:pPr>
          </w:p>
        </w:tc>
      </w:tr>
      <w:tr w14:paraId="16B103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1D5BD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383EBC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27FA5C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EA46D05">
            <w:pPr>
              <w:widowControl/>
              <w:snapToGrid w:val="0"/>
              <w:jc w:val="center"/>
              <w:textAlignment w:val="center"/>
              <w:rPr>
                <w:rFonts w:asciiTheme="minorEastAsia" w:hAnsiTheme="minorEastAsia" w:cstheme="minorEastAsia"/>
                <w:color w:val="000000"/>
                <w:kern w:val="0"/>
                <w:szCs w:val="21"/>
                <w:lang w:bidi="ar"/>
              </w:rPr>
            </w:pPr>
          </w:p>
        </w:tc>
      </w:tr>
      <w:tr w14:paraId="11B070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E532F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A2FC24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BE1321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B1BC338">
            <w:pPr>
              <w:widowControl/>
              <w:snapToGrid w:val="0"/>
              <w:jc w:val="center"/>
              <w:textAlignment w:val="center"/>
              <w:rPr>
                <w:rFonts w:asciiTheme="minorEastAsia" w:hAnsiTheme="minorEastAsia" w:cstheme="minorEastAsia"/>
                <w:color w:val="000000"/>
                <w:kern w:val="0"/>
                <w:szCs w:val="21"/>
                <w:lang w:bidi="ar"/>
              </w:rPr>
            </w:pPr>
          </w:p>
        </w:tc>
      </w:tr>
      <w:tr w14:paraId="1DC6B6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FF6B0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D14E944">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9B66BE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9EA39C8">
            <w:pPr>
              <w:widowControl/>
              <w:snapToGrid w:val="0"/>
              <w:jc w:val="center"/>
              <w:textAlignment w:val="center"/>
              <w:rPr>
                <w:rFonts w:asciiTheme="minorEastAsia" w:hAnsiTheme="minorEastAsia" w:cstheme="minorEastAsia"/>
                <w:color w:val="000000"/>
                <w:kern w:val="0"/>
                <w:szCs w:val="21"/>
                <w:lang w:bidi="ar"/>
              </w:rPr>
            </w:pPr>
          </w:p>
        </w:tc>
      </w:tr>
      <w:tr w14:paraId="2D133C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036E1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6C3146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54CA6D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1592D7C">
            <w:pPr>
              <w:widowControl/>
              <w:snapToGrid w:val="0"/>
              <w:jc w:val="center"/>
              <w:textAlignment w:val="center"/>
              <w:rPr>
                <w:rFonts w:asciiTheme="minorEastAsia" w:hAnsiTheme="minorEastAsia" w:cstheme="minorEastAsia"/>
                <w:color w:val="000000"/>
                <w:kern w:val="0"/>
                <w:szCs w:val="21"/>
                <w:lang w:bidi="ar"/>
              </w:rPr>
            </w:pPr>
          </w:p>
        </w:tc>
      </w:tr>
      <w:tr w14:paraId="69AF71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CDBF5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BA193F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BC4674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FB44228">
            <w:pPr>
              <w:widowControl/>
              <w:snapToGrid w:val="0"/>
              <w:jc w:val="center"/>
              <w:textAlignment w:val="center"/>
              <w:rPr>
                <w:rFonts w:asciiTheme="minorEastAsia" w:hAnsiTheme="minorEastAsia" w:cstheme="minorEastAsia"/>
                <w:color w:val="000000"/>
                <w:kern w:val="0"/>
                <w:szCs w:val="21"/>
                <w:lang w:bidi="ar"/>
              </w:rPr>
            </w:pPr>
          </w:p>
        </w:tc>
      </w:tr>
      <w:tr w14:paraId="556D65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6A5BF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349AB6C">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7B5D23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1D70C00">
            <w:pPr>
              <w:widowControl/>
              <w:snapToGrid w:val="0"/>
              <w:jc w:val="center"/>
              <w:textAlignment w:val="center"/>
              <w:rPr>
                <w:rFonts w:asciiTheme="minorEastAsia" w:hAnsiTheme="minorEastAsia" w:cstheme="minorEastAsia"/>
                <w:color w:val="000000"/>
                <w:kern w:val="0"/>
                <w:szCs w:val="21"/>
                <w:lang w:bidi="ar"/>
              </w:rPr>
            </w:pPr>
          </w:p>
        </w:tc>
      </w:tr>
      <w:tr w14:paraId="4454B1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93E883">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113BE2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20263D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4ABE129">
            <w:pPr>
              <w:widowControl/>
              <w:snapToGrid w:val="0"/>
              <w:jc w:val="center"/>
              <w:textAlignment w:val="center"/>
              <w:rPr>
                <w:rFonts w:asciiTheme="minorEastAsia" w:hAnsiTheme="minorEastAsia" w:cstheme="minorEastAsia"/>
                <w:color w:val="000000"/>
                <w:kern w:val="0"/>
                <w:szCs w:val="21"/>
                <w:lang w:bidi="ar"/>
              </w:rPr>
            </w:pPr>
          </w:p>
        </w:tc>
      </w:tr>
      <w:tr w14:paraId="7216BD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B8134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B3B624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C8B588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EB22CB0">
            <w:pPr>
              <w:widowControl/>
              <w:snapToGrid w:val="0"/>
              <w:jc w:val="center"/>
              <w:textAlignment w:val="center"/>
              <w:rPr>
                <w:rFonts w:asciiTheme="minorEastAsia" w:hAnsiTheme="minorEastAsia" w:cstheme="minorEastAsia"/>
                <w:color w:val="000000"/>
                <w:kern w:val="0"/>
                <w:szCs w:val="21"/>
                <w:lang w:bidi="ar"/>
              </w:rPr>
            </w:pPr>
          </w:p>
        </w:tc>
      </w:tr>
      <w:tr w14:paraId="1CA9FE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763C4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3C6ABA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4FDB4C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7FBD0D3">
            <w:pPr>
              <w:widowControl/>
              <w:snapToGrid w:val="0"/>
              <w:jc w:val="center"/>
              <w:textAlignment w:val="center"/>
              <w:rPr>
                <w:rFonts w:asciiTheme="minorEastAsia" w:hAnsiTheme="minorEastAsia" w:cstheme="minorEastAsia"/>
                <w:color w:val="000000"/>
                <w:kern w:val="0"/>
                <w:szCs w:val="21"/>
                <w:lang w:bidi="ar"/>
              </w:rPr>
            </w:pPr>
          </w:p>
        </w:tc>
      </w:tr>
      <w:tr w14:paraId="302F49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A4E689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0E29193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10,663.86</w:t>
            </w:r>
          </w:p>
        </w:tc>
        <w:tc>
          <w:tcPr>
            <w:tcW w:w="1655" w:type="pct"/>
            <w:tcBorders>
              <w:top w:val="nil"/>
              <w:left w:val="nil"/>
              <w:bottom w:val="single" w:color="auto" w:sz="4" w:space="0"/>
              <w:right w:val="single" w:color="000000" w:sz="4" w:space="0"/>
            </w:tcBorders>
            <w:noWrap/>
            <w:vAlign w:val="center"/>
          </w:tcPr>
          <w:p w14:paraId="6E05F41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3725AED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15,638.53</w:t>
            </w:r>
          </w:p>
        </w:tc>
      </w:tr>
      <w:tr w14:paraId="0D9181A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0A7327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BDFA68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D00611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6CACE5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6EEE9B7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015004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7A3139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4,974.67</w:t>
            </w:r>
          </w:p>
        </w:tc>
        <w:tc>
          <w:tcPr>
            <w:tcW w:w="1655" w:type="pct"/>
            <w:tcBorders>
              <w:top w:val="single" w:color="auto" w:sz="4" w:space="0"/>
              <w:left w:val="nil"/>
              <w:bottom w:val="single" w:color="auto" w:sz="4" w:space="0"/>
              <w:right w:val="single" w:color="000000" w:sz="4" w:space="0"/>
            </w:tcBorders>
            <w:noWrap/>
            <w:vAlign w:val="bottom"/>
          </w:tcPr>
          <w:p w14:paraId="0B8B9E1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DFEE24D">
            <w:pPr>
              <w:widowControl/>
              <w:snapToGrid w:val="0"/>
              <w:jc w:val="center"/>
              <w:textAlignment w:val="center"/>
              <w:rPr>
                <w:rFonts w:asciiTheme="minorEastAsia" w:hAnsiTheme="minorEastAsia" w:cstheme="minorEastAsia"/>
                <w:color w:val="000000"/>
                <w:kern w:val="0"/>
                <w:szCs w:val="21"/>
                <w:lang w:bidi="ar"/>
              </w:rPr>
            </w:pPr>
          </w:p>
        </w:tc>
      </w:tr>
      <w:tr w14:paraId="0F9F46F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B22A81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DFE794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15,638.53</w:t>
            </w:r>
          </w:p>
        </w:tc>
        <w:tc>
          <w:tcPr>
            <w:tcW w:w="1655" w:type="pct"/>
            <w:tcBorders>
              <w:top w:val="single" w:color="auto" w:sz="4" w:space="0"/>
              <w:left w:val="single" w:color="auto" w:sz="4" w:space="0"/>
              <w:bottom w:val="single" w:color="auto" w:sz="4" w:space="0"/>
              <w:right w:val="single" w:color="auto" w:sz="4" w:space="0"/>
            </w:tcBorders>
            <w:noWrap/>
            <w:vAlign w:val="center"/>
          </w:tcPr>
          <w:p w14:paraId="415C99C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40B1FB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15,638.53</w:t>
            </w:r>
          </w:p>
        </w:tc>
      </w:tr>
    </w:tbl>
    <w:p w14:paraId="0A254FA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6896AAB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7A282DF">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部门收入总表</w:t>
            </w:r>
          </w:p>
        </w:tc>
      </w:tr>
      <w:tr w14:paraId="6BC05C07">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1A12C805">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填报单位:314浮梁县自然资源和规划局</w:t>
            </w:r>
          </w:p>
        </w:tc>
        <w:tc>
          <w:tcPr>
            <w:tcW w:w="422" w:type="pct"/>
            <w:tcBorders>
              <w:top w:val="nil"/>
              <w:left w:val="nil"/>
              <w:bottom w:val="single" w:color="auto" w:sz="4" w:space="0"/>
              <w:right w:val="nil"/>
            </w:tcBorders>
            <w:shd w:val="clear" w:color="auto" w:fill="auto"/>
            <w:noWrap/>
            <w:vAlign w:val="bottom"/>
          </w:tcPr>
          <w:p w14:paraId="4C444571">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025A5CDA">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AFB8DC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C774D60">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863869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7EBB6C7">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F70E9E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216AEA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7FCB8D2">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C1F9D7B">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EA3B2CA">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019A2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A44FE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50D86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49C1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1181A">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DCC8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385E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6DDBE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6098F3">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765D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49BD162">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040E98C">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6931160">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C5E5093">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D6ED7F2">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8607F56">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5DACC3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DE71F7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CA44D42">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F480307">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FBBB21F">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E0CA46A">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B2FA1E5">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59CD569">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74BB9059">
            <w:pPr>
              <w:widowControl/>
              <w:jc w:val="left"/>
              <w:rPr>
                <w:rFonts w:ascii="宋体" w:hAnsi="宋体" w:eastAsia="宋体" w:cs="Arial"/>
                <w:color w:val="000000"/>
                <w:kern w:val="0"/>
                <w:sz w:val="13"/>
                <w:szCs w:val="13"/>
              </w:rPr>
            </w:pPr>
          </w:p>
        </w:tc>
      </w:tr>
      <w:tr w14:paraId="4F2919EF">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BBAF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638F5">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82C1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6425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86CA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1731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2C0C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0AB4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BE57E">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53F1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5B0C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DCB4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AB56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56FB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4693004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8ADEF">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0F9E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15,638.53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8E18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4,974.67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D54E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10,573.86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C477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2,142.40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EAF6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8,431.46</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C139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F0A1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F980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19C7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8CBD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F08E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DB0C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90.00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B058A7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446EAF7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ED2BA">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浮梁县自然资源和规划局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C0E8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4,212.80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9F9C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1,356.70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D562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2,796.10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6659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2,041.84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4B94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754.26</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8DEB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CFA7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EBDF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F9EE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B10F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8E17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4443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41FB03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5662890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B4C77">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浮梁县自然资源储备利用中心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7343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11,425.74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8210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3,617.97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AE7E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7,777.76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3D01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100.56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1590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7,677.20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ED5D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2F62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F1C1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48B8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C615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17EC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9BA7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30.00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35AAFC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419441D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6E4913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3F9287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部门支出总表</w:t>
            </w:r>
          </w:p>
        </w:tc>
      </w:tr>
      <w:tr w14:paraId="1492A64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6CC87F0">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填报单位:314浮梁县自然资源和规划局</w:t>
            </w:r>
          </w:p>
        </w:tc>
        <w:tc>
          <w:tcPr>
            <w:tcW w:w="914" w:type="pct"/>
            <w:tcBorders>
              <w:top w:val="nil"/>
              <w:left w:val="nil"/>
              <w:bottom w:val="nil"/>
              <w:right w:val="nil"/>
            </w:tcBorders>
            <w:shd w:val="clear" w:color="auto" w:fill="auto"/>
            <w:noWrap/>
            <w:vAlign w:val="bottom"/>
          </w:tcPr>
          <w:p w14:paraId="02AEF469">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DDFD26C">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F97B94A">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E72761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84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C38AB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0C7D2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DB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FDA489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94E49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360E3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D727366">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C22F2C1">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FB50910">
            <w:pPr>
              <w:widowControl/>
              <w:snapToGrid w:val="0"/>
              <w:jc w:val="center"/>
              <w:textAlignment w:val="center"/>
              <w:rPr>
                <w:rFonts w:asciiTheme="minorEastAsia" w:hAnsiTheme="minorEastAsia" w:cstheme="minorEastAsia"/>
                <w:color w:val="000000"/>
                <w:kern w:val="0"/>
                <w:sz w:val="18"/>
                <w:szCs w:val="18"/>
                <w:lang w:bidi="ar"/>
              </w:rPr>
            </w:pPr>
          </w:p>
        </w:tc>
      </w:tr>
      <w:tr w14:paraId="45019DC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79309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CD883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89D3B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AD39D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21BDBC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CDAB5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5360">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456E8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9412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15,638.53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F98F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1,880.01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AC04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13,758.52</w:t>
            </w:r>
          </w:p>
        </w:tc>
      </w:tr>
      <w:tr w14:paraId="5792B8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920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6782F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7C61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0B60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382E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1579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BE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BD59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C07F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C506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66E0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F033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FB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F6485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8CD7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680A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51BE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C679AB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01B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B74F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F27E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DB56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F9C4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0C0B3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F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3248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F782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D367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2F7C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76A3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DF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96310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8F39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77C5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6FFF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02AE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E6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A23E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9D02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BCCF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8EB4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41A65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A2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E059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E29AF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1F116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C296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A92DB1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E9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6589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68D3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7813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6F0A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C5EF1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87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B31B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44E6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13,361.72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7BCD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373C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13,361.72</w:t>
            </w:r>
          </w:p>
        </w:tc>
      </w:tr>
      <w:tr w14:paraId="7D0E7B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2AB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CA0F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C1A4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13,361.72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E5CC7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9D42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13,361.72</w:t>
            </w:r>
          </w:p>
        </w:tc>
      </w:tr>
      <w:tr w14:paraId="79E870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C6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2120802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6A50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土地开发支出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F628F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11,248.25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193D2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8273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11,248.25</w:t>
            </w:r>
          </w:p>
        </w:tc>
      </w:tr>
      <w:tr w14:paraId="626E2A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12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2120806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C015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土地出让业务支出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23BF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1,575.59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8AD4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5144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1,575.59</w:t>
            </w:r>
          </w:p>
        </w:tc>
      </w:tr>
      <w:tr w14:paraId="106B477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C2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6D30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A6E1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537.88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4EC9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7C4F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537.88</w:t>
            </w:r>
          </w:p>
        </w:tc>
      </w:tr>
      <w:tr w14:paraId="0CB37B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34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8F423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自然资源海洋气象等支出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36F3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5B44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1,469.51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51A22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364.39</w:t>
            </w:r>
          </w:p>
        </w:tc>
      </w:tr>
      <w:tr w14:paraId="16C143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53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704C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65D4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BDA8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1,469.51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FECB1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364.39</w:t>
            </w:r>
          </w:p>
        </w:tc>
      </w:tr>
      <w:tr w14:paraId="7B6B2FE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1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BF4E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7371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9C09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7838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B5765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9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B14C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机关服务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9FEE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8431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D8FE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37F8F2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C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B2B0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土地资源储备支出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3B46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106.80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EE99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106.80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8D23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8B2B3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A3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B506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其他自然资源事务支出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CD5FD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424.39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A63E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0BA1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364.39</w:t>
            </w:r>
          </w:p>
        </w:tc>
      </w:tr>
      <w:tr w14:paraId="29C601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B4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452C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C725F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B05A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19BE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61FC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6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0DAE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2D4E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92CA9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3134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DA02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61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8BFD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721D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E767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EDE4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00C8B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E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3F1FF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89F6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DCD2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FD61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r>
      <w:tr w14:paraId="125350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A8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995E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自然灾害防治</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713FC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EC5D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B6B8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r>
      <w:tr w14:paraId="1F21C3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97A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2240601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8F92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地质灾害防治</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6CD9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C395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754E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32.42</w:t>
            </w:r>
          </w:p>
        </w:tc>
      </w:tr>
    </w:tbl>
    <w:p w14:paraId="5664B69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C74A5FA">
        <w:tblPrEx>
          <w:tblCellMar>
            <w:top w:w="0" w:type="dxa"/>
            <w:left w:w="108" w:type="dxa"/>
            <w:bottom w:w="0" w:type="dxa"/>
            <w:right w:w="108" w:type="dxa"/>
          </w:tblCellMar>
        </w:tblPrEx>
        <w:trPr>
          <w:trHeight w:val="585" w:hRule="atLeast"/>
          <w:tblHeader/>
        </w:trPr>
        <w:tc>
          <w:tcPr>
            <w:tcW w:w="5000" w:type="pct"/>
            <w:gridSpan w:val="7"/>
            <w:noWrap/>
            <w:vAlign w:val="center"/>
          </w:tcPr>
          <w:p w14:paraId="05259631">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2838682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5D8F616">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填报单位:314浮梁县自然资源和规划局</w:t>
            </w:r>
          </w:p>
        </w:tc>
        <w:tc>
          <w:tcPr>
            <w:tcW w:w="577" w:type="pct"/>
            <w:noWrap/>
            <w:vAlign w:val="bottom"/>
          </w:tcPr>
          <w:p w14:paraId="753A0AE7">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3475271A">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49BDE265">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4C7288D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9055A0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2B1634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723E2488">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322B12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73D62AE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16DCB70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4EED64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7F9C716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E0A64C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159906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5D325D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48271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48FC2EC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10,573.86</w:t>
            </w:r>
          </w:p>
        </w:tc>
        <w:tc>
          <w:tcPr>
            <w:tcW w:w="948" w:type="pct"/>
            <w:tcBorders>
              <w:top w:val="nil"/>
              <w:left w:val="nil"/>
              <w:bottom w:val="single" w:color="000000" w:sz="4" w:space="0"/>
              <w:right w:val="single" w:color="000000" w:sz="4" w:space="0"/>
            </w:tcBorders>
            <w:noWrap/>
            <w:vAlign w:val="center"/>
          </w:tcPr>
          <w:p w14:paraId="6AA98FB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66454C6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229.31</w:t>
            </w:r>
          </w:p>
        </w:tc>
        <w:tc>
          <w:tcPr>
            <w:tcW w:w="612" w:type="pct"/>
            <w:tcBorders>
              <w:top w:val="nil"/>
              <w:left w:val="nil"/>
              <w:bottom w:val="single" w:color="000000" w:sz="4" w:space="0"/>
              <w:right w:val="single" w:color="000000" w:sz="4" w:space="0"/>
            </w:tcBorders>
            <w:noWrap/>
            <w:vAlign w:val="center"/>
          </w:tcPr>
          <w:p w14:paraId="2CF897A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229.31</w:t>
            </w:r>
          </w:p>
        </w:tc>
        <w:tc>
          <w:tcPr>
            <w:tcW w:w="602" w:type="pct"/>
            <w:tcBorders>
              <w:top w:val="nil"/>
              <w:left w:val="nil"/>
              <w:bottom w:val="single" w:color="000000" w:sz="4" w:space="0"/>
              <w:right w:val="single" w:color="000000" w:sz="4" w:space="0"/>
            </w:tcBorders>
            <w:noWrap/>
            <w:vAlign w:val="center"/>
          </w:tcPr>
          <w:p w14:paraId="6FE5D7D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37E643A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6126E6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2C0EE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27778A6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2,142.40</w:t>
            </w:r>
          </w:p>
        </w:tc>
        <w:tc>
          <w:tcPr>
            <w:tcW w:w="948" w:type="pct"/>
            <w:tcBorders>
              <w:top w:val="nil"/>
              <w:left w:val="single" w:color="000000" w:sz="4" w:space="0"/>
              <w:bottom w:val="single" w:color="000000" w:sz="4" w:space="0"/>
              <w:right w:val="single" w:color="000000" w:sz="4" w:space="0"/>
            </w:tcBorders>
            <w:noWrap/>
            <w:vAlign w:val="center"/>
          </w:tcPr>
          <w:p w14:paraId="0C4B0BDA">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9B998E3">
            <w:pPr>
              <w:widowControl/>
              <w:snapToGrid w:val="0"/>
              <w:jc w:val="center"/>
              <w:textAlignment w:val="center"/>
              <w:rPr>
                <w:rFonts w:asciiTheme="minorEastAsia" w:hAnsiTheme="minorEastAsia" w:cstheme="minorEastAsia"/>
                <w:color w:val="000000"/>
                <w:kern w:val="0"/>
                <w:szCs w:val="21"/>
                <w:lang w:bidi="ar"/>
              </w:rPr>
            </w:pPr>
            <w:r>
              <w:t>63.70</w:t>
            </w:r>
          </w:p>
        </w:tc>
        <w:tc>
          <w:tcPr>
            <w:tcW w:w="612" w:type="pct"/>
            <w:tcBorders>
              <w:top w:val="nil"/>
              <w:left w:val="nil"/>
              <w:bottom w:val="single" w:color="000000" w:sz="4" w:space="0"/>
              <w:right w:val="single" w:color="000000" w:sz="4" w:space="0"/>
            </w:tcBorders>
            <w:noWrap/>
            <w:vAlign w:val="center"/>
          </w:tcPr>
          <w:p w14:paraId="3895A221">
            <w:pPr>
              <w:widowControl/>
              <w:snapToGrid w:val="0"/>
              <w:jc w:val="center"/>
              <w:textAlignment w:val="center"/>
              <w:rPr>
                <w:rFonts w:asciiTheme="minorEastAsia" w:hAnsiTheme="minorEastAsia" w:cstheme="minorEastAsia"/>
                <w:color w:val="000000"/>
                <w:kern w:val="0"/>
                <w:szCs w:val="21"/>
                <w:lang w:bidi="ar"/>
              </w:rPr>
            </w:pPr>
            <w:r>
              <w:t>63.70</w:t>
            </w:r>
          </w:p>
        </w:tc>
        <w:tc>
          <w:tcPr>
            <w:tcW w:w="602" w:type="pct"/>
            <w:tcBorders>
              <w:top w:val="nil"/>
              <w:left w:val="nil"/>
              <w:bottom w:val="single" w:color="000000" w:sz="4" w:space="0"/>
              <w:right w:val="single" w:color="000000" w:sz="4" w:space="0"/>
            </w:tcBorders>
            <w:noWrap/>
            <w:vAlign w:val="center"/>
          </w:tcPr>
          <w:p w14:paraId="0D874C5F">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5527F280">
            <w:pPr>
              <w:widowControl/>
              <w:snapToGrid w:val="0"/>
              <w:jc w:val="center"/>
              <w:textAlignment w:val="center"/>
              <w:rPr>
                <w:rFonts w:asciiTheme="minorEastAsia" w:hAnsiTheme="minorEastAsia" w:cstheme="minorEastAsia"/>
                <w:color w:val="000000"/>
                <w:kern w:val="0"/>
                <w:szCs w:val="21"/>
                <w:lang w:bidi="ar"/>
              </w:rPr>
            </w:pPr>
            <w:r>
              <w:t>0.00</w:t>
            </w:r>
          </w:p>
        </w:tc>
      </w:tr>
      <w:tr w14:paraId="1FBB9C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404EC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9DBB33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8,431.46</w:t>
            </w:r>
          </w:p>
        </w:tc>
        <w:tc>
          <w:tcPr>
            <w:tcW w:w="948" w:type="pct"/>
            <w:tcBorders>
              <w:top w:val="nil"/>
              <w:left w:val="nil"/>
              <w:bottom w:val="single" w:color="000000" w:sz="4" w:space="0"/>
              <w:right w:val="single" w:color="000000" w:sz="4" w:space="0"/>
            </w:tcBorders>
            <w:noWrap/>
            <w:vAlign w:val="center"/>
          </w:tcPr>
          <w:p w14:paraId="6ED1049A">
            <w:pPr>
              <w:widowControl/>
              <w:snapToGrid w:val="0"/>
              <w:jc w:val="center"/>
              <w:textAlignment w:val="center"/>
              <w:rPr>
                <w:rFonts w:asciiTheme="minorEastAsia" w:hAnsiTheme="minorEastAsia" w:cstheme="minorEastAsia"/>
                <w:color w:val="000000"/>
                <w:kern w:val="0"/>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43A52C71">
            <w:pPr>
              <w:widowControl/>
              <w:snapToGrid w:val="0"/>
              <w:jc w:val="center"/>
              <w:textAlignment w:val="center"/>
              <w:rPr>
                <w:rFonts w:asciiTheme="minorEastAsia" w:hAnsiTheme="minorEastAsia" w:cstheme="minorEastAsia"/>
                <w:color w:val="000000"/>
                <w:kern w:val="0"/>
                <w:szCs w:val="21"/>
                <w:lang w:bidi="ar"/>
              </w:rPr>
            </w:pPr>
            <w:r>
              <w:t>13,361.72</w:t>
            </w:r>
          </w:p>
        </w:tc>
        <w:tc>
          <w:tcPr>
            <w:tcW w:w="612" w:type="pct"/>
            <w:tcBorders>
              <w:top w:val="nil"/>
              <w:left w:val="nil"/>
              <w:bottom w:val="single" w:color="000000" w:sz="4" w:space="0"/>
              <w:right w:val="single" w:color="000000" w:sz="4" w:space="0"/>
            </w:tcBorders>
            <w:noWrap/>
            <w:vAlign w:val="center"/>
          </w:tcPr>
          <w:p w14:paraId="3CDD3F11">
            <w:pPr>
              <w:widowControl/>
              <w:snapToGrid w:val="0"/>
              <w:jc w:val="center"/>
              <w:textAlignment w:val="center"/>
              <w:rPr>
                <w:rFonts w:asciiTheme="minorEastAsia" w:hAnsiTheme="minorEastAsia" w:cstheme="minorEastAsia"/>
                <w:color w:val="000000"/>
                <w:kern w:val="0"/>
                <w:szCs w:val="21"/>
                <w:lang w:bidi="ar"/>
              </w:rPr>
            </w:pPr>
            <w:r>
              <w:t>0.00</w:t>
            </w:r>
          </w:p>
        </w:tc>
        <w:tc>
          <w:tcPr>
            <w:tcW w:w="602" w:type="pct"/>
            <w:tcBorders>
              <w:top w:val="nil"/>
              <w:left w:val="nil"/>
              <w:bottom w:val="single" w:color="000000" w:sz="4" w:space="0"/>
              <w:right w:val="single" w:color="000000" w:sz="4" w:space="0"/>
            </w:tcBorders>
            <w:noWrap/>
            <w:vAlign w:val="center"/>
          </w:tcPr>
          <w:p w14:paraId="6A53640C">
            <w:pPr>
              <w:widowControl/>
              <w:snapToGrid w:val="0"/>
              <w:jc w:val="center"/>
              <w:textAlignment w:val="center"/>
              <w:rPr>
                <w:rFonts w:asciiTheme="minorEastAsia" w:hAnsiTheme="minorEastAsia" w:cstheme="minorEastAsia"/>
                <w:color w:val="000000"/>
                <w:kern w:val="0"/>
                <w:szCs w:val="21"/>
                <w:lang w:bidi="ar"/>
              </w:rPr>
            </w:pPr>
            <w:r>
              <w:t>13,361.72</w:t>
            </w:r>
          </w:p>
        </w:tc>
        <w:tc>
          <w:tcPr>
            <w:tcW w:w="632" w:type="pct"/>
            <w:tcBorders>
              <w:top w:val="nil"/>
              <w:left w:val="nil"/>
              <w:bottom w:val="single" w:color="000000" w:sz="4" w:space="0"/>
              <w:right w:val="single" w:color="000000" w:sz="4" w:space="0"/>
            </w:tcBorders>
            <w:noWrap/>
            <w:vAlign w:val="center"/>
          </w:tcPr>
          <w:p w14:paraId="4D20FCF2">
            <w:pPr>
              <w:widowControl/>
              <w:snapToGrid w:val="0"/>
              <w:jc w:val="center"/>
              <w:textAlignment w:val="center"/>
              <w:rPr>
                <w:rFonts w:asciiTheme="minorEastAsia" w:hAnsiTheme="minorEastAsia" w:cstheme="minorEastAsia"/>
                <w:color w:val="000000"/>
                <w:kern w:val="0"/>
                <w:szCs w:val="21"/>
                <w:lang w:bidi="ar"/>
              </w:rPr>
            </w:pPr>
            <w:r>
              <w:t>0.00</w:t>
            </w:r>
          </w:p>
        </w:tc>
      </w:tr>
      <w:tr w14:paraId="304706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3F51E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C899A3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5DBEC2B1">
            <w:pPr>
              <w:widowControl/>
              <w:snapToGrid w:val="0"/>
              <w:jc w:val="center"/>
              <w:textAlignment w:val="center"/>
              <w:rPr>
                <w:rFonts w:asciiTheme="minorEastAsia" w:hAnsiTheme="minorEastAsia" w:cstheme="minorEastAsia"/>
                <w:color w:val="000000"/>
                <w:kern w:val="0"/>
                <w:szCs w:val="21"/>
                <w:lang w:bidi="ar"/>
              </w:rPr>
            </w:pPr>
            <w:r>
              <w:t>自然资源海洋气象等支出</w:t>
            </w:r>
          </w:p>
        </w:tc>
        <w:tc>
          <w:tcPr>
            <w:tcW w:w="577" w:type="pct"/>
            <w:tcBorders>
              <w:top w:val="nil"/>
              <w:left w:val="nil"/>
              <w:bottom w:val="single" w:color="000000" w:sz="4" w:space="0"/>
              <w:right w:val="single" w:color="000000" w:sz="4" w:space="0"/>
            </w:tcBorders>
            <w:noWrap/>
            <w:vAlign w:val="center"/>
          </w:tcPr>
          <w:p w14:paraId="3700E496">
            <w:pPr>
              <w:widowControl/>
              <w:snapToGrid w:val="0"/>
              <w:jc w:val="center"/>
              <w:textAlignment w:val="center"/>
              <w:rPr>
                <w:rFonts w:asciiTheme="minorEastAsia" w:hAnsiTheme="minorEastAsia" w:cstheme="minorEastAsia"/>
                <w:color w:val="000000"/>
                <w:kern w:val="0"/>
                <w:szCs w:val="21"/>
                <w:lang w:bidi="ar"/>
              </w:rPr>
            </w:pPr>
            <w:r>
              <w:t>1,743.90</w:t>
            </w:r>
          </w:p>
        </w:tc>
        <w:tc>
          <w:tcPr>
            <w:tcW w:w="612" w:type="pct"/>
            <w:tcBorders>
              <w:top w:val="nil"/>
              <w:left w:val="nil"/>
              <w:bottom w:val="single" w:color="000000" w:sz="4" w:space="0"/>
              <w:right w:val="single" w:color="000000" w:sz="4" w:space="0"/>
            </w:tcBorders>
            <w:noWrap/>
            <w:vAlign w:val="center"/>
          </w:tcPr>
          <w:p w14:paraId="527AFAFC">
            <w:pPr>
              <w:widowControl/>
              <w:snapToGrid w:val="0"/>
              <w:jc w:val="center"/>
              <w:textAlignment w:val="center"/>
              <w:rPr>
                <w:rFonts w:asciiTheme="minorEastAsia" w:hAnsiTheme="minorEastAsia" w:cstheme="minorEastAsia"/>
                <w:color w:val="000000"/>
                <w:kern w:val="0"/>
                <w:szCs w:val="21"/>
                <w:lang w:bidi="ar"/>
              </w:rPr>
            </w:pPr>
            <w:r>
              <w:t>1,743.90</w:t>
            </w:r>
          </w:p>
        </w:tc>
        <w:tc>
          <w:tcPr>
            <w:tcW w:w="602" w:type="pct"/>
            <w:tcBorders>
              <w:top w:val="nil"/>
              <w:left w:val="nil"/>
              <w:bottom w:val="single" w:color="000000" w:sz="4" w:space="0"/>
              <w:right w:val="single" w:color="000000" w:sz="4" w:space="0"/>
            </w:tcBorders>
            <w:noWrap/>
            <w:vAlign w:val="center"/>
          </w:tcPr>
          <w:p w14:paraId="3239C861">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417B98E0">
            <w:pPr>
              <w:widowControl/>
              <w:snapToGrid w:val="0"/>
              <w:jc w:val="center"/>
              <w:textAlignment w:val="center"/>
              <w:rPr>
                <w:rFonts w:asciiTheme="minorEastAsia" w:hAnsiTheme="minorEastAsia" w:cstheme="minorEastAsia"/>
                <w:color w:val="000000"/>
                <w:kern w:val="0"/>
                <w:szCs w:val="21"/>
                <w:lang w:bidi="ar"/>
              </w:rPr>
            </w:pPr>
            <w:r>
              <w:t>0.00</w:t>
            </w:r>
          </w:p>
        </w:tc>
      </w:tr>
      <w:tr w14:paraId="2B6526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B13C1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251295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0DCFA69">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8F09EE9">
            <w:pPr>
              <w:widowControl/>
              <w:snapToGrid w:val="0"/>
              <w:jc w:val="center"/>
              <w:textAlignment w:val="center"/>
              <w:rPr>
                <w:rFonts w:asciiTheme="minorEastAsia" w:hAnsiTheme="minorEastAsia" w:cstheme="minorEastAsia"/>
                <w:color w:val="000000"/>
                <w:kern w:val="0"/>
                <w:szCs w:val="21"/>
                <w:lang w:bidi="ar"/>
              </w:rPr>
            </w:pPr>
            <w:r>
              <w:t>117.50</w:t>
            </w:r>
          </w:p>
        </w:tc>
        <w:tc>
          <w:tcPr>
            <w:tcW w:w="612" w:type="pct"/>
            <w:tcBorders>
              <w:top w:val="nil"/>
              <w:left w:val="nil"/>
              <w:bottom w:val="single" w:color="000000" w:sz="4" w:space="0"/>
              <w:right w:val="single" w:color="000000" w:sz="4" w:space="0"/>
            </w:tcBorders>
            <w:noWrap/>
            <w:vAlign w:val="center"/>
          </w:tcPr>
          <w:p w14:paraId="5CF972DE">
            <w:pPr>
              <w:widowControl/>
              <w:snapToGrid w:val="0"/>
              <w:jc w:val="center"/>
              <w:textAlignment w:val="center"/>
              <w:rPr>
                <w:rFonts w:asciiTheme="minorEastAsia" w:hAnsiTheme="minorEastAsia" w:cstheme="minorEastAsia"/>
                <w:color w:val="000000"/>
                <w:kern w:val="0"/>
                <w:szCs w:val="21"/>
                <w:lang w:bidi="ar"/>
              </w:rPr>
            </w:pPr>
            <w:r>
              <w:t>117.50</w:t>
            </w:r>
          </w:p>
        </w:tc>
        <w:tc>
          <w:tcPr>
            <w:tcW w:w="602" w:type="pct"/>
            <w:tcBorders>
              <w:top w:val="nil"/>
              <w:left w:val="nil"/>
              <w:bottom w:val="single" w:color="000000" w:sz="4" w:space="0"/>
              <w:right w:val="single" w:color="000000" w:sz="4" w:space="0"/>
            </w:tcBorders>
            <w:noWrap/>
            <w:vAlign w:val="center"/>
          </w:tcPr>
          <w:p w14:paraId="3AE59F86">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729575CD">
            <w:pPr>
              <w:widowControl/>
              <w:snapToGrid w:val="0"/>
              <w:jc w:val="center"/>
              <w:textAlignment w:val="center"/>
              <w:rPr>
                <w:rFonts w:asciiTheme="minorEastAsia" w:hAnsiTheme="minorEastAsia" w:cstheme="minorEastAsia"/>
                <w:color w:val="000000"/>
                <w:kern w:val="0"/>
                <w:szCs w:val="21"/>
                <w:lang w:bidi="ar"/>
              </w:rPr>
            </w:pPr>
            <w:r>
              <w:t>0.00</w:t>
            </w:r>
          </w:p>
        </w:tc>
      </w:tr>
      <w:tr w14:paraId="34E505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2456B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C8F2C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3CD6AB4">
            <w:pPr>
              <w:widowControl/>
              <w:snapToGrid w:val="0"/>
              <w:jc w:val="center"/>
              <w:textAlignment w:val="center"/>
              <w:rPr>
                <w:rFonts w:asciiTheme="minorEastAsia" w:hAnsiTheme="minorEastAsia" w:cstheme="minorEastAsia"/>
                <w:color w:val="000000"/>
                <w:kern w:val="0"/>
                <w:szCs w:val="21"/>
                <w:lang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4A3DB8AC">
            <w:pPr>
              <w:widowControl/>
              <w:snapToGrid w:val="0"/>
              <w:jc w:val="center"/>
              <w:textAlignment w:val="center"/>
              <w:rPr>
                <w:rFonts w:asciiTheme="minorEastAsia" w:hAnsiTheme="minorEastAsia" w:cstheme="minorEastAsia"/>
                <w:color w:val="000000"/>
                <w:kern w:val="0"/>
                <w:szCs w:val="21"/>
                <w:lang w:bidi="ar"/>
              </w:rPr>
            </w:pPr>
            <w:r>
              <w:t>32.42</w:t>
            </w:r>
          </w:p>
        </w:tc>
        <w:tc>
          <w:tcPr>
            <w:tcW w:w="612" w:type="pct"/>
            <w:tcBorders>
              <w:top w:val="nil"/>
              <w:left w:val="nil"/>
              <w:bottom w:val="single" w:color="000000" w:sz="4" w:space="0"/>
              <w:right w:val="single" w:color="000000" w:sz="4" w:space="0"/>
            </w:tcBorders>
            <w:noWrap/>
            <w:vAlign w:val="center"/>
          </w:tcPr>
          <w:p w14:paraId="2A98CF4B">
            <w:pPr>
              <w:widowControl/>
              <w:snapToGrid w:val="0"/>
              <w:jc w:val="center"/>
              <w:textAlignment w:val="center"/>
              <w:rPr>
                <w:rFonts w:asciiTheme="minorEastAsia" w:hAnsiTheme="minorEastAsia" w:cstheme="minorEastAsia"/>
                <w:color w:val="000000"/>
                <w:kern w:val="0"/>
                <w:szCs w:val="21"/>
                <w:lang w:bidi="ar"/>
              </w:rPr>
            </w:pPr>
            <w:r>
              <w:t>32.42</w:t>
            </w:r>
          </w:p>
        </w:tc>
        <w:tc>
          <w:tcPr>
            <w:tcW w:w="602" w:type="pct"/>
            <w:tcBorders>
              <w:top w:val="nil"/>
              <w:left w:val="nil"/>
              <w:bottom w:val="single" w:color="000000" w:sz="4" w:space="0"/>
              <w:right w:val="single" w:color="000000" w:sz="4" w:space="0"/>
            </w:tcBorders>
            <w:noWrap/>
            <w:vAlign w:val="center"/>
          </w:tcPr>
          <w:p w14:paraId="550D6A29">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12A0669C">
            <w:pPr>
              <w:widowControl/>
              <w:snapToGrid w:val="0"/>
              <w:jc w:val="center"/>
              <w:textAlignment w:val="center"/>
              <w:rPr>
                <w:rFonts w:asciiTheme="minorEastAsia" w:hAnsiTheme="minorEastAsia" w:cstheme="minorEastAsia"/>
                <w:color w:val="000000"/>
                <w:kern w:val="0"/>
                <w:szCs w:val="21"/>
                <w:lang w:bidi="ar"/>
              </w:rPr>
            </w:pPr>
            <w:r>
              <w:t>0.00</w:t>
            </w:r>
          </w:p>
        </w:tc>
      </w:tr>
      <w:tr w14:paraId="466510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1C1B9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584CB8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EBDFCF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AC68F6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44903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CA4CB2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9EF6229">
            <w:pPr>
              <w:widowControl/>
              <w:snapToGrid w:val="0"/>
              <w:jc w:val="center"/>
              <w:textAlignment w:val="center"/>
              <w:rPr>
                <w:rFonts w:asciiTheme="minorEastAsia" w:hAnsiTheme="minorEastAsia" w:cstheme="minorEastAsia"/>
                <w:color w:val="000000"/>
                <w:kern w:val="0"/>
                <w:szCs w:val="21"/>
                <w:lang w:bidi="ar"/>
              </w:rPr>
            </w:pPr>
          </w:p>
        </w:tc>
      </w:tr>
      <w:tr w14:paraId="171BD4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F4E0C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A99090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1E6692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DFD5E2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A4F4FF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D81CF4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B284D8B">
            <w:pPr>
              <w:widowControl/>
              <w:snapToGrid w:val="0"/>
              <w:jc w:val="center"/>
              <w:textAlignment w:val="center"/>
              <w:rPr>
                <w:rFonts w:asciiTheme="minorEastAsia" w:hAnsiTheme="minorEastAsia" w:cstheme="minorEastAsia"/>
                <w:color w:val="000000"/>
                <w:kern w:val="0"/>
                <w:szCs w:val="21"/>
                <w:lang w:bidi="ar"/>
              </w:rPr>
            </w:pPr>
          </w:p>
        </w:tc>
      </w:tr>
      <w:tr w14:paraId="45628E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DE3BC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AF2D82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EF2143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456F2B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E73818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D587D7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57061FB">
            <w:pPr>
              <w:widowControl/>
              <w:snapToGrid w:val="0"/>
              <w:jc w:val="center"/>
              <w:textAlignment w:val="center"/>
              <w:rPr>
                <w:rFonts w:asciiTheme="minorEastAsia" w:hAnsiTheme="minorEastAsia" w:cstheme="minorEastAsia"/>
                <w:color w:val="000000"/>
                <w:kern w:val="0"/>
                <w:szCs w:val="21"/>
                <w:lang w:bidi="ar"/>
              </w:rPr>
            </w:pPr>
          </w:p>
        </w:tc>
      </w:tr>
      <w:tr w14:paraId="06EB9D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C430E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52B88D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A87B07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C7D1A8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9D8544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BF054A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2757D3A">
            <w:pPr>
              <w:widowControl/>
              <w:snapToGrid w:val="0"/>
              <w:jc w:val="center"/>
              <w:textAlignment w:val="center"/>
              <w:rPr>
                <w:rFonts w:asciiTheme="minorEastAsia" w:hAnsiTheme="minorEastAsia" w:cstheme="minorEastAsia"/>
                <w:color w:val="000000"/>
                <w:kern w:val="0"/>
                <w:szCs w:val="21"/>
                <w:lang w:bidi="ar"/>
              </w:rPr>
            </w:pPr>
          </w:p>
        </w:tc>
      </w:tr>
      <w:tr w14:paraId="41D97C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3A3E30">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D8F266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239525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5F04D5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A8EC8B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57441A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BFA103A">
            <w:pPr>
              <w:widowControl/>
              <w:snapToGrid w:val="0"/>
              <w:jc w:val="center"/>
              <w:textAlignment w:val="center"/>
              <w:rPr>
                <w:rFonts w:asciiTheme="minorEastAsia" w:hAnsiTheme="minorEastAsia" w:cstheme="minorEastAsia"/>
                <w:color w:val="000000"/>
                <w:kern w:val="0"/>
                <w:szCs w:val="21"/>
                <w:lang w:bidi="ar"/>
              </w:rPr>
            </w:pPr>
          </w:p>
        </w:tc>
      </w:tr>
      <w:tr w14:paraId="58CE70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BDCC5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A5B108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82DCA0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9BA266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39B227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D8FE6B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627987F">
            <w:pPr>
              <w:widowControl/>
              <w:snapToGrid w:val="0"/>
              <w:jc w:val="center"/>
              <w:textAlignment w:val="center"/>
              <w:rPr>
                <w:rFonts w:asciiTheme="minorEastAsia" w:hAnsiTheme="minorEastAsia" w:cstheme="minorEastAsia"/>
                <w:color w:val="000000"/>
                <w:kern w:val="0"/>
                <w:szCs w:val="21"/>
                <w:lang w:bidi="ar"/>
              </w:rPr>
            </w:pPr>
          </w:p>
        </w:tc>
      </w:tr>
      <w:tr w14:paraId="3D81DB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CDED5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92F926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4C55E1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A44440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7B13D3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7A7BD5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754E82B">
            <w:pPr>
              <w:widowControl/>
              <w:snapToGrid w:val="0"/>
              <w:jc w:val="center"/>
              <w:textAlignment w:val="center"/>
              <w:rPr>
                <w:rFonts w:asciiTheme="minorEastAsia" w:hAnsiTheme="minorEastAsia" w:cstheme="minorEastAsia"/>
                <w:color w:val="000000"/>
                <w:kern w:val="0"/>
                <w:szCs w:val="21"/>
                <w:lang w:bidi="ar"/>
              </w:rPr>
            </w:pPr>
          </w:p>
        </w:tc>
      </w:tr>
      <w:tr w14:paraId="321033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469A1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707632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6FB38E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6A603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79AE6A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71CFA8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A99E8CE">
            <w:pPr>
              <w:widowControl/>
              <w:snapToGrid w:val="0"/>
              <w:jc w:val="center"/>
              <w:textAlignment w:val="center"/>
              <w:rPr>
                <w:rFonts w:asciiTheme="minorEastAsia" w:hAnsiTheme="minorEastAsia" w:cstheme="minorEastAsia"/>
                <w:color w:val="000000"/>
                <w:kern w:val="0"/>
                <w:szCs w:val="21"/>
                <w:lang w:bidi="ar"/>
              </w:rPr>
            </w:pPr>
          </w:p>
        </w:tc>
      </w:tr>
      <w:tr w14:paraId="7BAA8E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E0E5B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3FE8A71">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C2C2DC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3EFDCA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777814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9C3472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21D4485">
            <w:pPr>
              <w:widowControl/>
              <w:snapToGrid w:val="0"/>
              <w:jc w:val="center"/>
              <w:textAlignment w:val="center"/>
              <w:rPr>
                <w:rFonts w:asciiTheme="minorEastAsia" w:hAnsiTheme="minorEastAsia" w:cstheme="minorEastAsia"/>
                <w:color w:val="000000"/>
                <w:kern w:val="0"/>
                <w:szCs w:val="21"/>
                <w:lang w:bidi="ar"/>
              </w:rPr>
            </w:pPr>
          </w:p>
        </w:tc>
      </w:tr>
      <w:tr w14:paraId="1B7F49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21E88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4FEC4C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E709C4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F6F496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765E64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9FC491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560A9DD">
            <w:pPr>
              <w:widowControl/>
              <w:snapToGrid w:val="0"/>
              <w:jc w:val="center"/>
              <w:textAlignment w:val="center"/>
              <w:rPr>
                <w:rFonts w:asciiTheme="minorEastAsia" w:hAnsiTheme="minorEastAsia" w:cstheme="minorEastAsia"/>
                <w:color w:val="000000"/>
                <w:kern w:val="0"/>
                <w:szCs w:val="21"/>
                <w:lang w:bidi="ar"/>
              </w:rPr>
            </w:pPr>
          </w:p>
        </w:tc>
      </w:tr>
      <w:tr w14:paraId="755ABA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D7C93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864A3F9">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7ED72B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2446F4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BD9DF1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6A6C87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6B8831E">
            <w:pPr>
              <w:widowControl/>
              <w:snapToGrid w:val="0"/>
              <w:jc w:val="center"/>
              <w:textAlignment w:val="center"/>
              <w:rPr>
                <w:rFonts w:asciiTheme="minorEastAsia" w:hAnsiTheme="minorEastAsia" w:cstheme="minorEastAsia"/>
                <w:color w:val="000000"/>
                <w:kern w:val="0"/>
                <w:szCs w:val="21"/>
                <w:lang w:bidi="ar"/>
              </w:rPr>
            </w:pPr>
          </w:p>
        </w:tc>
      </w:tr>
      <w:tr w14:paraId="7D09B6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32DDC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AC7606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EB300B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46FC0A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5CAF6B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C1D575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3A289EA">
            <w:pPr>
              <w:widowControl/>
              <w:snapToGrid w:val="0"/>
              <w:jc w:val="center"/>
              <w:textAlignment w:val="center"/>
              <w:rPr>
                <w:rFonts w:asciiTheme="minorEastAsia" w:hAnsiTheme="minorEastAsia" w:cstheme="minorEastAsia"/>
                <w:color w:val="000000"/>
                <w:kern w:val="0"/>
                <w:szCs w:val="21"/>
                <w:lang w:bidi="ar"/>
              </w:rPr>
            </w:pPr>
          </w:p>
        </w:tc>
      </w:tr>
      <w:tr w14:paraId="373194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3C864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D3B7D4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35B117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816A89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847D6A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726CD6E">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395F21C">
            <w:pPr>
              <w:widowControl/>
              <w:snapToGrid w:val="0"/>
              <w:jc w:val="center"/>
              <w:textAlignment w:val="center"/>
              <w:rPr>
                <w:rFonts w:asciiTheme="minorEastAsia" w:hAnsiTheme="minorEastAsia" w:cstheme="minorEastAsia"/>
                <w:color w:val="000000"/>
                <w:kern w:val="0"/>
                <w:szCs w:val="21"/>
                <w:lang w:bidi="ar"/>
              </w:rPr>
            </w:pPr>
          </w:p>
        </w:tc>
      </w:tr>
      <w:tr w14:paraId="641CDA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D5CA7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9295F5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8F1F14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37E939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E2A421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DFAB21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A7789CE">
            <w:pPr>
              <w:widowControl/>
              <w:snapToGrid w:val="0"/>
              <w:jc w:val="center"/>
              <w:textAlignment w:val="center"/>
              <w:rPr>
                <w:rFonts w:asciiTheme="minorEastAsia" w:hAnsiTheme="minorEastAsia" w:cstheme="minorEastAsia"/>
                <w:color w:val="000000"/>
                <w:kern w:val="0"/>
                <w:szCs w:val="21"/>
                <w:lang w:bidi="ar"/>
              </w:rPr>
            </w:pPr>
          </w:p>
        </w:tc>
      </w:tr>
      <w:tr w14:paraId="636A12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B16E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2C5E2C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AA6E6E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F6E71E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14FB72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BE475B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8C58ABF">
            <w:pPr>
              <w:widowControl/>
              <w:snapToGrid w:val="0"/>
              <w:jc w:val="center"/>
              <w:textAlignment w:val="center"/>
              <w:rPr>
                <w:rFonts w:asciiTheme="minorEastAsia" w:hAnsiTheme="minorEastAsia" w:cstheme="minorEastAsia"/>
                <w:color w:val="000000"/>
                <w:kern w:val="0"/>
                <w:szCs w:val="21"/>
                <w:lang w:bidi="ar"/>
              </w:rPr>
            </w:pPr>
          </w:p>
        </w:tc>
      </w:tr>
      <w:tr w14:paraId="30BAAD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6F2C5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2286E3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6BE721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70B4C1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DD50DC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6E2B7A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E5AB9D6">
            <w:pPr>
              <w:widowControl/>
              <w:snapToGrid w:val="0"/>
              <w:jc w:val="center"/>
              <w:textAlignment w:val="center"/>
              <w:rPr>
                <w:rFonts w:asciiTheme="minorEastAsia" w:hAnsiTheme="minorEastAsia" w:cstheme="minorEastAsia"/>
                <w:color w:val="000000"/>
                <w:kern w:val="0"/>
                <w:szCs w:val="21"/>
                <w:lang w:bidi="ar"/>
              </w:rPr>
            </w:pPr>
          </w:p>
        </w:tc>
      </w:tr>
      <w:tr w14:paraId="559957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27EAD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CAC939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B8CAF0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C7B14E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71C9DD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ED4DC3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6E464FA">
            <w:pPr>
              <w:widowControl/>
              <w:snapToGrid w:val="0"/>
              <w:jc w:val="center"/>
              <w:textAlignment w:val="center"/>
              <w:rPr>
                <w:rFonts w:asciiTheme="minorEastAsia" w:hAnsiTheme="minorEastAsia" w:cstheme="minorEastAsia"/>
                <w:color w:val="000000"/>
                <w:kern w:val="0"/>
                <w:szCs w:val="21"/>
                <w:lang w:bidi="ar"/>
              </w:rPr>
            </w:pPr>
          </w:p>
        </w:tc>
      </w:tr>
      <w:tr w14:paraId="61E8BE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05F07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BDE2BA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857E1B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98F2CD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76D778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235952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943DBDC">
            <w:pPr>
              <w:widowControl/>
              <w:snapToGrid w:val="0"/>
              <w:jc w:val="center"/>
              <w:textAlignment w:val="center"/>
              <w:rPr>
                <w:rFonts w:asciiTheme="minorEastAsia" w:hAnsiTheme="minorEastAsia" w:cstheme="minorEastAsia"/>
                <w:color w:val="000000"/>
                <w:kern w:val="0"/>
                <w:szCs w:val="21"/>
                <w:lang w:bidi="ar"/>
              </w:rPr>
            </w:pPr>
          </w:p>
        </w:tc>
      </w:tr>
      <w:tr w14:paraId="1246002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DF0FD0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DD7FE4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08C739F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7579F4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45BCEC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38B28F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F941306">
            <w:pPr>
              <w:widowControl/>
              <w:snapToGrid w:val="0"/>
              <w:jc w:val="center"/>
              <w:textAlignment w:val="center"/>
              <w:rPr>
                <w:rFonts w:asciiTheme="minorEastAsia" w:hAnsiTheme="minorEastAsia" w:cstheme="minorEastAsia"/>
                <w:color w:val="000000"/>
                <w:kern w:val="0"/>
                <w:szCs w:val="21"/>
                <w:lang w:bidi="ar"/>
              </w:rPr>
            </w:pPr>
          </w:p>
        </w:tc>
      </w:tr>
      <w:tr w14:paraId="78C4D6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20875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A4FC3C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0C2529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5547EC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C3A5AF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340125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2A87C77">
            <w:pPr>
              <w:widowControl/>
              <w:snapToGrid w:val="0"/>
              <w:jc w:val="center"/>
              <w:textAlignment w:val="center"/>
              <w:rPr>
                <w:rFonts w:asciiTheme="minorEastAsia" w:hAnsiTheme="minorEastAsia" w:cstheme="minorEastAsia"/>
                <w:color w:val="000000"/>
                <w:kern w:val="0"/>
                <w:szCs w:val="21"/>
                <w:lang w:bidi="ar"/>
              </w:rPr>
            </w:pPr>
          </w:p>
        </w:tc>
      </w:tr>
      <w:tr w14:paraId="748A3D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0DB3F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0C5FE1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C53AC3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BA1EDE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C33FC8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3D0AA1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58F5395">
            <w:pPr>
              <w:widowControl/>
              <w:snapToGrid w:val="0"/>
              <w:jc w:val="center"/>
              <w:textAlignment w:val="center"/>
              <w:rPr>
                <w:rFonts w:asciiTheme="minorEastAsia" w:hAnsiTheme="minorEastAsia" w:cstheme="minorEastAsia"/>
                <w:color w:val="000000"/>
                <w:kern w:val="0"/>
                <w:szCs w:val="21"/>
                <w:lang w:bidi="ar"/>
              </w:rPr>
            </w:pPr>
          </w:p>
        </w:tc>
      </w:tr>
      <w:tr w14:paraId="5180A9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85583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391A871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0346036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3EB411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7ED7F8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136EF8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B005413">
            <w:pPr>
              <w:widowControl/>
              <w:snapToGrid w:val="0"/>
              <w:jc w:val="center"/>
              <w:textAlignment w:val="center"/>
              <w:rPr>
                <w:rFonts w:asciiTheme="minorEastAsia" w:hAnsiTheme="minorEastAsia" w:cstheme="minorEastAsia"/>
                <w:color w:val="000000"/>
                <w:kern w:val="0"/>
                <w:szCs w:val="21"/>
                <w:lang w:bidi="ar"/>
              </w:rPr>
            </w:pPr>
          </w:p>
        </w:tc>
      </w:tr>
      <w:tr w14:paraId="1BEBC9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4E17C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414CC1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02C9CE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4C0B60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7EBA70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47261B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7556FC7">
            <w:pPr>
              <w:widowControl/>
              <w:snapToGrid w:val="0"/>
              <w:jc w:val="center"/>
              <w:textAlignment w:val="center"/>
              <w:rPr>
                <w:rFonts w:asciiTheme="minorEastAsia" w:hAnsiTheme="minorEastAsia" w:cstheme="minorEastAsia"/>
                <w:color w:val="000000"/>
                <w:kern w:val="0"/>
                <w:szCs w:val="21"/>
                <w:lang w:bidi="ar"/>
              </w:rPr>
            </w:pPr>
          </w:p>
        </w:tc>
      </w:tr>
      <w:tr w14:paraId="195F4B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64435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390C21C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4,974.67　</w:t>
            </w:r>
          </w:p>
        </w:tc>
        <w:tc>
          <w:tcPr>
            <w:tcW w:w="948" w:type="pct"/>
            <w:tcBorders>
              <w:top w:val="nil"/>
              <w:left w:val="nil"/>
              <w:bottom w:val="single" w:color="auto" w:sz="4" w:space="0"/>
              <w:right w:val="single" w:color="000000" w:sz="4" w:space="0"/>
            </w:tcBorders>
            <w:noWrap/>
            <w:vAlign w:val="center"/>
          </w:tcPr>
          <w:p w14:paraId="73B2689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EF8AF7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330F4D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3CC358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831DA37">
            <w:pPr>
              <w:widowControl/>
              <w:snapToGrid w:val="0"/>
              <w:jc w:val="center"/>
              <w:textAlignment w:val="center"/>
              <w:rPr>
                <w:rFonts w:asciiTheme="minorEastAsia" w:hAnsiTheme="minorEastAsia" w:cstheme="minorEastAsia"/>
                <w:color w:val="000000"/>
                <w:kern w:val="0"/>
                <w:szCs w:val="21"/>
                <w:lang w:bidi="ar"/>
              </w:rPr>
            </w:pPr>
          </w:p>
        </w:tc>
      </w:tr>
      <w:tr w14:paraId="6E2A67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F1546EA">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BA5FDD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44.42　</w:t>
            </w:r>
          </w:p>
        </w:tc>
        <w:tc>
          <w:tcPr>
            <w:tcW w:w="948" w:type="pct"/>
            <w:tcBorders>
              <w:top w:val="single" w:color="auto" w:sz="4" w:space="0"/>
              <w:left w:val="single" w:color="auto" w:sz="4" w:space="0"/>
              <w:bottom w:val="single" w:color="auto" w:sz="4" w:space="0"/>
              <w:right w:val="single" w:color="auto" w:sz="4" w:space="0"/>
            </w:tcBorders>
            <w:noWrap/>
            <w:vAlign w:val="center"/>
          </w:tcPr>
          <w:p w14:paraId="7572D8C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9688E2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6B6AAB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5082B81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59D9CCE8">
            <w:pPr>
              <w:widowControl/>
              <w:snapToGrid w:val="0"/>
              <w:jc w:val="center"/>
              <w:textAlignment w:val="center"/>
              <w:rPr>
                <w:rFonts w:asciiTheme="minorEastAsia" w:hAnsiTheme="minorEastAsia" w:cstheme="minorEastAsia"/>
                <w:color w:val="000000"/>
                <w:kern w:val="0"/>
                <w:szCs w:val="21"/>
                <w:lang w:bidi="ar"/>
              </w:rPr>
            </w:pPr>
          </w:p>
        </w:tc>
      </w:tr>
      <w:tr w14:paraId="3E3DACA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53FF89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63D2E4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4,930.26</w:t>
            </w:r>
          </w:p>
        </w:tc>
        <w:tc>
          <w:tcPr>
            <w:tcW w:w="948" w:type="pct"/>
            <w:tcBorders>
              <w:top w:val="single" w:color="auto" w:sz="4" w:space="0"/>
              <w:left w:val="single" w:color="auto" w:sz="4" w:space="0"/>
              <w:bottom w:val="single" w:color="auto" w:sz="4" w:space="0"/>
              <w:right w:val="single" w:color="auto" w:sz="4" w:space="0"/>
            </w:tcBorders>
            <w:noWrap/>
            <w:vAlign w:val="center"/>
          </w:tcPr>
          <w:p w14:paraId="545E2E9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D93FDA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1110D4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6ACA0F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2C079AA">
            <w:pPr>
              <w:widowControl/>
              <w:snapToGrid w:val="0"/>
              <w:jc w:val="center"/>
              <w:textAlignment w:val="center"/>
              <w:rPr>
                <w:rFonts w:asciiTheme="minorEastAsia" w:hAnsiTheme="minorEastAsia" w:cstheme="minorEastAsia"/>
                <w:color w:val="000000"/>
                <w:kern w:val="0"/>
                <w:szCs w:val="21"/>
                <w:lang w:bidi="ar"/>
              </w:rPr>
            </w:pPr>
          </w:p>
        </w:tc>
      </w:tr>
      <w:tr w14:paraId="5718A52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11213E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C2117D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15,548.53</w:t>
            </w:r>
          </w:p>
        </w:tc>
        <w:tc>
          <w:tcPr>
            <w:tcW w:w="948" w:type="pct"/>
            <w:tcBorders>
              <w:top w:val="single" w:color="auto" w:sz="4" w:space="0"/>
              <w:left w:val="single" w:color="auto" w:sz="4" w:space="0"/>
              <w:bottom w:val="single" w:color="auto" w:sz="4" w:space="0"/>
              <w:right w:val="single" w:color="auto" w:sz="4" w:space="0"/>
            </w:tcBorders>
            <w:noWrap/>
            <w:vAlign w:val="center"/>
          </w:tcPr>
          <w:p w14:paraId="12FCDCC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BFB02C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15,548.53</w:t>
            </w:r>
          </w:p>
        </w:tc>
        <w:tc>
          <w:tcPr>
            <w:tcW w:w="612" w:type="pct"/>
            <w:tcBorders>
              <w:top w:val="single" w:color="auto" w:sz="4" w:space="0"/>
              <w:left w:val="single" w:color="auto" w:sz="4" w:space="0"/>
              <w:bottom w:val="single" w:color="auto" w:sz="4" w:space="0"/>
              <w:right w:val="single" w:color="auto" w:sz="4" w:space="0"/>
            </w:tcBorders>
            <w:noWrap/>
            <w:vAlign w:val="center"/>
          </w:tcPr>
          <w:p w14:paraId="3A30E68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2,186.82</w:t>
            </w:r>
          </w:p>
        </w:tc>
        <w:tc>
          <w:tcPr>
            <w:tcW w:w="602" w:type="pct"/>
            <w:tcBorders>
              <w:top w:val="single" w:color="auto" w:sz="4" w:space="0"/>
              <w:left w:val="single" w:color="auto" w:sz="4" w:space="0"/>
              <w:bottom w:val="single" w:color="auto" w:sz="4" w:space="0"/>
              <w:right w:val="single" w:color="auto" w:sz="4" w:space="0"/>
            </w:tcBorders>
            <w:noWrap/>
            <w:vAlign w:val="center"/>
          </w:tcPr>
          <w:p w14:paraId="4190CAD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13,361.72</w:t>
            </w:r>
          </w:p>
        </w:tc>
        <w:tc>
          <w:tcPr>
            <w:tcW w:w="632" w:type="pct"/>
            <w:tcBorders>
              <w:top w:val="single" w:color="auto" w:sz="4" w:space="0"/>
              <w:left w:val="single" w:color="auto" w:sz="4" w:space="0"/>
              <w:bottom w:val="single" w:color="auto" w:sz="4" w:space="0"/>
              <w:right w:val="single" w:color="auto" w:sz="4" w:space="0"/>
            </w:tcBorders>
            <w:noWrap/>
            <w:vAlign w:val="center"/>
          </w:tcPr>
          <w:p w14:paraId="6E266BD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3189767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88FCA93">
        <w:tblPrEx>
          <w:tblCellMar>
            <w:top w:w="0" w:type="dxa"/>
            <w:left w:w="108" w:type="dxa"/>
            <w:bottom w:w="0" w:type="dxa"/>
            <w:right w:w="108" w:type="dxa"/>
          </w:tblCellMar>
        </w:tblPrEx>
        <w:trPr>
          <w:trHeight w:val="585" w:hRule="atLeast"/>
          <w:tblHeader/>
        </w:trPr>
        <w:tc>
          <w:tcPr>
            <w:tcW w:w="5000" w:type="pct"/>
            <w:gridSpan w:val="5"/>
            <w:noWrap/>
            <w:vAlign w:val="center"/>
          </w:tcPr>
          <w:p w14:paraId="2D84807E">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0E59D980">
        <w:tblPrEx>
          <w:tblCellMar>
            <w:top w:w="0" w:type="dxa"/>
            <w:left w:w="108" w:type="dxa"/>
            <w:bottom w:w="0" w:type="dxa"/>
            <w:right w:w="108" w:type="dxa"/>
          </w:tblCellMar>
        </w:tblPrEx>
        <w:trPr>
          <w:trHeight w:val="420" w:hRule="atLeast"/>
          <w:tblHeader/>
        </w:trPr>
        <w:tc>
          <w:tcPr>
            <w:tcW w:w="2433" w:type="pct"/>
            <w:gridSpan w:val="2"/>
            <w:noWrap/>
            <w:vAlign w:val="center"/>
          </w:tcPr>
          <w:p w14:paraId="70749EB6">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填报单位:314浮梁县自然资源和规划局</w:t>
            </w:r>
          </w:p>
        </w:tc>
        <w:tc>
          <w:tcPr>
            <w:tcW w:w="1056" w:type="pct"/>
            <w:noWrap/>
            <w:vAlign w:val="bottom"/>
          </w:tcPr>
          <w:p w14:paraId="313ED8BA">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6A2B1594">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45C5E137">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8AD870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EC7E8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3AE44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5216E28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68885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33862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8887F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CDA6B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D2F70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7BF43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25D79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844F1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7FEB5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C532E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1F9E38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AF396D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D7F2AF">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50AEA2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62DF3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2,142.40</w:t>
            </w:r>
          </w:p>
        </w:tc>
        <w:tc>
          <w:tcPr>
            <w:tcW w:w="684" w:type="pct"/>
            <w:tcBorders>
              <w:top w:val="single" w:color="000000" w:sz="4" w:space="0"/>
              <w:left w:val="nil"/>
              <w:bottom w:val="single" w:color="000000" w:sz="4" w:space="0"/>
              <w:right w:val="single" w:color="000000" w:sz="4" w:space="0"/>
            </w:tcBorders>
            <w:noWrap/>
            <w:vAlign w:val="center"/>
          </w:tcPr>
          <w:p w14:paraId="741C01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1,790.01</w:t>
            </w:r>
          </w:p>
        </w:tc>
        <w:tc>
          <w:tcPr>
            <w:tcW w:w="825" w:type="pct"/>
            <w:tcBorders>
              <w:top w:val="single" w:color="000000" w:sz="4" w:space="0"/>
              <w:left w:val="nil"/>
              <w:bottom w:val="single" w:color="000000" w:sz="4" w:space="0"/>
              <w:right w:val="single" w:color="000000" w:sz="4" w:space="0"/>
            </w:tcBorders>
            <w:noWrap/>
            <w:vAlign w:val="center"/>
          </w:tcPr>
          <w:p w14:paraId="4C65E1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7C9A6D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29FA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15152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9A3CF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684" w:type="pct"/>
            <w:tcBorders>
              <w:top w:val="single" w:color="000000" w:sz="4" w:space="0"/>
              <w:left w:val="nil"/>
              <w:bottom w:val="single" w:color="000000" w:sz="4" w:space="0"/>
              <w:right w:val="single" w:color="000000" w:sz="4" w:space="0"/>
            </w:tcBorders>
            <w:noWrap/>
            <w:vAlign w:val="center"/>
          </w:tcPr>
          <w:p w14:paraId="17543B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825" w:type="pct"/>
            <w:tcBorders>
              <w:top w:val="single" w:color="000000" w:sz="4" w:space="0"/>
              <w:left w:val="nil"/>
              <w:bottom w:val="single" w:color="000000" w:sz="4" w:space="0"/>
              <w:right w:val="single" w:color="000000" w:sz="4" w:space="0"/>
            </w:tcBorders>
            <w:noWrap/>
            <w:vAlign w:val="center"/>
          </w:tcPr>
          <w:p w14:paraId="61CE4B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14A9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CC7A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47F33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5742CA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684" w:type="pct"/>
            <w:tcBorders>
              <w:top w:val="single" w:color="000000" w:sz="4" w:space="0"/>
              <w:left w:val="nil"/>
              <w:bottom w:val="single" w:color="000000" w:sz="4" w:space="0"/>
              <w:right w:val="single" w:color="000000" w:sz="4" w:space="0"/>
            </w:tcBorders>
            <w:noWrap/>
            <w:vAlign w:val="center"/>
          </w:tcPr>
          <w:p w14:paraId="25BABE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229.31</w:t>
            </w:r>
          </w:p>
        </w:tc>
        <w:tc>
          <w:tcPr>
            <w:tcW w:w="825" w:type="pct"/>
            <w:tcBorders>
              <w:top w:val="single" w:color="000000" w:sz="4" w:space="0"/>
              <w:left w:val="nil"/>
              <w:bottom w:val="single" w:color="000000" w:sz="4" w:space="0"/>
              <w:right w:val="single" w:color="000000" w:sz="4" w:space="0"/>
            </w:tcBorders>
            <w:noWrap/>
            <w:vAlign w:val="center"/>
          </w:tcPr>
          <w:p w14:paraId="12A6630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B0E3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5D3E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35B50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57BA8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684" w:type="pct"/>
            <w:tcBorders>
              <w:top w:val="single" w:color="000000" w:sz="4" w:space="0"/>
              <w:left w:val="nil"/>
              <w:bottom w:val="single" w:color="000000" w:sz="4" w:space="0"/>
              <w:right w:val="single" w:color="000000" w:sz="4" w:space="0"/>
            </w:tcBorders>
            <w:noWrap/>
            <w:vAlign w:val="center"/>
          </w:tcPr>
          <w:p w14:paraId="1F9C93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825" w:type="pct"/>
            <w:tcBorders>
              <w:top w:val="single" w:color="000000" w:sz="4" w:space="0"/>
              <w:left w:val="nil"/>
              <w:bottom w:val="single" w:color="000000" w:sz="4" w:space="0"/>
              <w:right w:val="single" w:color="000000" w:sz="4" w:space="0"/>
            </w:tcBorders>
            <w:noWrap/>
            <w:vAlign w:val="center"/>
          </w:tcPr>
          <w:p w14:paraId="7EB5A1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63D33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5AC7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431635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6AFE0E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684" w:type="pct"/>
            <w:tcBorders>
              <w:top w:val="single" w:color="000000" w:sz="4" w:space="0"/>
              <w:left w:val="nil"/>
              <w:bottom w:val="single" w:color="000000" w:sz="4" w:space="0"/>
              <w:right w:val="single" w:color="000000" w:sz="4" w:space="0"/>
            </w:tcBorders>
            <w:noWrap/>
            <w:vAlign w:val="center"/>
          </w:tcPr>
          <w:p w14:paraId="081CB1E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825" w:type="pct"/>
            <w:tcBorders>
              <w:top w:val="single" w:color="000000" w:sz="4" w:space="0"/>
              <w:left w:val="nil"/>
              <w:bottom w:val="single" w:color="000000" w:sz="4" w:space="0"/>
              <w:right w:val="single" w:color="000000" w:sz="4" w:space="0"/>
            </w:tcBorders>
            <w:noWrap/>
            <w:vAlign w:val="center"/>
          </w:tcPr>
          <w:p w14:paraId="42C984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B19FF0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0F22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4857A2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172816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684" w:type="pct"/>
            <w:tcBorders>
              <w:top w:val="single" w:color="000000" w:sz="4" w:space="0"/>
              <w:left w:val="nil"/>
              <w:bottom w:val="single" w:color="000000" w:sz="4" w:space="0"/>
              <w:right w:val="single" w:color="000000" w:sz="4" w:space="0"/>
            </w:tcBorders>
            <w:noWrap/>
            <w:vAlign w:val="center"/>
          </w:tcPr>
          <w:p w14:paraId="5644F50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825" w:type="pct"/>
            <w:tcBorders>
              <w:top w:val="single" w:color="000000" w:sz="4" w:space="0"/>
              <w:left w:val="nil"/>
              <w:bottom w:val="single" w:color="000000" w:sz="4" w:space="0"/>
              <w:right w:val="single" w:color="000000" w:sz="4" w:space="0"/>
            </w:tcBorders>
            <w:noWrap/>
            <w:vAlign w:val="center"/>
          </w:tcPr>
          <w:p w14:paraId="518634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8C606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7753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18D5D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290C2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684" w:type="pct"/>
            <w:tcBorders>
              <w:top w:val="single" w:color="000000" w:sz="4" w:space="0"/>
              <w:left w:val="nil"/>
              <w:bottom w:val="single" w:color="000000" w:sz="4" w:space="0"/>
              <w:right w:val="single" w:color="000000" w:sz="4" w:space="0"/>
            </w:tcBorders>
            <w:noWrap/>
            <w:vAlign w:val="center"/>
          </w:tcPr>
          <w:p w14:paraId="09484A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w:t>
            </w:r>
          </w:p>
        </w:tc>
        <w:tc>
          <w:tcPr>
            <w:tcW w:w="825" w:type="pct"/>
            <w:tcBorders>
              <w:top w:val="single" w:color="000000" w:sz="4" w:space="0"/>
              <w:left w:val="nil"/>
              <w:bottom w:val="single" w:color="000000" w:sz="4" w:space="0"/>
              <w:right w:val="single" w:color="000000" w:sz="4" w:space="0"/>
            </w:tcBorders>
            <w:noWrap/>
            <w:vAlign w:val="center"/>
          </w:tcPr>
          <w:p w14:paraId="6C22A9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055A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ACCBE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2F2B1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B9E75B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684" w:type="pct"/>
            <w:tcBorders>
              <w:top w:val="single" w:color="000000" w:sz="4" w:space="0"/>
              <w:left w:val="nil"/>
              <w:bottom w:val="single" w:color="000000" w:sz="4" w:space="0"/>
              <w:right w:val="single" w:color="000000" w:sz="4" w:space="0"/>
            </w:tcBorders>
            <w:noWrap/>
            <w:vAlign w:val="center"/>
          </w:tcPr>
          <w:p w14:paraId="495066A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825" w:type="pct"/>
            <w:tcBorders>
              <w:top w:val="single" w:color="000000" w:sz="4" w:space="0"/>
              <w:left w:val="nil"/>
              <w:bottom w:val="single" w:color="000000" w:sz="4" w:space="0"/>
              <w:right w:val="single" w:color="000000" w:sz="4" w:space="0"/>
            </w:tcBorders>
            <w:noWrap/>
            <w:vAlign w:val="center"/>
          </w:tcPr>
          <w:p w14:paraId="5725C2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A30F4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D3E5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05C95C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090D44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w:t>
            </w:r>
          </w:p>
        </w:tc>
        <w:tc>
          <w:tcPr>
            <w:tcW w:w="684" w:type="pct"/>
            <w:tcBorders>
              <w:top w:val="single" w:color="000000" w:sz="4" w:space="0"/>
              <w:left w:val="nil"/>
              <w:bottom w:val="single" w:color="000000" w:sz="4" w:space="0"/>
              <w:right w:val="single" w:color="000000" w:sz="4" w:space="0"/>
            </w:tcBorders>
            <w:noWrap/>
            <w:vAlign w:val="center"/>
          </w:tcPr>
          <w:p w14:paraId="29B237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w:t>
            </w:r>
          </w:p>
        </w:tc>
        <w:tc>
          <w:tcPr>
            <w:tcW w:w="825" w:type="pct"/>
            <w:tcBorders>
              <w:top w:val="single" w:color="000000" w:sz="4" w:space="0"/>
              <w:left w:val="nil"/>
              <w:bottom w:val="single" w:color="000000" w:sz="4" w:space="0"/>
              <w:right w:val="single" w:color="000000" w:sz="4" w:space="0"/>
            </w:tcBorders>
            <w:noWrap/>
            <w:vAlign w:val="center"/>
          </w:tcPr>
          <w:p w14:paraId="2F527E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4B8FA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62E83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89C76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80ABB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684" w:type="pct"/>
            <w:tcBorders>
              <w:top w:val="single" w:color="000000" w:sz="4" w:space="0"/>
              <w:left w:val="nil"/>
              <w:bottom w:val="single" w:color="000000" w:sz="4" w:space="0"/>
              <w:right w:val="single" w:color="000000" w:sz="4" w:space="0"/>
            </w:tcBorders>
            <w:noWrap/>
            <w:vAlign w:val="center"/>
          </w:tcPr>
          <w:p w14:paraId="7C42CE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825" w:type="pct"/>
            <w:tcBorders>
              <w:top w:val="single" w:color="000000" w:sz="4" w:space="0"/>
              <w:left w:val="nil"/>
              <w:bottom w:val="single" w:color="000000" w:sz="4" w:space="0"/>
              <w:right w:val="single" w:color="000000" w:sz="4" w:space="0"/>
            </w:tcBorders>
            <w:noWrap/>
            <w:vAlign w:val="center"/>
          </w:tcPr>
          <w:p w14:paraId="03960C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E4BF7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80F0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w:t>
            </w:r>
          </w:p>
        </w:tc>
        <w:tc>
          <w:tcPr>
            <w:tcW w:w="1579" w:type="pct"/>
            <w:tcBorders>
              <w:top w:val="single" w:color="000000" w:sz="4" w:space="0"/>
              <w:left w:val="nil"/>
              <w:bottom w:val="single" w:color="000000" w:sz="4" w:space="0"/>
              <w:right w:val="single" w:color="000000" w:sz="4" w:space="0"/>
            </w:tcBorders>
            <w:noWrap/>
            <w:vAlign w:val="center"/>
          </w:tcPr>
          <w:p w14:paraId="0196706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自然资源海洋气象等支出</w:t>
            </w:r>
          </w:p>
        </w:tc>
        <w:tc>
          <w:tcPr>
            <w:tcW w:w="1056" w:type="pct"/>
            <w:tcBorders>
              <w:top w:val="single" w:color="000000" w:sz="4" w:space="0"/>
              <w:left w:val="nil"/>
              <w:bottom w:val="single" w:color="000000" w:sz="4" w:space="0"/>
              <w:right w:val="single" w:color="000000" w:sz="4" w:space="0"/>
            </w:tcBorders>
            <w:noWrap/>
            <w:vAlign w:val="center"/>
          </w:tcPr>
          <w:p w14:paraId="75A9D1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1,731.90</w:t>
            </w:r>
          </w:p>
        </w:tc>
        <w:tc>
          <w:tcPr>
            <w:tcW w:w="684" w:type="pct"/>
            <w:tcBorders>
              <w:top w:val="single" w:color="000000" w:sz="4" w:space="0"/>
              <w:left w:val="nil"/>
              <w:bottom w:val="single" w:color="000000" w:sz="4" w:space="0"/>
              <w:right w:val="single" w:color="000000" w:sz="4" w:space="0"/>
            </w:tcBorders>
            <w:noWrap/>
            <w:vAlign w:val="center"/>
          </w:tcPr>
          <w:p w14:paraId="5C3BFA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1,379.51</w:t>
            </w:r>
          </w:p>
        </w:tc>
        <w:tc>
          <w:tcPr>
            <w:tcW w:w="825" w:type="pct"/>
            <w:tcBorders>
              <w:top w:val="single" w:color="000000" w:sz="4" w:space="0"/>
              <w:left w:val="nil"/>
              <w:bottom w:val="single" w:color="000000" w:sz="4" w:space="0"/>
              <w:right w:val="single" w:color="000000" w:sz="4" w:space="0"/>
            </w:tcBorders>
            <w:noWrap/>
            <w:vAlign w:val="center"/>
          </w:tcPr>
          <w:p w14:paraId="36EB73F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5547D6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24BA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22001</w:t>
            </w:r>
          </w:p>
        </w:tc>
        <w:tc>
          <w:tcPr>
            <w:tcW w:w="1579" w:type="pct"/>
            <w:tcBorders>
              <w:top w:val="single" w:color="000000" w:sz="4" w:space="0"/>
              <w:left w:val="nil"/>
              <w:bottom w:val="single" w:color="000000" w:sz="4" w:space="0"/>
              <w:right w:val="single" w:color="000000" w:sz="4" w:space="0"/>
            </w:tcBorders>
            <w:noWrap/>
            <w:vAlign w:val="center"/>
          </w:tcPr>
          <w:p w14:paraId="6C39BA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自然资源事务</w:t>
            </w:r>
          </w:p>
        </w:tc>
        <w:tc>
          <w:tcPr>
            <w:tcW w:w="1056" w:type="pct"/>
            <w:tcBorders>
              <w:top w:val="single" w:color="000000" w:sz="4" w:space="0"/>
              <w:left w:val="nil"/>
              <w:bottom w:val="single" w:color="000000" w:sz="4" w:space="0"/>
              <w:right w:val="single" w:color="000000" w:sz="4" w:space="0"/>
            </w:tcBorders>
            <w:noWrap/>
            <w:vAlign w:val="center"/>
          </w:tcPr>
          <w:p w14:paraId="44AC25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1,731.90</w:t>
            </w:r>
          </w:p>
        </w:tc>
        <w:tc>
          <w:tcPr>
            <w:tcW w:w="684" w:type="pct"/>
            <w:tcBorders>
              <w:top w:val="single" w:color="000000" w:sz="4" w:space="0"/>
              <w:left w:val="nil"/>
              <w:bottom w:val="single" w:color="000000" w:sz="4" w:space="0"/>
              <w:right w:val="single" w:color="000000" w:sz="4" w:space="0"/>
            </w:tcBorders>
            <w:noWrap/>
            <w:vAlign w:val="center"/>
          </w:tcPr>
          <w:p w14:paraId="757B46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1,379.51</w:t>
            </w:r>
          </w:p>
        </w:tc>
        <w:tc>
          <w:tcPr>
            <w:tcW w:w="825" w:type="pct"/>
            <w:tcBorders>
              <w:top w:val="single" w:color="000000" w:sz="4" w:space="0"/>
              <w:left w:val="nil"/>
              <w:bottom w:val="single" w:color="000000" w:sz="4" w:space="0"/>
              <w:right w:val="single" w:color="000000" w:sz="4" w:space="0"/>
            </w:tcBorders>
            <w:noWrap/>
            <w:vAlign w:val="center"/>
          </w:tcPr>
          <w:p w14:paraId="1A67C8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5053A2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35AA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2200101</w:t>
            </w:r>
          </w:p>
        </w:tc>
        <w:tc>
          <w:tcPr>
            <w:tcW w:w="1579" w:type="pct"/>
            <w:tcBorders>
              <w:top w:val="single" w:color="000000" w:sz="4" w:space="0"/>
              <w:left w:val="nil"/>
              <w:bottom w:val="single" w:color="000000" w:sz="4" w:space="0"/>
              <w:right w:val="single" w:color="000000" w:sz="4" w:space="0"/>
            </w:tcBorders>
            <w:noWrap/>
            <w:vAlign w:val="center"/>
          </w:tcPr>
          <w:p w14:paraId="0C8EEF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FF9587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684" w:type="pct"/>
            <w:tcBorders>
              <w:top w:val="single" w:color="000000" w:sz="4" w:space="0"/>
              <w:left w:val="nil"/>
              <w:bottom w:val="single" w:color="000000" w:sz="4" w:space="0"/>
              <w:right w:val="single" w:color="000000" w:sz="4" w:space="0"/>
            </w:tcBorders>
            <w:noWrap/>
            <w:vAlign w:val="center"/>
          </w:tcPr>
          <w:p w14:paraId="1CE37B1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825" w:type="pct"/>
            <w:tcBorders>
              <w:top w:val="single" w:color="000000" w:sz="4" w:space="0"/>
              <w:left w:val="nil"/>
              <w:bottom w:val="single" w:color="000000" w:sz="4" w:space="0"/>
              <w:right w:val="single" w:color="000000" w:sz="4" w:space="0"/>
            </w:tcBorders>
            <w:noWrap/>
            <w:vAlign w:val="center"/>
          </w:tcPr>
          <w:p w14:paraId="32137D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4718F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2325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2200103</w:t>
            </w:r>
          </w:p>
        </w:tc>
        <w:tc>
          <w:tcPr>
            <w:tcW w:w="1579" w:type="pct"/>
            <w:tcBorders>
              <w:top w:val="single" w:color="000000" w:sz="4" w:space="0"/>
              <w:left w:val="nil"/>
              <w:bottom w:val="single" w:color="000000" w:sz="4" w:space="0"/>
              <w:right w:val="single" w:color="000000" w:sz="4" w:space="0"/>
            </w:tcBorders>
            <w:noWrap/>
            <w:vAlign w:val="center"/>
          </w:tcPr>
          <w:p w14:paraId="51EED1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机关服务</w:t>
            </w:r>
          </w:p>
        </w:tc>
        <w:tc>
          <w:tcPr>
            <w:tcW w:w="1056" w:type="pct"/>
            <w:tcBorders>
              <w:top w:val="single" w:color="000000" w:sz="4" w:space="0"/>
              <w:left w:val="nil"/>
              <w:bottom w:val="single" w:color="000000" w:sz="4" w:space="0"/>
              <w:right w:val="single" w:color="000000" w:sz="4" w:space="0"/>
            </w:tcBorders>
            <w:noWrap/>
            <w:vAlign w:val="center"/>
          </w:tcPr>
          <w:p w14:paraId="4645FC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684" w:type="pct"/>
            <w:tcBorders>
              <w:top w:val="single" w:color="000000" w:sz="4" w:space="0"/>
              <w:left w:val="nil"/>
              <w:bottom w:val="single" w:color="000000" w:sz="4" w:space="0"/>
              <w:right w:val="single" w:color="000000" w:sz="4" w:space="0"/>
            </w:tcBorders>
            <w:noWrap/>
            <w:vAlign w:val="center"/>
          </w:tcPr>
          <w:p w14:paraId="5C479AA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825" w:type="pct"/>
            <w:tcBorders>
              <w:top w:val="single" w:color="000000" w:sz="4" w:space="0"/>
              <w:left w:val="nil"/>
              <w:bottom w:val="single" w:color="000000" w:sz="4" w:space="0"/>
              <w:right w:val="single" w:color="000000" w:sz="4" w:space="0"/>
            </w:tcBorders>
            <w:noWrap/>
            <w:vAlign w:val="center"/>
          </w:tcPr>
          <w:p w14:paraId="331234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5B2047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BE0E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2200112</w:t>
            </w:r>
          </w:p>
        </w:tc>
        <w:tc>
          <w:tcPr>
            <w:tcW w:w="1579" w:type="pct"/>
            <w:tcBorders>
              <w:top w:val="single" w:color="000000" w:sz="4" w:space="0"/>
              <w:left w:val="nil"/>
              <w:bottom w:val="single" w:color="000000" w:sz="4" w:space="0"/>
              <w:right w:val="single" w:color="000000" w:sz="4" w:space="0"/>
            </w:tcBorders>
            <w:noWrap/>
            <w:vAlign w:val="center"/>
          </w:tcPr>
          <w:p w14:paraId="6571AF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土地资源储备支出</w:t>
            </w:r>
          </w:p>
        </w:tc>
        <w:tc>
          <w:tcPr>
            <w:tcW w:w="1056" w:type="pct"/>
            <w:tcBorders>
              <w:top w:val="single" w:color="000000" w:sz="4" w:space="0"/>
              <w:left w:val="nil"/>
              <w:bottom w:val="single" w:color="000000" w:sz="4" w:space="0"/>
              <w:right w:val="single" w:color="000000" w:sz="4" w:space="0"/>
            </w:tcBorders>
            <w:noWrap/>
            <w:vAlign w:val="center"/>
          </w:tcPr>
          <w:p w14:paraId="742917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76.80</w:t>
            </w:r>
          </w:p>
        </w:tc>
        <w:tc>
          <w:tcPr>
            <w:tcW w:w="684" w:type="pct"/>
            <w:tcBorders>
              <w:top w:val="single" w:color="000000" w:sz="4" w:space="0"/>
              <w:left w:val="nil"/>
              <w:bottom w:val="single" w:color="000000" w:sz="4" w:space="0"/>
              <w:right w:val="single" w:color="000000" w:sz="4" w:space="0"/>
            </w:tcBorders>
            <w:noWrap/>
            <w:vAlign w:val="center"/>
          </w:tcPr>
          <w:p w14:paraId="67A783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76.80</w:t>
            </w:r>
          </w:p>
        </w:tc>
        <w:tc>
          <w:tcPr>
            <w:tcW w:w="825" w:type="pct"/>
            <w:tcBorders>
              <w:top w:val="single" w:color="000000" w:sz="4" w:space="0"/>
              <w:left w:val="nil"/>
              <w:bottom w:val="single" w:color="000000" w:sz="4" w:space="0"/>
              <w:right w:val="single" w:color="000000" w:sz="4" w:space="0"/>
            </w:tcBorders>
            <w:noWrap/>
            <w:vAlign w:val="center"/>
          </w:tcPr>
          <w:p w14:paraId="7CA958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882D4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DB92A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2200199</w:t>
            </w:r>
          </w:p>
        </w:tc>
        <w:tc>
          <w:tcPr>
            <w:tcW w:w="1579" w:type="pct"/>
            <w:tcBorders>
              <w:top w:val="single" w:color="000000" w:sz="4" w:space="0"/>
              <w:left w:val="nil"/>
              <w:bottom w:val="single" w:color="000000" w:sz="4" w:space="0"/>
              <w:right w:val="single" w:color="000000" w:sz="4" w:space="0"/>
            </w:tcBorders>
            <w:noWrap/>
            <w:vAlign w:val="center"/>
          </w:tcPr>
          <w:p w14:paraId="3BA94F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其他自然资源事务支出</w:t>
            </w:r>
          </w:p>
        </w:tc>
        <w:tc>
          <w:tcPr>
            <w:tcW w:w="1056" w:type="pct"/>
            <w:tcBorders>
              <w:top w:val="single" w:color="000000" w:sz="4" w:space="0"/>
              <w:left w:val="nil"/>
              <w:bottom w:val="single" w:color="000000" w:sz="4" w:space="0"/>
              <w:right w:val="single" w:color="000000" w:sz="4" w:space="0"/>
            </w:tcBorders>
            <w:noWrap/>
            <w:vAlign w:val="center"/>
          </w:tcPr>
          <w:p w14:paraId="343D7C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352.39</w:t>
            </w:r>
          </w:p>
        </w:tc>
        <w:tc>
          <w:tcPr>
            <w:tcW w:w="684" w:type="pct"/>
            <w:tcBorders>
              <w:top w:val="single" w:color="000000" w:sz="4" w:space="0"/>
              <w:left w:val="nil"/>
              <w:bottom w:val="single" w:color="000000" w:sz="4" w:space="0"/>
              <w:right w:val="single" w:color="000000" w:sz="4" w:space="0"/>
            </w:tcBorders>
            <w:noWrap/>
            <w:vAlign w:val="center"/>
          </w:tcPr>
          <w:p w14:paraId="2750C81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BE39E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352.39</w:t>
            </w:r>
          </w:p>
        </w:tc>
      </w:tr>
      <w:tr w14:paraId="78BB50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A8F00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747C9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379613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84" w:type="pct"/>
            <w:tcBorders>
              <w:top w:val="single" w:color="000000" w:sz="4" w:space="0"/>
              <w:left w:val="nil"/>
              <w:bottom w:val="single" w:color="000000" w:sz="4" w:space="0"/>
              <w:right w:val="single" w:color="000000" w:sz="4" w:space="0"/>
            </w:tcBorders>
            <w:noWrap/>
            <w:vAlign w:val="center"/>
          </w:tcPr>
          <w:p w14:paraId="5662DA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825" w:type="pct"/>
            <w:tcBorders>
              <w:top w:val="single" w:color="000000" w:sz="4" w:space="0"/>
              <w:left w:val="nil"/>
              <w:bottom w:val="single" w:color="000000" w:sz="4" w:space="0"/>
              <w:right w:val="single" w:color="000000" w:sz="4" w:space="0"/>
            </w:tcBorders>
            <w:noWrap/>
            <w:vAlign w:val="center"/>
          </w:tcPr>
          <w:p w14:paraId="1BB5B3F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A8640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4950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866FA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BBB81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684" w:type="pct"/>
            <w:tcBorders>
              <w:top w:val="single" w:color="000000" w:sz="4" w:space="0"/>
              <w:left w:val="nil"/>
              <w:bottom w:val="single" w:color="000000" w:sz="4" w:space="0"/>
              <w:right w:val="single" w:color="000000" w:sz="4" w:space="0"/>
            </w:tcBorders>
            <w:noWrap/>
            <w:vAlign w:val="center"/>
          </w:tcPr>
          <w:p w14:paraId="1B8095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117.50</w:t>
            </w:r>
          </w:p>
        </w:tc>
        <w:tc>
          <w:tcPr>
            <w:tcW w:w="825" w:type="pct"/>
            <w:tcBorders>
              <w:top w:val="single" w:color="000000" w:sz="4" w:space="0"/>
              <w:left w:val="nil"/>
              <w:bottom w:val="single" w:color="000000" w:sz="4" w:space="0"/>
              <w:right w:val="single" w:color="000000" w:sz="4" w:space="0"/>
            </w:tcBorders>
            <w:noWrap/>
            <w:vAlign w:val="center"/>
          </w:tcPr>
          <w:p w14:paraId="16C2B2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1074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A30A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C5E16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B1322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684" w:type="pct"/>
            <w:tcBorders>
              <w:top w:val="single" w:color="000000" w:sz="4" w:space="0"/>
              <w:left w:val="nil"/>
              <w:bottom w:val="single" w:color="000000" w:sz="4" w:space="0"/>
              <w:right w:val="single" w:color="000000" w:sz="4" w:space="0"/>
            </w:tcBorders>
            <w:noWrap/>
            <w:vAlign w:val="center"/>
          </w:tcPr>
          <w:p w14:paraId="2701EE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825" w:type="pct"/>
            <w:tcBorders>
              <w:top w:val="single" w:color="000000" w:sz="4" w:space="0"/>
              <w:left w:val="nil"/>
              <w:bottom w:val="single" w:color="000000" w:sz="4" w:space="0"/>
              <w:right w:val="single" w:color="000000" w:sz="4" w:space="0"/>
            </w:tcBorders>
            <w:noWrap/>
            <w:vAlign w:val="center"/>
          </w:tcPr>
          <w:p w14:paraId="48F83C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06D8745E">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4DB91E4">
        <w:tblPrEx>
          <w:tblCellMar>
            <w:top w:w="0" w:type="dxa"/>
            <w:left w:w="108" w:type="dxa"/>
            <w:bottom w:w="0" w:type="dxa"/>
            <w:right w:w="108" w:type="dxa"/>
          </w:tblCellMar>
        </w:tblPrEx>
        <w:trPr>
          <w:trHeight w:val="585" w:hRule="atLeast"/>
        </w:trPr>
        <w:tc>
          <w:tcPr>
            <w:tcW w:w="5000" w:type="pct"/>
            <w:gridSpan w:val="5"/>
            <w:noWrap/>
            <w:vAlign w:val="center"/>
          </w:tcPr>
          <w:p w14:paraId="6E7B9682">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394B5B4C">
        <w:tblPrEx>
          <w:tblCellMar>
            <w:top w:w="0" w:type="dxa"/>
            <w:left w:w="108" w:type="dxa"/>
            <w:bottom w:w="0" w:type="dxa"/>
            <w:right w:w="108" w:type="dxa"/>
          </w:tblCellMar>
        </w:tblPrEx>
        <w:trPr>
          <w:trHeight w:val="420" w:hRule="atLeast"/>
        </w:trPr>
        <w:tc>
          <w:tcPr>
            <w:tcW w:w="2398" w:type="pct"/>
            <w:gridSpan w:val="2"/>
            <w:noWrap/>
            <w:vAlign w:val="center"/>
          </w:tcPr>
          <w:p w14:paraId="0A29BAA7">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填报单位:314浮梁县自然资源和规划局</w:t>
            </w:r>
          </w:p>
        </w:tc>
        <w:tc>
          <w:tcPr>
            <w:tcW w:w="891" w:type="pct"/>
            <w:noWrap/>
            <w:vAlign w:val="bottom"/>
          </w:tcPr>
          <w:p w14:paraId="62C6CE55">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40067C87">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30196FD6">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A514CD7">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05F2EE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B284E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1C0C86D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6F852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4259D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3EBE0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912F3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CCB07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61FD9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8D98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5DA52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F7E9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02EA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A24A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6A616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3B9EB3">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69C4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D9F8E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1,790.01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911A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1,636.91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0434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153.10</w:t>
            </w:r>
          </w:p>
        </w:tc>
      </w:tr>
      <w:tr w14:paraId="3A7783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2D62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C47F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9856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1,633.03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9D29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1,633.03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59E9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4636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9E64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02AFE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E2A6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444.64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89B1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444.64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36DF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D3571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7502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6304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069C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6E8D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A383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6B23E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5DBB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EC4C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40851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49726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9973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7106F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1FC6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3C6B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8D00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450.99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519D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450.99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EDA5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B6B45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E21D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F2C6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5DD8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B46F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140.87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89868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7F1F5E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C626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DEB4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16C6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DA882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88.44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7F3C7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920BC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7557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849D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8E95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2C95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61.94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9655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BDAB1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7AB2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D970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10F6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5F0D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1F60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9141F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EACC1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FFC1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789D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87B6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440C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28F24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89C3A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91E9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E791F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191.84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9BA15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191.84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C2269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218A3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7C95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67D2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1716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8139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8739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151.10</w:t>
            </w:r>
          </w:p>
        </w:tc>
      </w:tr>
      <w:tr w14:paraId="187588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6987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7F8C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A7BD4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25.85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3E9EF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9DD2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25.85</w:t>
            </w:r>
          </w:p>
        </w:tc>
      </w:tr>
      <w:tr w14:paraId="709734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DE03A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5A4C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721F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9A38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5F1F2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20.85</w:t>
            </w:r>
          </w:p>
        </w:tc>
      </w:tr>
      <w:tr w14:paraId="78450E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AA9AA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30204</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050D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手续费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06E0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CE94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63FC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0.10</w:t>
            </w:r>
          </w:p>
        </w:tc>
      </w:tr>
      <w:tr w14:paraId="7D00F3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469D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3AE5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06E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5E77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20B0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0.80</w:t>
            </w:r>
          </w:p>
        </w:tc>
      </w:tr>
      <w:tr w14:paraId="691DDD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D667B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3773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ADB9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26.32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2013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BFC5B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26.32</w:t>
            </w:r>
          </w:p>
        </w:tc>
      </w:tr>
      <w:tr w14:paraId="2B6F31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2CA1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9B1DF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A8E7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7892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9D24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r>
      <w:tr w14:paraId="0F0BAA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B5A8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BF13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CB7E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2626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DE251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w:t>
            </w:r>
          </w:p>
        </w:tc>
      </w:tr>
      <w:tr w14:paraId="2D56E5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6B6E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2446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1643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F129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7415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r>
      <w:tr w14:paraId="7E4F86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A3B10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1FA5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5ED8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6191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D44C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4.00</w:t>
            </w:r>
          </w:p>
        </w:tc>
      </w:tr>
      <w:tr w14:paraId="1524B5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7AA7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1346A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0244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9DEEA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6E288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8.00</w:t>
            </w:r>
          </w:p>
        </w:tc>
      </w:tr>
      <w:tr w14:paraId="43C1A6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25294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6A62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5CC5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E90D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2C53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41.44</w:t>
            </w:r>
          </w:p>
        </w:tc>
      </w:tr>
      <w:tr w14:paraId="2B4EB2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3193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4D05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21F1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1DC6D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565D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w:t>
            </w:r>
          </w:p>
        </w:tc>
      </w:tr>
      <w:tr w14:paraId="03D011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70AD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7790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9562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8BFB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C5FE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r>
      <w:tr w14:paraId="4DC327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276A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28FF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1A3D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5AA5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7330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DE9BD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3FDE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1675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C344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6A283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3D40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88032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1556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F1E2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8EF6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1B38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37C6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r>
      <w:tr w14:paraId="2BC663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7A40A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EC24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0A3C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EC3E3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8E94E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r>
    </w:tbl>
    <w:p w14:paraId="300DFF5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2709CC3">
        <w:tblPrEx>
          <w:tblCellMar>
            <w:top w:w="0" w:type="dxa"/>
            <w:left w:w="108" w:type="dxa"/>
            <w:bottom w:w="0" w:type="dxa"/>
            <w:right w:w="108" w:type="dxa"/>
          </w:tblCellMar>
        </w:tblPrEx>
        <w:trPr>
          <w:trHeight w:val="450" w:hRule="atLeast"/>
          <w:tblHeader/>
        </w:trPr>
        <w:tc>
          <w:tcPr>
            <w:tcW w:w="636" w:type="pct"/>
            <w:noWrap/>
            <w:vAlign w:val="bottom"/>
          </w:tcPr>
          <w:p w14:paraId="40B899A4">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C641B5A">
            <w:pPr>
              <w:widowControl/>
              <w:jc w:val="left"/>
              <w:rPr>
                <w:rFonts w:ascii="Times New Roman" w:hAnsi="Times New Roman" w:eastAsia="宋体"/>
                <w:kern w:val="0"/>
                <w:sz w:val="20"/>
                <w:szCs w:val="20"/>
              </w:rPr>
            </w:pPr>
          </w:p>
        </w:tc>
        <w:tc>
          <w:tcPr>
            <w:tcW w:w="684" w:type="pct"/>
            <w:noWrap/>
            <w:vAlign w:val="bottom"/>
          </w:tcPr>
          <w:p w14:paraId="1536514C">
            <w:pPr>
              <w:widowControl/>
              <w:jc w:val="left"/>
              <w:rPr>
                <w:rFonts w:ascii="Times New Roman" w:hAnsi="Times New Roman" w:eastAsia="宋体"/>
                <w:kern w:val="0"/>
                <w:sz w:val="20"/>
                <w:szCs w:val="20"/>
              </w:rPr>
            </w:pPr>
          </w:p>
        </w:tc>
        <w:tc>
          <w:tcPr>
            <w:tcW w:w="538" w:type="pct"/>
            <w:noWrap/>
            <w:vAlign w:val="bottom"/>
          </w:tcPr>
          <w:p w14:paraId="09D17CC5">
            <w:pPr>
              <w:widowControl/>
              <w:jc w:val="left"/>
              <w:rPr>
                <w:rFonts w:ascii="Times New Roman" w:hAnsi="Times New Roman" w:eastAsia="宋体"/>
                <w:kern w:val="0"/>
                <w:sz w:val="20"/>
                <w:szCs w:val="20"/>
              </w:rPr>
            </w:pPr>
          </w:p>
        </w:tc>
        <w:tc>
          <w:tcPr>
            <w:tcW w:w="2836" w:type="pct"/>
            <w:gridSpan w:val="5"/>
            <w:noWrap/>
            <w:vAlign w:val="center"/>
          </w:tcPr>
          <w:p w14:paraId="542644E7">
            <w:pPr>
              <w:widowControl/>
              <w:snapToGrid w:val="0"/>
              <w:jc w:val="right"/>
              <w:textAlignment w:val="center"/>
              <w:rPr>
                <w:rFonts w:asciiTheme="minorEastAsia" w:hAnsiTheme="minorEastAsia" w:cstheme="minorEastAsia"/>
                <w:color w:val="000000"/>
                <w:kern w:val="0"/>
                <w:sz w:val="13"/>
                <w:szCs w:val="13"/>
                <w:lang w:bidi="ar"/>
              </w:rPr>
            </w:pPr>
          </w:p>
        </w:tc>
      </w:tr>
      <w:tr w14:paraId="7920DB79">
        <w:tblPrEx>
          <w:tblCellMar>
            <w:top w:w="0" w:type="dxa"/>
            <w:left w:w="108" w:type="dxa"/>
            <w:bottom w:w="0" w:type="dxa"/>
            <w:right w:w="108" w:type="dxa"/>
          </w:tblCellMar>
        </w:tblPrEx>
        <w:trPr>
          <w:trHeight w:val="485" w:hRule="atLeast"/>
          <w:tblHeader/>
        </w:trPr>
        <w:tc>
          <w:tcPr>
            <w:tcW w:w="5000" w:type="pct"/>
            <w:gridSpan w:val="9"/>
            <w:noWrap/>
            <w:vAlign w:val="center"/>
          </w:tcPr>
          <w:p w14:paraId="490A517B">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0DBFDCAC">
        <w:tblPrEx>
          <w:tblCellMar>
            <w:top w:w="0" w:type="dxa"/>
            <w:left w:w="108" w:type="dxa"/>
            <w:bottom w:w="0" w:type="dxa"/>
            <w:right w:w="108" w:type="dxa"/>
          </w:tblCellMar>
        </w:tblPrEx>
        <w:trPr>
          <w:trHeight w:val="340" w:hRule="atLeast"/>
          <w:tblHeader/>
        </w:trPr>
        <w:tc>
          <w:tcPr>
            <w:tcW w:w="2163" w:type="pct"/>
            <w:gridSpan w:val="4"/>
            <w:noWrap/>
            <w:vAlign w:val="center"/>
          </w:tcPr>
          <w:p w14:paraId="23F613A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填报单位:314浮梁县自然资源和规划局</w:t>
            </w:r>
          </w:p>
        </w:tc>
        <w:tc>
          <w:tcPr>
            <w:tcW w:w="742" w:type="pct"/>
            <w:noWrap/>
            <w:vAlign w:val="bottom"/>
          </w:tcPr>
          <w:p w14:paraId="7E327074">
            <w:pPr>
              <w:widowControl/>
              <w:jc w:val="left"/>
              <w:rPr>
                <w:rFonts w:ascii="Times New Roman" w:hAnsi="Times New Roman" w:eastAsia="宋体"/>
                <w:kern w:val="0"/>
                <w:sz w:val="20"/>
                <w:szCs w:val="20"/>
              </w:rPr>
            </w:pPr>
          </w:p>
        </w:tc>
        <w:tc>
          <w:tcPr>
            <w:tcW w:w="474" w:type="pct"/>
            <w:noWrap/>
            <w:vAlign w:val="bottom"/>
          </w:tcPr>
          <w:p w14:paraId="4813ABA2">
            <w:pPr>
              <w:widowControl/>
              <w:jc w:val="left"/>
              <w:rPr>
                <w:rFonts w:ascii="Times New Roman" w:hAnsi="Times New Roman" w:eastAsia="宋体"/>
                <w:kern w:val="0"/>
                <w:sz w:val="20"/>
                <w:szCs w:val="20"/>
              </w:rPr>
            </w:pPr>
          </w:p>
        </w:tc>
        <w:tc>
          <w:tcPr>
            <w:tcW w:w="596" w:type="pct"/>
            <w:noWrap/>
            <w:vAlign w:val="bottom"/>
          </w:tcPr>
          <w:p w14:paraId="5F3F14D0">
            <w:pPr>
              <w:widowControl/>
              <w:jc w:val="left"/>
              <w:rPr>
                <w:rFonts w:ascii="Times New Roman" w:hAnsi="Times New Roman" w:eastAsia="宋体"/>
                <w:kern w:val="0"/>
                <w:sz w:val="20"/>
                <w:szCs w:val="20"/>
              </w:rPr>
            </w:pPr>
          </w:p>
        </w:tc>
        <w:tc>
          <w:tcPr>
            <w:tcW w:w="1023" w:type="pct"/>
            <w:gridSpan w:val="2"/>
            <w:noWrap/>
            <w:vAlign w:val="bottom"/>
          </w:tcPr>
          <w:p w14:paraId="32DAD971">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612080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501447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D5698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BCF91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83CB3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8E8231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8278EC6">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CD1F0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28A39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A8F3D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5687BD2">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99006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7A31A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F64FB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C362DA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3CDD8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2E40FE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8E088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5A9C3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07296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92D18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0380A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C00A8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492DDC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E3ABC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45.44</w:t>
            </w:r>
          </w:p>
        </w:tc>
        <w:tc>
          <w:tcPr>
            <w:tcW w:w="684" w:type="pct"/>
            <w:tcBorders>
              <w:top w:val="single" w:color="000000" w:sz="4" w:space="0"/>
              <w:left w:val="nil"/>
              <w:bottom w:val="single" w:color="000000" w:sz="4" w:space="0"/>
              <w:right w:val="single" w:color="000000" w:sz="4" w:space="0"/>
            </w:tcBorders>
            <w:vAlign w:val="center"/>
          </w:tcPr>
          <w:p w14:paraId="47AE9B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B66F3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2C1ACD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6A90F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4.00</w:t>
            </w:r>
          </w:p>
        </w:tc>
        <w:tc>
          <w:tcPr>
            <w:tcW w:w="596" w:type="pct"/>
            <w:tcBorders>
              <w:top w:val="single" w:color="000000" w:sz="4" w:space="0"/>
              <w:left w:val="single" w:color="000000" w:sz="4" w:space="0"/>
              <w:bottom w:val="single" w:color="000000" w:sz="4" w:space="0"/>
              <w:right w:val="nil"/>
            </w:tcBorders>
            <w:vAlign w:val="center"/>
          </w:tcPr>
          <w:p w14:paraId="1BACA63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41.44</w:t>
            </w:r>
          </w:p>
        </w:tc>
        <w:tc>
          <w:tcPr>
            <w:tcW w:w="543" w:type="pct"/>
            <w:tcBorders>
              <w:top w:val="single" w:color="000000" w:sz="4" w:space="0"/>
              <w:left w:val="single" w:color="000000" w:sz="4" w:space="0"/>
              <w:bottom w:val="single" w:color="000000" w:sz="4" w:space="0"/>
              <w:right w:val="single" w:color="000000" w:sz="4" w:space="0"/>
            </w:tcBorders>
            <w:vAlign w:val="center"/>
          </w:tcPr>
          <w:p w14:paraId="1E268C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41.44</w:t>
            </w:r>
          </w:p>
        </w:tc>
        <w:tc>
          <w:tcPr>
            <w:tcW w:w="479" w:type="pct"/>
            <w:tcBorders>
              <w:top w:val="single" w:color="000000" w:sz="4" w:space="0"/>
              <w:left w:val="nil"/>
              <w:bottom w:val="single" w:color="000000" w:sz="4" w:space="0"/>
              <w:right w:val="single" w:color="000000" w:sz="4" w:space="0"/>
            </w:tcBorders>
            <w:vAlign w:val="center"/>
          </w:tcPr>
          <w:p w14:paraId="672B986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5596EC0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60BEB31">
        <w:tblPrEx>
          <w:tblCellMar>
            <w:top w:w="0" w:type="dxa"/>
            <w:left w:w="108" w:type="dxa"/>
            <w:bottom w:w="0" w:type="dxa"/>
            <w:right w:w="108" w:type="dxa"/>
          </w:tblCellMar>
        </w:tblPrEx>
        <w:trPr>
          <w:trHeight w:val="507" w:hRule="atLeast"/>
          <w:tblHeader/>
        </w:trPr>
        <w:tc>
          <w:tcPr>
            <w:tcW w:w="976" w:type="pct"/>
            <w:noWrap/>
            <w:vAlign w:val="bottom"/>
          </w:tcPr>
          <w:p w14:paraId="1B58FCF9">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FB9916C">
            <w:pPr>
              <w:widowControl/>
              <w:jc w:val="left"/>
              <w:rPr>
                <w:rFonts w:ascii="Times New Roman" w:hAnsi="Times New Roman" w:eastAsia="宋体"/>
                <w:kern w:val="0"/>
                <w:sz w:val="20"/>
                <w:szCs w:val="20"/>
              </w:rPr>
            </w:pPr>
          </w:p>
        </w:tc>
        <w:tc>
          <w:tcPr>
            <w:tcW w:w="2801" w:type="pct"/>
            <w:gridSpan w:val="3"/>
            <w:noWrap/>
            <w:vAlign w:val="center"/>
          </w:tcPr>
          <w:p w14:paraId="5F81200B">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5AEE9AA6">
        <w:tblPrEx>
          <w:tblCellMar>
            <w:top w:w="0" w:type="dxa"/>
            <w:left w:w="108" w:type="dxa"/>
            <w:bottom w:w="0" w:type="dxa"/>
            <w:right w:w="108" w:type="dxa"/>
          </w:tblCellMar>
        </w:tblPrEx>
        <w:trPr>
          <w:trHeight w:val="564" w:hRule="atLeast"/>
          <w:tblHeader/>
        </w:trPr>
        <w:tc>
          <w:tcPr>
            <w:tcW w:w="5000" w:type="pct"/>
            <w:gridSpan w:val="5"/>
            <w:noWrap/>
            <w:vAlign w:val="center"/>
          </w:tcPr>
          <w:p w14:paraId="34D9394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5A42D19B">
        <w:tblPrEx>
          <w:tblCellMar>
            <w:top w:w="0" w:type="dxa"/>
            <w:left w:w="108" w:type="dxa"/>
            <w:bottom w:w="0" w:type="dxa"/>
            <w:right w:w="108" w:type="dxa"/>
          </w:tblCellMar>
        </w:tblPrEx>
        <w:trPr>
          <w:trHeight w:val="405" w:hRule="atLeast"/>
          <w:tblHeader/>
        </w:trPr>
        <w:tc>
          <w:tcPr>
            <w:tcW w:w="2198" w:type="pct"/>
            <w:gridSpan w:val="2"/>
            <w:noWrap/>
            <w:vAlign w:val="center"/>
          </w:tcPr>
          <w:p w14:paraId="5AED7FF0">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填报单位:314浮梁县自然资源和规划局</w:t>
            </w:r>
          </w:p>
        </w:tc>
        <w:tc>
          <w:tcPr>
            <w:tcW w:w="1099" w:type="pct"/>
            <w:noWrap/>
            <w:vAlign w:val="bottom"/>
          </w:tcPr>
          <w:p w14:paraId="23EA0EFA">
            <w:pPr>
              <w:rPr>
                <w:rFonts w:ascii="宋体" w:hAnsi="宋体" w:eastAsia="宋体" w:cs="Arial"/>
                <w:color w:val="000000"/>
                <w:kern w:val="0"/>
                <w:sz w:val="24"/>
                <w:szCs w:val="24"/>
              </w:rPr>
            </w:pPr>
          </w:p>
        </w:tc>
        <w:tc>
          <w:tcPr>
            <w:tcW w:w="766" w:type="pct"/>
            <w:noWrap/>
            <w:vAlign w:val="bottom"/>
          </w:tcPr>
          <w:p w14:paraId="68F318DF">
            <w:pPr>
              <w:widowControl/>
              <w:jc w:val="left"/>
              <w:rPr>
                <w:rFonts w:ascii="Times New Roman" w:hAnsi="Times New Roman" w:eastAsia="宋体"/>
                <w:kern w:val="0"/>
                <w:sz w:val="20"/>
                <w:szCs w:val="20"/>
              </w:rPr>
            </w:pPr>
          </w:p>
        </w:tc>
        <w:tc>
          <w:tcPr>
            <w:tcW w:w="935" w:type="pct"/>
            <w:noWrap/>
            <w:vAlign w:val="center"/>
          </w:tcPr>
          <w:p w14:paraId="44E96F3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8CBDFA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9B84C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D553B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63FFB40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7AE650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622A6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D69623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5ED50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E7EB4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9B2662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8BCCA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43E64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D7B4CC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C7DE9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5D9182E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3CEE7950">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0BA6C72">
        <w:tblPrEx>
          <w:tblCellMar>
            <w:top w:w="0" w:type="dxa"/>
            <w:left w:w="108" w:type="dxa"/>
            <w:bottom w:w="0" w:type="dxa"/>
            <w:right w:w="108" w:type="dxa"/>
          </w:tblCellMar>
        </w:tblPrEx>
        <w:trPr>
          <w:trHeight w:val="619" w:hRule="atLeast"/>
          <w:tblHeader/>
        </w:trPr>
        <w:tc>
          <w:tcPr>
            <w:tcW w:w="960" w:type="pct"/>
            <w:noWrap/>
            <w:vAlign w:val="bottom"/>
          </w:tcPr>
          <w:p w14:paraId="55AA5D18">
            <w:pPr>
              <w:rPr>
                <w:rStyle w:val="13"/>
                <w:rFonts w:ascii="仿宋" w:hAnsi="仿宋" w:eastAsia="仿宋"/>
                <w:bCs/>
                <w:sz w:val="32"/>
                <w:szCs w:val="32"/>
              </w:rPr>
            </w:pPr>
          </w:p>
        </w:tc>
        <w:tc>
          <w:tcPr>
            <w:tcW w:w="1233" w:type="pct"/>
            <w:noWrap/>
            <w:vAlign w:val="bottom"/>
          </w:tcPr>
          <w:p w14:paraId="7EBDECDC">
            <w:pPr>
              <w:widowControl/>
              <w:jc w:val="left"/>
              <w:rPr>
                <w:rFonts w:ascii="Times New Roman" w:hAnsi="Times New Roman" w:eastAsia="宋体"/>
                <w:kern w:val="0"/>
                <w:sz w:val="20"/>
                <w:szCs w:val="20"/>
              </w:rPr>
            </w:pPr>
          </w:p>
        </w:tc>
        <w:tc>
          <w:tcPr>
            <w:tcW w:w="2805" w:type="pct"/>
            <w:gridSpan w:val="3"/>
            <w:noWrap/>
            <w:vAlign w:val="center"/>
          </w:tcPr>
          <w:p w14:paraId="13FEF05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82B0D97">
        <w:tblPrEx>
          <w:tblCellMar>
            <w:top w:w="0" w:type="dxa"/>
            <w:left w:w="108" w:type="dxa"/>
            <w:bottom w:w="0" w:type="dxa"/>
            <w:right w:w="108" w:type="dxa"/>
          </w:tblCellMar>
        </w:tblPrEx>
        <w:trPr>
          <w:trHeight w:val="613" w:hRule="atLeast"/>
          <w:tblHeader/>
        </w:trPr>
        <w:tc>
          <w:tcPr>
            <w:tcW w:w="5000" w:type="pct"/>
            <w:gridSpan w:val="5"/>
            <w:noWrap/>
            <w:vAlign w:val="center"/>
          </w:tcPr>
          <w:p w14:paraId="6F24D60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78748CC2">
        <w:tblPrEx>
          <w:tblCellMar>
            <w:top w:w="0" w:type="dxa"/>
            <w:left w:w="108" w:type="dxa"/>
            <w:bottom w:w="0" w:type="dxa"/>
            <w:right w:w="108" w:type="dxa"/>
          </w:tblCellMar>
        </w:tblPrEx>
        <w:trPr>
          <w:trHeight w:val="413" w:hRule="atLeast"/>
          <w:tblHeader/>
        </w:trPr>
        <w:tc>
          <w:tcPr>
            <w:tcW w:w="3282" w:type="pct"/>
            <w:gridSpan w:val="3"/>
            <w:noWrap/>
            <w:vAlign w:val="center"/>
          </w:tcPr>
          <w:p w14:paraId="7036D7E1">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填报单位:314浮梁县自然资源和规划局</w:t>
            </w:r>
          </w:p>
        </w:tc>
        <w:tc>
          <w:tcPr>
            <w:tcW w:w="762" w:type="pct"/>
            <w:noWrap/>
            <w:vAlign w:val="bottom"/>
          </w:tcPr>
          <w:p w14:paraId="3E329E8A">
            <w:pPr>
              <w:widowControl/>
              <w:jc w:val="left"/>
              <w:rPr>
                <w:rFonts w:ascii="Times New Roman" w:hAnsi="Times New Roman" w:eastAsia="宋体"/>
                <w:kern w:val="0"/>
                <w:sz w:val="20"/>
                <w:szCs w:val="20"/>
              </w:rPr>
            </w:pPr>
          </w:p>
        </w:tc>
        <w:tc>
          <w:tcPr>
            <w:tcW w:w="954" w:type="pct"/>
            <w:noWrap/>
            <w:vAlign w:val="center"/>
          </w:tcPr>
          <w:p w14:paraId="3652B78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CAF4AB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17E64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3FD2D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7A9518E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F4B6B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85DC6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64028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C69ED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ED16A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A0CBA5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B6FEA6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E3C7D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A296B2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6AF28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1FF30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28EA939C">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6"/>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1F9353F">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2148964">
            <w:pPr>
              <w:widowControl/>
              <w:jc w:val="center"/>
              <w:textAlignment w:val="center"/>
              <w:rPr>
                <w:rFonts w:asciiTheme="minorEastAsia" w:hAnsiTheme="minorEastAsia" w:cstheme="minorEastAsia"/>
                <w:bCs/>
                <w:color w:val="000000"/>
                <w:kern w:val="0"/>
                <w:sz w:val="24"/>
                <w:szCs w:val="24"/>
                <w:lang w:bidi="ar"/>
              </w:rPr>
            </w:pPr>
            <w:r>
              <w:rPr>
                <w:rFonts w:hint="eastAsia" w:asciiTheme="minorEastAsia" w:hAnsiTheme="minorEastAsia" w:cstheme="minorEastAsia"/>
                <w:b/>
                <w:color w:val="000000"/>
                <w:kern w:val="0"/>
                <w:sz w:val="24"/>
                <w:szCs w:val="24"/>
                <w:lang w:bidi="ar"/>
              </w:rPr>
              <w:t>部门整体绩效目标</w:t>
            </w:r>
          </w:p>
        </w:tc>
      </w:tr>
      <w:tr w14:paraId="5B37DB33">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2016DD5">
            <w:pPr>
              <w:widowControl/>
              <w:jc w:val="center"/>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2A165">
            <w:pPr>
              <w:widowControl/>
              <w:jc w:val="center"/>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Cs/>
                <w:color w:val="000000"/>
                <w:kern w:val="0"/>
                <w:sz w:val="18"/>
                <w:szCs w:val="18"/>
                <w:lang w:bidi="ar"/>
              </w:rPr>
              <w:t>314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521BB3">
            <w:pPr>
              <w:widowControl/>
              <w:jc w:val="center"/>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BA715">
            <w:pPr>
              <w:widowControl/>
              <w:jc w:val="center"/>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Cs/>
                <w:color w:val="000000"/>
                <w:kern w:val="0"/>
                <w:sz w:val="18"/>
                <w:szCs w:val="18"/>
                <w:lang w:bidi="ar"/>
              </w:rPr>
              <w:t>浮梁县自然资源和规划局</w:t>
            </w:r>
          </w:p>
        </w:tc>
      </w:tr>
      <w:tr w14:paraId="0EAB45A7">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0CF691">
            <w:pPr>
              <w:widowControl/>
              <w:jc w:val="center"/>
              <w:textAlignment w:val="center"/>
              <w:rPr>
                <w:rFonts w:asciiTheme="minorEastAsia" w:hAnsiTheme="minorEastAsia" w:cstheme="minorEastAsia"/>
                <w:color w:val="000000"/>
                <w:sz w:val="18"/>
                <w:szCs w:val="18"/>
              </w:rPr>
            </w:pPr>
            <w:r>
              <w:rPr>
                <w:rStyle w:val="16"/>
                <w:rFonts w:asciiTheme="minorEastAsia" w:hAnsiTheme="minorEastAsia" w:eastAsiaTheme="minorEastAsia" w:cstheme="minorEastAsia"/>
                <w:b/>
                <w:bCs/>
                <w:sz w:val="18"/>
                <w:szCs w:val="18"/>
                <w:lang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A71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在编在岗人员94人、退休人员44人、遗属人员3人工资福利按月按时发放，保障县自然资源日常工作正常运行,人员经费全年总额为1636.91万元，财政拨款公用经费全年总额153.1万元,特定目标类全年总额为7337.39万元（其中360名地质灾害隐患点群防员工作补贴资金43.2万元，浮梁县国土空间总体规划（2021-2035年）评估及动态调整维护84万元，2022-2025批而未用清数建库更新项目20万元，浮梁县8个集镇基准地价更新项目40万元，2025年土地、矿山卫片执法及非住宅内农村乱占耕地建房技术服务48万元、专项债配套资金6985万元），上年结转项目资金4974.67万元。</w:t>
            </w:r>
          </w:p>
        </w:tc>
      </w:tr>
      <w:tr w14:paraId="67684CA1">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DF377F0">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0BE9B">
            <w:pPr>
              <w:jc w:val="center"/>
              <w:rPr>
                <w:rFonts w:asciiTheme="minorEastAsia" w:hAnsiTheme="minorEastAsia" w:cstheme="minorEastAsia"/>
                <w:color w:val="000000"/>
                <w:sz w:val="18"/>
                <w:szCs w:val="18"/>
              </w:rPr>
            </w:pPr>
          </w:p>
        </w:tc>
      </w:tr>
      <w:tr w14:paraId="0C528119">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0962271">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566F">
            <w:pPr>
              <w:jc w:val="center"/>
              <w:rPr>
                <w:rFonts w:asciiTheme="minorEastAsia" w:hAnsiTheme="minorEastAsia" w:cstheme="minorEastAsia"/>
                <w:color w:val="000000"/>
                <w:sz w:val="18"/>
                <w:szCs w:val="18"/>
              </w:rPr>
            </w:pPr>
          </w:p>
        </w:tc>
      </w:tr>
      <w:tr w14:paraId="04F5F308">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64E06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F60AF1">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837872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5B4DE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722267">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D17B6F0">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度量单位</w:t>
            </w:r>
          </w:p>
        </w:tc>
      </w:tr>
      <w:tr w14:paraId="4A7BF7DD">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8F97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A3CA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38F8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在编在岗人员数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46D8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3A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EE5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人</w:t>
            </w:r>
          </w:p>
        </w:tc>
      </w:tr>
      <w:tr w14:paraId="15827CB3">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99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A781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BF87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退休人员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CD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48E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D32F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人</w:t>
            </w:r>
          </w:p>
        </w:tc>
      </w:tr>
      <w:tr w14:paraId="31E7A22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537D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CFA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4D72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遗属补助人数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4E2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22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2EF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人</w:t>
            </w:r>
          </w:p>
        </w:tc>
      </w:tr>
      <w:tr w14:paraId="4AD1197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D62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8E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9C4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完成国土空间总体规划（2021-2035年）评估报告</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CD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620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1B74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w:t>
            </w:r>
          </w:p>
        </w:tc>
      </w:tr>
      <w:tr w14:paraId="432F78A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9E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9E1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700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浮梁县批而未用土地清数建库更新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D099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E78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B91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w:t>
            </w:r>
          </w:p>
        </w:tc>
      </w:tr>
      <w:tr w14:paraId="4C6753D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02E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7C1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BEE4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完成浮梁县集镇基准地价更新集镇个数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27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BE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DE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个乡镇</w:t>
            </w:r>
          </w:p>
        </w:tc>
      </w:tr>
      <w:tr w14:paraId="3997C92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A2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8E9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8A8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完成浮梁县集镇基准地价覆盖的面积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E7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289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C0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平方公里</w:t>
            </w:r>
          </w:p>
        </w:tc>
      </w:tr>
      <w:tr w14:paraId="1805910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6671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B5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B1A4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不动产登记系统、空间规划一张图信息系统三级等保测评工作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36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9A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118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次</w:t>
            </w:r>
          </w:p>
        </w:tc>
      </w:tr>
      <w:tr w14:paraId="2EA94FB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A9D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BC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9EB8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运维技术支持服务年限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A5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F9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515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年</w:t>
            </w:r>
          </w:p>
        </w:tc>
      </w:tr>
      <w:tr w14:paraId="45D8F9C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71FC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4D2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B64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2025年上报处理图斑个数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D5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DA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60A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w:t>
            </w:r>
          </w:p>
        </w:tc>
      </w:tr>
      <w:tr w14:paraId="1E5C290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79C6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1C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BDB9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永久基本农田调整规模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1C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CC0C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2800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56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亩</w:t>
            </w:r>
          </w:p>
        </w:tc>
      </w:tr>
      <w:tr w14:paraId="6EB6305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DA1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17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4E0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历史耕地流出问题“认定一批、恢复一批、置换一批”规模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139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48D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E4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亩</w:t>
            </w:r>
          </w:p>
        </w:tc>
      </w:tr>
      <w:tr w14:paraId="4EDAB25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6D3D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3BB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C1E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储备地面积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DBE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0F90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109.64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690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亩</w:t>
            </w:r>
          </w:p>
        </w:tc>
      </w:tr>
      <w:tr w14:paraId="2DBC19F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5FA0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59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23A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保障在编人员工资福利发放足额率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B67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A56C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02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29AA7E1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73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42F7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BDBF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退休人员绩效及遗属人员补助发放足额率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1A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D1F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B2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04DE9FEF">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F68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5C3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81E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县国土空间总体规划（2021-2035年）评估及动态调整维护江西省自然资源厅审核通过率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709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AE42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1D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0D99428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4D4D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63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6AB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浮梁县批而未用土地清数建库验收通过率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4282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33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B73F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6CC8B1F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F8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4FB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68D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通过基准地价备案系统个数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FD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92F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FA5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w:t>
            </w:r>
          </w:p>
        </w:tc>
      </w:tr>
      <w:tr w14:paraId="7979FFB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A8C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E96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E37E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网络安全等级保护</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5E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40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1A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等级</w:t>
            </w:r>
          </w:p>
        </w:tc>
      </w:tr>
      <w:tr w14:paraId="6E9BE1F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E2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C15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08A9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新增违法耕地面积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85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F0F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88D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亩</w:t>
            </w:r>
          </w:p>
        </w:tc>
      </w:tr>
      <w:tr w14:paraId="15335A9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667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49CA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C2EE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新增耕地违法比例</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FA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F1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29E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6A21878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40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479A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D25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确保永久基本农田保护任务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5A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829F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27.96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371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万亩</w:t>
            </w:r>
          </w:p>
        </w:tc>
      </w:tr>
      <w:tr w14:paraId="443C9B9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B8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118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1FE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地质灾害隐患点群防员补助发放准确率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73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FA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8A49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72EDCC7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4B0E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D0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280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净地覆盖率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AB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0B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D82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333CC65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8BA8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BC2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4A84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在职人员工资福利、退休人员绩效、遗属补贴发放时间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7A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A14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每月15日以前</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46DC">
            <w:pPr>
              <w:widowControl/>
              <w:jc w:val="center"/>
              <w:textAlignment w:val="center"/>
              <w:rPr>
                <w:rFonts w:asciiTheme="minorEastAsia" w:hAnsiTheme="minorEastAsia" w:cstheme="minorEastAsia"/>
                <w:color w:val="000000"/>
                <w:sz w:val="18"/>
                <w:szCs w:val="18"/>
              </w:rPr>
            </w:pPr>
          </w:p>
        </w:tc>
      </w:tr>
      <w:tr w14:paraId="4FD6A19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EB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4E47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215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应急响应服务时间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13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05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CAA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小时</w:t>
            </w:r>
          </w:p>
        </w:tc>
      </w:tr>
      <w:tr w14:paraId="7434A7F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9A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B6B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424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人员驻场服务时长</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B9E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E4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77AB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年</w:t>
            </w:r>
          </w:p>
        </w:tc>
      </w:tr>
      <w:tr w14:paraId="3F47895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9C2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65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BD31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2022-2025年度浮梁县批而未用土地清数建库包含的年份</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4555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3E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76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年 </w:t>
            </w:r>
          </w:p>
        </w:tc>
      </w:tr>
      <w:tr w14:paraId="5C84C95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3C3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C9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2A9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土地、矿山卫片执法及非住宅内农村乱占耕地建房按照自然资源部要求时间的及时率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1BD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A577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3EB0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39571FB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D27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674E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F2CD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国土空间总体规划（2021-2035年）评估及动态调整维护、县8个集镇基准地价更新等项目完成时间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B67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A7D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7A0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个月</w:t>
            </w:r>
          </w:p>
        </w:tc>
      </w:tr>
      <w:tr w14:paraId="0AFF0F62">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F61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8BFA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EF73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007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0D8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789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2E7DF54C">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07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DB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E40C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D5A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4EE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73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0C08241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E9B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2053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D35E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82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6A3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D1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74A3627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17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1C4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0D8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863C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595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6B5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40C673C9">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84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66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A3CC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浮梁县8个集镇基准地价幅度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662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F50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31AD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2099F70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A136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B37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1F60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盘活可出让存量土地面积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BB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E1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5AD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亩</w:t>
            </w:r>
          </w:p>
        </w:tc>
      </w:tr>
      <w:tr w14:paraId="587288D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C6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479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CFF7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地质灾害隐患巡查覆盖率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7DB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04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369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36EEE3F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F50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9E4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435F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地质灾害预警信息传递效率提升率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87B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6F2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73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4FEE9B3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B90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60F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744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支撑浮梁县2025年耕地保护任务及梁县2025年永久基本农田保护任务完成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D5F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53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有效支撑</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F7020">
            <w:pPr>
              <w:widowControl/>
              <w:jc w:val="center"/>
              <w:textAlignment w:val="center"/>
              <w:rPr>
                <w:rFonts w:asciiTheme="minorEastAsia" w:hAnsiTheme="minorEastAsia" w:cstheme="minorEastAsia"/>
                <w:color w:val="000000"/>
                <w:sz w:val="18"/>
                <w:szCs w:val="18"/>
              </w:rPr>
            </w:pPr>
          </w:p>
        </w:tc>
      </w:tr>
      <w:tr w14:paraId="79A54A4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8B5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CA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A7E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保护县自然资源不动产登记数据不泄露，维护不动产数据中心工作正常运行</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C6A1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08D8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有效维护</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35CB">
            <w:pPr>
              <w:widowControl/>
              <w:jc w:val="center"/>
              <w:textAlignment w:val="center"/>
              <w:rPr>
                <w:rFonts w:asciiTheme="minorEastAsia" w:hAnsiTheme="minorEastAsia" w:cstheme="minorEastAsia"/>
                <w:color w:val="000000"/>
                <w:sz w:val="18"/>
                <w:szCs w:val="18"/>
              </w:rPr>
            </w:pPr>
          </w:p>
        </w:tc>
      </w:tr>
      <w:tr w14:paraId="59E84DD3">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801D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D32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生态效益指标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8FDA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监测图斑实地核查率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20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EAC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82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4E542907">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DCB6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83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A5C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数据中心使用人员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6FEE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B0C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57A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31B7B75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D87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3B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CCC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政府机构主体、自然资源主管部门满意度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743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75A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8B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79FB254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80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E78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344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受灾点群众满意度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963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A3EC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006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r w14:paraId="51E7373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BAE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A69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77A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群测群防员对补助政策满意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15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D6D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EC2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w:t>
            </w:r>
          </w:p>
        </w:tc>
      </w:tr>
    </w:tbl>
    <w:p w14:paraId="5CC702D6">
      <w:pPr>
        <w:sectPr>
          <w:pgSz w:w="11906" w:h="16838"/>
          <w:pgMar w:top="720" w:right="720" w:bottom="720" w:left="720" w:header="851" w:footer="992" w:gutter="0"/>
          <w:cols w:space="425" w:num="1"/>
          <w:docGrid w:type="lines" w:linePitch="312" w:charSpace="0"/>
        </w:sectPr>
      </w:pPr>
    </w:p>
    <w:p w14:paraId="7A7DEE29">
      <w:pPr>
        <w:pStyle w:val="18"/>
        <w:numPr>
          <w:ilvl w:val="0"/>
          <w:numId w:val="0"/>
        </w:numPr>
        <w:ind w:left="420" w:leftChars="200"/>
        <w:jc w:val="center"/>
      </w:pPr>
      <w:r>
        <w:rPr>
          <w:rFonts w:hint="eastAsia"/>
        </w:rPr>
        <w:t>第三部分  浮梁县自然资源和规划局2026年部门预算情况说明</w:t>
      </w:r>
    </w:p>
    <w:p w14:paraId="45900683">
      <w:pPr>
        <w:widowControl/>
        <w:spacing w:line="580" w:lineRule="exact"/>
        <w:jc w:val="center"/>
        <w:rPr>
          <w:rFonts w:ascii="仿宋_GB2312" w:eastAsia="仿宋_GB2312"/>
          <w:b/>
          <w:sz w:val="32"/>
          <w:szCs w:val="30"/>
        </w:rPr>
      </w:pPr>
    </w:p>
    <w:p w14:paraId="60E89426">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一、2026年部门预算收支情况说明</w:t>
      </w:r>
    </w:p>
    <w:p w14:paraId="7250E63D">
      <w:pPr>
        <w:pStyle w:val="20"/>
        <w:numPr>
          <w:ilvl w:val="0"/>
          <w:numId w:val="0"/>
        </w:numPr>
        <w:ind w:left="420" w:leftChars="200"/>
      </w:pPr>
      <w:r>
        <w:rPr>
          <w:rFonts w:hint="eastAsia"/>
        </w:rPr>
        <w:t xml:space="preserve"> (一)收入预算情况</w:t>
      </w:r>
    </w:p>
    <w:p w14:paraId="38683779">
      <w:pPr>
        <w:pStyle w:val="19"/>
        <w:ind w:firstLine="640"/>
      </w:pPr>
      <w:r>
        <w:rPr>
          <w:rFonts w:hint="eastAsia"/>
        </w:rPr>
        <w:t>2026年浮梁县自然资源和规划局收入预算总额为15638.53万元，较上年预算安排增加</w:t>
      </w:r>
      <w:r>
        <w:rPr>
          <w:rFonts w:hint="eastAsia"/>
          <w:lang w:val="en-US" w:eastAsia="zh-CN"/>
        </w:rPr>
        <w:t>13325.96</w:t>
      </w:r>
      <w:r>
        <w:rPr>
          <w:rFonts w:hint="eastAsia"/>
        </w:rPr>
        <w:t>万元；本年收入合计10663.86万元，较上年预算安排增加</w:t>
      </w:r>
      <w:r>
        <w:rPr>
          <w:rFonts w:hint="eastAsia"/>
          <w:lang w:val="en-US" w:eastAsia="zh-CN"/>
        </w:rPr>
        <w:t>8664.18</w:t>
      </w:r>
      <w:r>
        <w:rPr>
          <w:rFonts w:hint="eastAsia"/>
        </w:rPr>
        <w:t>万元；包括：财政拨款收入10573.86万元，较上年预算安排增加</w:t>
      </w:r>
      <w:r>
        <w:rPr>
          <w:rFonts w:hint="eastAsia"/>
          <w:lang w:val="en-US" w:eastAsia="zh-CN"/>
        </w:rPr>
        <w:t>8604.18</w:t>
      </w:r>
      <w:r>
        <w:rPr>
          <w:rFonts w:hint="eastAsia"/>
        </w:rPr>
        <w:t>万元；其他收入90.00万元，较上年预算安排增加</w:t>
      </w:r>
      <w:r>
        <w:rPr>
          <w:rFonts w:hint="eastAsia"/>
          <w:lang w:val="en-US" w:eastAsia="zh-CN"/>
        </w:rPr>
        <w:t>60</w:t>
      </w:r>
      <w:r>
        <w:rPr>
          <w:rFonts w:hint="eastAsia"/>
        </w:rPr>
        <w:t>万元。上年结转4974.67万元，较上年预算安排增加</w:t>
      </w:r>
      <w:r>
        <w:rPr>
          <w:rFonts w:hint="eastAsia"/>
          <w:lang w:val="en-US" w:eastAsia="zh-CN"/>
        </w:rPr>
        <w:t>4761.78</w:t>
      </w:r>
      <w:r>
        <w:rPr>
          <w:rFonts w:hint="eastAsia"/>
        </w:rPr>
        <w:t>万元。</w:t>
      </w:r>
    </w:p>
    <w:p w14:paraId="48AFEE60">
      <w:pPr>
        <w:pStyle w:val="20"/>
        <w:numPr>
          <w:ilvl w:val="0"/>
          <w:numId w:val="0"/>
        </w:numPr>
        <w:ind w:left="420" w:leftChars="200"/>
      </w:pPr>
      <w:r>
        <w:rPr>
          <w:rFonts w:hint="eastAsia"/>
        </w:rPr>
        <w:t xml:space="preserve"> (二)支出预算情况</w:t>
      </w:r>
    </w:p>
    <w:p w14:paraId="04EF1A25">
      <w:pPr>
        <w:pStyle w:val="19"/>
        <w:ind w:firstLine="640"/>
      </w:pPr>
      <w:r>
        <w:rPr>
          <w:rFonts w:hint="eastAsia"/>
        </w:rPr>
        <w:t>2026年浮梁县自然资源和规划局支出预算总额为15638.53万元，较上年预算安排增加</w:t>
      </w:r>
      <w:r>
        <w:rPr>
          <w:rFonts w:hint="eastAsia"/>
          <w:lang w:val="en-US" w:eastAsia="zh-CN"/>
        </w:rPr>
        <w:t>13325.96</w:t>
      </w:r>
      <w:r>
        <w:rPr>
          <w:rFonts w:hint="eastAsia"/>
        </w:rPr>
        <w:t xml:space="preserve">万元。 </w:t>
      </w:r>
    </w:p>
    <w:p w14:paraId="0A759D38">
      <w:pPr>
        <w:pStyle w:val="19"/>
        <w:ind w:firstLine="640"/>
      </w:pPr>
      <w:r>
        <w:rPr>
          <w:rFonts w:hint="eastAsia"/>
        </w:rPr>
        <w:t>按支出项目类别划分：基本支出1880.01万元，较上年预算安排增加</w:t>
      </w:r>
      <w:r>
        <w:rPr>
          <w:rFonts w:hint="eastAsia"/>
          <w:lang w:val="en-US" w:eastAsia="zh-CN"/>
        </w:rPr>
        <w:t>276.08</w:t>
      </w:r>
      <w:r>
        <w:rPr>
          <w:rFonts w:hint="eastAsia"/>
        </w:rPr>
        <w:t>万元；项目支出13758.52万元，较上年预算安排增加</w:t>
      </w:r>
      <w:r>
        <w:rPr>
          <w:rFonts w:hint="eastAsia"/>
          <w:lang w:val="en-US" w:eastAsia="zh-CN"/>
        </w:rPr>
        <w:t>13049.88</w:t>
      </w:r>
      <w:r>
        <w:rPr>
          <w:rFonts w:hint="eastAsia"/>
        </w:rPr>
        <w:t>万元。</w:t>
      </w:r>
    </w:p>
    <w:p w14:paraId="360456CC">
      <w:pPr>
        <w:pStyle w:val="19"/>
        <w:ind w:firstLine="640"/>
      </w:pPr>
      <w:r>
        <w:rPr>
          <w:rFonts w:hint="eastAsia"/>
        </w:rPr>
        <w:t>按支出功能科目划分：社会保障和就业支出229.31万元，较上年预算安排增加</w:t>
      </w:r>
      <w:r>
        <w:rPr>
          <w:rFonts w:hint="eastAsia"/>
          <w:lang w:val="en-US" w:eastAsia="zh-CN"/>
        </w:rPr>
        <w:t>34.4</w:t>
      </w:r>
      <w:r>
        <w:rPr>
          <w:rFonts w:hint="eastAsia"/>
        </w:rPr>
        <w:t>万元；卫生健康支出63.70万元，较上年预算安排增加</w:t>
      </w:r>
      <w:r>
        <w:rPr>
          <w:rFonts w:hint="eastAsia"/>
          <w:lang w:val="en-US" w:eastAsia="zh-CN"/>
        </w:rPr>
        <w:t>34.71</w:t>
      </w:r>
      <w:r>
        <w:rPr>
          <w:rFonts w:hint="eastAsia"/>
        </w:rPr>
        <w:t>万元；城乡社区支出13361.72万元，较上年预算安排增加</w:t>
      </w:r>
      <w:r>
        <w:rPr>
          <w:rFonts w:hint="eastAsia"/>
          <w:lang w:val="en-US" w:eastAsia="zh-CN"/>
        </w:rPr>
        <w:t>13361.72</w:t>
      </w:r>
      <w:r>
        <w:rPr>
          <w:rFonts w:hint="eastAsia"/>
        </w:rPr>
        <w:t>万元；自然资源海洋气象等支出1833.90万元，较上年预算安排减少</w:t>
      </w:r>
      <w:r>
        <w:rPr>
          <w:rFonts w:hint="eastAsia"/>
          <w:lang w:val="en-US" w:eastAsia="zh-CN"/>
        </w:rPr>
        <w:t>34.62</w:t>
      </w:r>
      <w:r>
        <w:rPr>
          <w:rFonts w:hint="eastAsia"/>
        </w:rPr>
        <w:t>_万元；住房保障支出117.50万元，较上年预算安排增加</w:t>
      </w:r>
      <w:r>
        <w:rPr>
          <w:rFonts w:hint="eastAsia"/>
          <w:lang w:val="en-US" w:eastAsia="zh-CN"/>
        </w:rPr>
        <w:t>20.04</w:t>
      </w:r>
      <w:r>
        <w:rPr>
          <w:rFonts w:hint="eastAsia"/>
        </w:rPr>
        <w:t>万元；灾害防治及应急管理支出32.42万元，较上年预算安排减少</w:t>
      </w:r>
      <w:r>
        <w:rPr>
          <w:rFonts w:hint="eastAsia"/>
          <w:lang w:val="en-US" w:eastAsia="zh-CN"/>
        </w:rPr>
        <w:t>90.28</w:t>
      </w:r>
      <w:r>
        <w:rPr>
          <w:rFonts w:hint="eastAsia"/>
        </w:rPr>
        <w:t>万元。</w:t>
      </w:r>
    </w:p>
    <w:p w14:paraId="3ACE36DD">
      <w:pPr>
        <w:pStyle w:val="19"/>
        <w:ind w:firstLine="640"/>
      </w:pPr>
      <w:r>
        <w:rPr>
          <w:rFonts w:hint="eastAsia"/>
        </w:rPr>
        <w:t>按支出经济分类划分：工资福利支出1633.03万元，较上年预算安排增加</w:t>
      </w:r>
      <w:r>
        <w:rPr>
          <w:rFonts w:hint="eastAsia"/>
          <w:lang w:val="en-US" w:eastAsia="zh-CN"/>
        </w:rPr>
        <w:t>360.76</w:t>
      </w:r>
      <w:r>
        <w:rPr>
          <w:rFonts w:hint="eastAsia"/>
        </w:rPr>
        <w:t>万元；商品和服务支出593.49万元，较上年预算安排减少</w:t>
      </w:r>
      <w:r>
        <w:rPr>
          <w:rFonts w:hint="eastAsia"/>
          <w:lang w:val="en-US" w:eastAsia="zh-CN"/>
        </w:rPr>
        <w:t>433.11</w:t>
      </w:r>
      <w:r>
        <w:rPr>
          <w:rFonts w:hint="eastAsia"/>
        </w:rPr>
        <w:t>万元；对个人和家庭的补助3.88万元，较上年预算安排增加</w:t>
      </w:r>
      <w:r>
        <w:rPr>
          <w:rFonts w:hint="eastAsia"/>
          <w:lang w:val="en-US" w:eastAsia="zh-CN"/>
        </w:rPr>
        <w:t>0.18</w:t>
      </w:r>
      <w:r>
        <w:rPr>
          <w:rFonts w:hint="eastAsia"/>
        </w:rPr>
        <w:t>万元；资本性支出2.00万元，较上年预算安排减少</w:t>
      </w:r>
      <w:r>
        <w:rPr>
          <w:rFonts w:hint="eastAsia"/>
          <w:lang w:val="en-US" w:eastAsia="zh-CN"/>
        </w:rPr>
        <w:t>8</w:t>
      </w:r>
      <w:r>
        <w:rPr>
          <w:rFonts w:hint="eastAsia"/>
        </w:rPr>
        <w:t>万元；其他支出13406.13万元，较上年预算安排增加</w:t>
      </w:r>
      <w:r>
        <w:rPr>
          <w:rFonts w:hint="eastAsia"/>
          <w:lang w:val="en-US" w:eastAsia="zh-CN"/>
        </w:rPr>
        <w:t>13406.13</w:t>
      </w:r>
      <w:r>
        <w:rPr>
          <w:rFonts w:hint="eastAsia"/>
        </w:rPr>
        <w:t>万元。</w:t>
      </w:r>
    </w:p>
    <w:p w14:paraId="6C94F6F2">
      <w:pPr>
        <w:pStyle w:val="20"/>
        <w:numPr>
          <w:ilvl w:val="0"/>
          <w:numId w:val="0"/>
        </w:numPr>
        <w:ind w:left="420" w:leftChars="200"/>
      </w:pPr>
      <w:r>
        <w:rPr>
          <w:rFonts w:hint="eastAsia"/>
        </w:rPr>
        <w:t xml:space="preserve"> (三)财政拨款支出情况</w:t>
      </w:r>
    </w:p>
    <w:p w14:paraId="18B75D31">
      <w:pPr>
        <w:pStyle w:val="19"/>
        <w:ind w:firstLine="640"/>
      </w:pPr>
      <w:r>
        <w:rPr>
          <w:rFonts w:hint="eastAsia"/>
        </w:rPr>
        <w:t>2026年浮梁县自然资源和规划局财政拨款支出预算总额15548.53万元,较上年预算安排增加</w:t>
      </w:r>
      <w:r>
        <w:rPr>
          <w:rFonts w:hint="eastAsia"/>
          <w:lang w:val="en-US" w:eastAsia="zh-CN"/>
        </w:rPr>
        <w:t>13578.85</w:t>
      </w:r>
      <w:r>
        <w:rPr>
          <w:rFonts w:hint="eastAsia"/>
        </w:rPr>
        <w:t>万元。</w:t>
      </w:r>
    </w:p>
    <w:p w14:paraId="383E8704">
      <w:pPr>
        <w:pStyle w:val="19"/>
        <w:ind w:firstLine="640"/>
      </w:pPr>
      <w:r>
        <w:rPr>
          <w:rFonts w:hint="eastAsia"/>
        </w:rPr>
        <w:t>按支出功能科目划分：社会保障和就业支出229.31万元，卫生健康支出63.70万元，城乡社区支出13361.72万元，自然资源海洋气象等支出1743.90万元，住房保障支出117.50万元，灾害防治及应急管理支出32.42万元。</w:t>
      </w:r>
    </w:p>
    <w:p w14:paraId="25776C78">
      <w:pPr>
        <w:pStyle w:val="19"/>
        <w:ind w:firstLine="640"/>
      </w:pPr>
      <w:r>
        <w:rPr>
          <w:rFonts w:hint="eastAsia"/>
        </w:rPr>
        <w:t>按支出项目类别划分：基本支出1790.01万元,项目支出13758.52万元。</w:t>
      </w:r>
    </w:p>
    <w:p w14:paraId="447DB186">
      <w:pPr>
        <w:pStyle w:val="19"/>
        <w:ind w:firstLine="640"/>
      </w:pPr>
      <w:r>
        <w:rPr>
          <w:rFonts w:hint="eastAsia"/>
        </w:rPr>
        <w:t>按支出经济分类划分：工资福利支出1633.03万元，商品和服务支出503.49万元（其中委托业务费352.39万元），对个人和家庭的补助3.88万元，资本性支出2.00万元，其他支出13406.13万元。</w:t>
      </w:r>
    </w:p>
    <w:p w14:paraId="54C19FF7">
      <w:pPr>
        <w:pStyle w:val="20"/>
        <w:numPr>
          <w:ilvl w:val="0"/>
          <w:numId w:val="0"/>
        </w:numPr>
        <w:ind w:firstLine="643" w:firstLineChars="200"/>
      </w:pPr>
      <w:r>
        <w:rPr>
          <w:rFonts w:hint="eastAsia"/>
        </w:rPr>
        <w:t>(四)政府性基金情况</w:t>
      </w:r>
    </w:p>
    <w:p w14:paraId="1B120AE4">
      <w:pPr>
        <w:pStyle w:val="19"/>
        <w:ind w:firstLine="640"/>
      </w:pPr>
      <w:r>
        <w:rPr>
          <w:rFonts w:hint="eastAsia"/>
        </w:rPr>
        <w:t>2026年浮梁县自然资源和规划局政府性基金支出预算总额</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26E5C053">
      <w:pPr>
        <w:pStyle w:val="19"/>
        <w:ind w:firstLine="640"/>
      </w:pPr>
      <w:r>
        <w:rPr>
          <w:rFonts w:hint="eastAsia"/>
        </w:rPr>
        <w:t>按支出项目类别划分：本部门没有使用政府性基金预算拨款安排的支出。</w:t>
      </w:r>
    </w:p>
    <w:p w14:paraId="5B89A6FC">
      <w:pPr>
        <w:pStyle w:val="19"/>
        <w:ind w:firstLine="640"/>
      </w:pPr>
      <w:r>
        <w:rPr>
          <w:rFonts w:hint="eastAsia"/>
        </w:rPr>
        <w:t>按支出经济分类划分：本部门没有使用政府性基金预算拨款安排的支出。</w:t>
      </w:r>
    </w:p>
    <w:p w14:paraId="3154ADB0">
      <w:pPr>
        <w:pStyle w:val="19"/>
        <w:ind w:firstLine="640"/>
      </w:pPr>
      <w:r>
        <w:rPr>
          <w:rFonts w:hint="eastAsia"/>
        </w:rPr>
        <w:t>(如无，则说明“本部门没有使用政府性基金预算拨款安排的支出”)</w:t>
      </w:r>
    </w:p>
    <w:p w14:paraId="63495E35">
      <w:pPr>
        <w:pStyle w:val="20"/>
        <w:numPr>
          <w:ilvl w:val="0"/>
          <w:numId w:val="0"/>
        </w:numPr>
        <w:ind w:firstLine="643" w:firstLineChars="200"/>
      </w:pPr>
      <w:r>
        <w:rPr>
          <w:rFonts w:hint="eastAsia"/>
        </w:rPr>
        <w:t>(五)国有资本经营情况</w:t>
      </w:r>
    </w:p>
    <w:p w14:paraId="2A2A9EB6">
      <w:pPr>
        <w:pStyle w:val="19"/>
        <w:ind w:firstLine="640"/>
      </w:pPr>
      <w:r>
        <w:rPr>
          <w:rFonts w:hint="eastAsia"/>
        </w:rPr>
        <w:t>2026年浮梁县自然资源和规划局国有资本经营支出预算总额为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01F489E9">
      <w:pPr>
        <w:pStyle w:val="19"/>
        <w:ind w:firstLine="640"/>
      </w:pPr>
      <w:r>
        <w:rPr>
          <w:rFonts w:hint="eastAsia"/>
        </w:rPr>
        <w:t>按支出项目类别划分</w:t>
      </w:r>
      <w:r>
        <w:rPr>
          <w:rFonts w:hint="eastAsia"/>
          <w:lang w:eastAsia="zh-CN"/>
        </w:rPr>
        <w:t>：</w:t>
      </w:r>
      <w:r>
        <w:rPr>
          <w:rFonts w:hint="eastAsia"/>
        </w:rPr>
        <w:t>本部门没有使用国有资本经营预算拨款安排的支出。</w:t>
      </w:r>
    </w:p>
    <w:p w14:paraId="533B133A">
      <w:pPr>
        <w:pStyle w:val="19"/>
        <w:ind w:firstLine="640"/>
      </w:pPr>
      <w:r>
        <w:rPr>
          <w:rFonts w:hint="eastAsia"/>
        </w:rPr>
        <w:t>按支出经济分类划分：本部门没有使用国有资本经营预算拨款安排的支出。</w:t>
      </w:r>
    </w:p>
    <w:p w14:paraId="046F9AF5">
      <w:pPr>
        <w:pStyle w:val="19"/>
        <w:ind w:firstLine="640"/>
      </w:pPr>
      <w:r>
        <w:rPr>
          <w:rFonts w:hint="eastAsia"/>
        </w:rPr>
        <w:t>(如无，则说明“本部门没有使用国有资本经营预算拨款安排的支出”)</w:t>
      </w:r>
    </w:p>
    <w:p w14:paraId="71DF4E27">
      <w:pPr>
        <w:pStyle w:val="20"/>
        <w:numPr>
          <w:ilvl w:val="0"/>
          <w:numId w:val="0"/>
        </w:numPr>
        <w:ind w:firstLine="643" w:firstLineChars="200"/>
      </w:pPr>
      <w:r>
        <w:rPr>
          <w:rFonts w:hint="eastAsia"/>
        </w:rPr>
        <w:t>(六)机关运行经费等重要事项的说明</w:t>
      </w:r>
    </w:p>
    <w:p w14:paraId="539A275E">
      <w:pPr>
        <w:pStyle w:val="19"/>
        <w:ind w:firstLine="640"/>
      </w:pPr>
      <w:r>
        <w:rPr>
          <w:rFonts w:hint="eastAsia"/>
        </w:rPr>
        <w:t>2026年部门机关运行费预算</w:t>
      </w:r>
      <w:r>
        <w:rPr>
          <w:rFonts w:hint="eastAsia"/>
          <w:lang w:val="en-US" w:eastAsia="zh-CN"/>
        </w:rPr>
        <w:t>143.22</w:t>
      </w:r>
      <w:r>
        <w:rPr>
          <w:rFonts w:hint="eastAsia"/>
        </w:rPr>
        <w:t>万元，比2025年预算减少</w:t>
      </w:r>
      <w:r>
        <w:rPr>
          <w:rFonts w:hint="eastAsia"/>
          <w:lang w:val="en-US" w:eastAsia="zh-CN"/>
        </w:rPr>
        <w:t>17.06</w:t>
      </w:r>
      <w:r>
        <w:rPr>
          <w:rFonts w:hint="eastAsia"/>
        </w:rPr>
        <w:t>万元，下降</w:t>
      </w:r>
      <w:r>
        <w:rPr>
          <w:rFonts w:hint="eastAsia"/>
          <w:lang w:val="en-US" w:eastAsia="zh-CN"/>
        </w:rPr>
        <w:t>10.64</w:t>
      </w:r>
      <w:r>
        <w:rPr>
          <w:rFonts w:hint="eastAsia"/>
        </w:rPr>
        <w:t>%。</w:t>
      </w:r>
    </w:p>
    <w:p w14:paraId="4C43632F">
      <w:pPr>
        <w:pStyle w:val="19"/>
        <w:ind w:firstLine="640"/>
      </w:pPr>
      <w:r>
        <w:rPr>
          <w:rFonts w:hint="eastAsia"/>
        </w:rPr>
        <w:t>（如无，则说明“本部门无行政参公单位，无机关运行经费”）</w:t>
      </w:r>
    </w:p>
    <w:p w14:paraId="7189B805">
      <w:pPr>
        <w:widowControl/>
        <w:spacing w:line="580" w:lineRule="exact"/>
        <w:ind w:firstLine="636"/>
        <w:jc w:val="left"/>
        <w:rPr>
          <w:rFonts w:ascii="Adobe 仿宋 Std R" w:hAnsi="Adobe 仿宋 Std R" w:eastAsia="Adobe 仿宋 Std R"/>
          <w:sz w:val="32"/>
          <w:szCs w:val="32"/>
        </w:rPr>
      </w:pPr>
    </w:p>
    <w:p w14:paraId="1FD217F1">
      <w:pPr>
        <w:pStyle w:val="20"/>
        <w:numPr>
          <w:ilvl w:val="0"/>
          <w:numId w:val="0"/>
        </w:numPr>
        <w:ind w:firstLine="643" w:firstLineChars="200"/>
      </w:pPr>
      <w:r>
        <w:rPr>
          <w:rFonts w:hint="eastAsia"/>
        </w:rPr>
        <w:t>(七)政府采购情况</w:t>
      </w:r>
    </w:p>
    <w:p w14:paraId="18A0FD7E">
      <w:pPr>
        <w:pStyle w:val="19"/>
        <w:ind w:firstLine="640"/>
      </w:pPr>
      <w:r>
        <w:rPr>
          <w:rFonts w:hint="eastAsia"/>
        </w:rPr>
        <w:t>2026年部门所属各单位政府采购总额 549.72 万元,其中: 政府采购货物预算  2.00 万元, 政府采购工程预算 0.00 万元, 政府采购服务预算 547.72 万元。</w:t>
      </w:r>
    </w:p>
    <w:p w14:paraId="6AE1FD23">
      <w:pPr>
        <w:pStyle w:val="19"/>
        <w:ind w:firstLine="640"/>
      </w:pPr>
      <w:r>
        <w:rPr>
          <w:rFonts w:hint="eastAsia"/>
        </w:rPr>
        <w:t>(为“0”的内容也应保留，如“政府采购工程预算0万元”)</w:t>
      </w:r>
    </w:p>
    <w:p w14:paraId="2A83B7FB">
      <w:pPr>
        <w:pStyle w:val="19"/>
        <w:ind w:firstLine="640"/>
      </w:pPr>
    </w:p>
    <w:p w14:paraId="63AC6E87">
      <w:pPr>
        <w:pStyle w:val="20"/>
        <w:numPr>
          <w:ilvl w:val="0"/>
          <w:numId w:val="0"/>
        </w:numPr>
        <w:ind w:firstLine="643" w:firstLineChars="200"/>
      </w:pPr>
      <w:r>
        <w:rPr>
          <w:rFonts w:hint="eastAsia"/>
        </w:rPr>
        <w:t>(八)国有资产占有使用情况</w:t>
      </w:r>
    </w:p>
    <w:p w14:paraId="07DAC5C1">
      <w:pPr>
        <w:pStyle w:val="19"/>
        <w:ind w:firstLine="640"/>
      </w:pPr>
      <w:r>
        <w:rPr>
          <w:rFonts w:hint="eastAsia"/>
        </w:rPr>
        <w:t xml:space="preserve">截至2025年7月31日, 部门共有车辆 </w:t>
      </w:r>
      <w:r>
        <w:rPr>
          <w:rFonts w:hint="eastAsia"/>
          <w:lang w:val="en-US" w:eastAsia="zh-CN"/>
        </w:rPr>
        <w:t>16</w:t>
      </w:r>
      <w:r>
        <w:rPr>
          <w:rFonts w:hint="eastAsia"/>
        </w:rPr>
        <w:t>辆,其中：一般公务用车实有数</w:t>
      </w:r>
      <w:r>
        <w:rPr>
          <w:rFonts w:hint="eastAsia"/>
          <w:lang w:val="en-US" w:eastAsia="zh-CN"/>
        </w:rPr>
        <w:t>16</w:t>
      </w:r>
      <w:r>
        <w:rPr>
          <w:rFonts w:hint="eastAsia"/>
        </w:rPr>
        <w:t xml:space="preserve"> 辆。</w:t>
      </w:r>
    </w:p>
    <w:p w14:paraId="27703055">
      <w:pPr>
        <w:pStyle w:val="19"/>
        <w:ind w:firstLine="640"/>
      </w:pPr>
      <w:r>
        <w:rPr>
          <w:rFonts w:hint="eastAsia"/>
        </w:rPr>
        <w:t>2026年部门预算安排购置车辆</w:t>
      </w:r>
      <w:r>
        <w:rPr>
          <w:rFonts w:hint="eastAsia"/>
          <w:lang w:val="en-US" w:eastAsia="zh-CN"/>
        </w:rPr>
        <w:t>0</w:t>
      </w:r>
      <w:r>
        <w:rPr>
          <w:rFonts w:hint="eastAsia"/>
        </w:rPr>
        <w:t>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rPr>
        <w:t>。</w:t>
      </w:r>
    </w:p>
    <w:p w14:paraId="3D371576">
      <w:pPr>
        <w:pStyle w:val="19"/>
        <w:ind w:firstLine="640"/>
      </w:pPr>
      <w:r>
        <w:rPr>
          <w:rFonts w:hint="eastAsia"/>
        </w:rPr>
        <w:t>（为“0”的内容也应保留，如“部门共有车辆0辆”）</w:t>
      </w:r>
    </w:p>
    <w:p w14:paraId="51C65EB7">
      <w:pPr>
        <w:pStyle w:val="20"/>
        <w:numPr>
          <w:ilvl w:val="0"/>
          <w:numId w:val="0"/>
        </w:numPr>
        <w:ind w:firstLine="643" w:firstLineChars="200"/>
      </w:pPr>
      <w:r>
        <w:rPr>
          <w:rFonts w:hint="eastAsia"/>
        </w:rPr>
        <w:t>(九)</w:t>
      </w:r>
      <w:r>
        <w:rPr>
          <w:rFonts w:hint="eastAsia"/>
          <w:lang w:val="en-US" w:eastAsia="zh-CN"/>
        </w:rPr>
        <w:t>1、</w:t>
      </w:r>
      <w:r>
        <w:t>浮梁县8个集镇基准地价更新项目</w:t>
      </w:r>
      <w:r>
        <w:rPr>
          <w:rFonts w:hint="eastAsia"/>
        </w:rPr>
        <w:t>情况说明</w:t>
      </w:r>
    </w:p>
    <w:p w14:paraId="1F8D77BE">
      <w:pPr>
        <w:pStyle w:val="19"/>
        <w:ind w:firstLine="640"/>
        <w:rPr>
          <w:rFonts w:hint="eastAsia" w:eastAsia="仿宋_GB2312"/>
          <w:lang w:eastAsia="zh-CN"/>
        </w:rPr>
      </w:pPr>
      <w:r>
        <w:rPr>
          <w:rFonts w:hint="eastAsia" w:ascii="Adobe 仿宋 Std R" w:hAnsi="Adobe 仿宋 Std R" w:eastAsia="Adobe 仿宋 Std R"/>
        </w:rPr>
        <w:t xml:space="preserve">  </w:t>
      </w:r>
      <w:r>
        <w:rPr>
          <w:rFonts w:hint="eastAsia"/>
        </w:rPr>
        <w:t xml:space="preserve"> 1）项目概述</w:t>
      </w:r>
      <w:r>
        <w:rPr>
          <w:rFonts w:hint="eastAsia"/>
          <w:lang w:eastAsia="zh-CN"/>
        </w:rPr>
        <w:t>：</w:t>
      </w:r>
      <w:r>
        <w:rPr>
          <w:rFonts w:hint="eastAsia"/>
        </w:rPr>
        <w:t>按照《城镇土地分等定级规程》</w:t>
      </w:r>
      <w:r>
        <w:t>[2014年12月1日实施]、《城镇土地估价规程》[2014年12月1日实施]等相关技术要求，完成浮梁县8个集镇基准地价更新项目，为土地出让权价值提供参考依据。</w:t>
      </w:r>
    </w:p>
    <w:p w14:paraId="034BD382">
      <w:pPr>
        <w:pStyle w:val="19"/>
        <w:ind w:firstLine="640"/>
        <w:rPr>
          <w:rFonts w:hint="eastAsia" w:eastAsia="仿宋_GB2312"/>
          <w:lang w:eastAsia="zh-CN"/>
        </w:rPr>
      </w:pPr>
      <w:r>
        <w:rPr>
          <w:rFonts w:hint="eastAsia"/>
        </w:rPr>
        <w:t xml:space="preserve">   2）立项依据</w:t>
      </w:r>
      <w:r>
        <w:rPr>
          <w:rFonts w:hint="eastAsia"/>
          <w:lang w:eastAsia="zh-CN"/>
        </w:rPr>
        <w:t>：</w:t>
      </w:r>
      <w:r>
        <w:rPr>
          <w:rFonts w:hint="eastAsia"/>
        </w:rPr>
        <w:t>《江西省自然资源厅办公室关于做好</w:t>
      </w:r>
      <w:r>
        <w:t>2023年度政府公示地价制定更新工作的通知》（赣自然资办函〔2023〕100 号）、《江西省自然资源厅办公室关于进一步做好政府公示地价制定更新工作的通知》（赣自然资办函【2025】305号）</w:t>
      </w:r>
      <w:r>
        <w:rPr>
          <w:rFonts w:hint="eastAsia"/>
          <w:lang w:eastAsia="zh-CN"/>
        </w:rPr>
        <w:t>。</w:t>
      </w:r>
    </w:p>
    <w:p w14:paraId="2399C4E2">
      <w:pPr>
        <w:pStyle w:val="19"/>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579A0308">
      <w:pPr>
        <w:pStyle w:val="19"/>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6761B619">
      <w:pPr>
        <w:pStyle w:val="19"/>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5A2F26A6">
      <w:pPr>
        <w:pStyle w:val="19"/>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40</w:t>
      </w:r>
      <w:r>
        <w:rPr>
          <w:rFonts w:hint="eastAsia" w:ascii="仿宋_GB2312" w:hAnsi="Times New Roman" w:eastAsia="仿宋_GB2312" w:cs="Times New Roman"/>
          <w:snapToGrid/>
          <w:kern w:val="2"/>
          <w:sz w:val="32"/>
          <w:szCs w:val="32"/>
          <w:lang w:val="en-US" w:eastAsia="zh-CN" w:bidi="ar-SA"/>
        </w:rPr>
        <w:t>万元</w:t>
      </w:r>
    </w:p>
    <w:p w14:paraId="51FE4F05">
      <w:pPr>
        <w:pStyle w:val="20"/>
        <w:numPr>
          <w:ilvl w:val="0"/>
          <w:numId w:val="0"/>
        </w:numPr>
        <w:ind w:firstLine="643" w:firstLineChars="200"/>
      </w:pPr>
      <w:r>
        <w:rPr>
          <w:rFonts w:hint="eastAsia"/>
          <w:lang w:val="en-US" w:eastAsia="zh-CN"/>
        </w:rPr>
        <w:t>2、</w:t>
      </w:r>
      <w:r>
        <w:t>2022-2025批而未用清数建库更新项目</w:t>
      </w:r>
      <w:r>
        <w:rPr>
          <w:rFonts w:hint="eastAsia"/>
        </w:rPr>
        <w:t>情况说明</w:t>
      </w:r>
    </w:p>
    <w:p w14:paraId="42014E8B">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1）项目概述：按照《江西省自然资源厅办公室关于做好2025年度存量土地消化处置工作的通知》（赣自然资办函【2025】42号）及《批而未用土地清数建库规程》（DB 36/T 1933-2024）相关技术要求，完成2022-2025年度浮梁县批而未用土地清数建库更新工作。</w:t>
      </w:r>
    </w:p>
    <w:p w14:paraId="60022494">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2）立项依据：《江西省自然资源厅办公室关于做好2025年度存量土地消化处置工作的通知》（赣自然资办函【2025】42号），江西省实行 “增存挂钩” 机制，即处置存量土地（批而未供、闲置）与获得新增建设用地指标直接挂钩，为地方发展使用土地保障新增建设用地指标，迫使我县必须摸清存量建设用地底数。</w:t>
      </w:r>
    </w:p>
    <w:p w14:paraId="07309EB4">
      <w:pPr>
        <w:rPr>
          <w:rFonts w:hint="eastAsia" w:ascii="仿宋_GB2312" w:hAnsi="仿宋_GB2312" w:eastAsia="仿宋_GB2312" w:cstheme="minorBidi"/>
          <w:kern w:val="2"/>
          <w:sz w:val="32"/>
          <w:szCs w:val="32"/>
          <w:lang w:val="en-US" w:eastAsia="zh-CN" w:bidi="ar-SA"/>
        </w:rPr>
      </w:pPr>
    </w:p>
    <w:p w14:paraId="4C22B314">
      <w:pPr>
        <w:pStyle w:val="19"/>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2192B83B">
      <w:pPr>
        <w:pStyle w:val="19"/>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03DEE65D">
      <w:pPr>
        <w:pStyle w:val="19"/>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6FAC9264">
      <w:pPr>
        <w:pStyle w:val="19"/>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20</w:t>
      </w:r>
      <w:r>
        <w:rPr>
          <w:rFonts w:hint="eastAsia" w:ascii="仿宋_GB2312" w:hAnsi="Times New Roman" w:eastAsia="仿宋_GB2312" w:cs="Times New Roman"/>
          <w:snapToGrid/>
          <w:kern w:val="2"/>
          <w:sz w:val="32"/>
          <w:szCs w:val="32"/>
          <w:lang w:val="en-US" w:eastAsia="zh-CN" w:bidi="ar-SA"/>
        </w:rPr>
        <w:t>万元</w:t>
      </w:r>
    </w:p>
    <w:p w14:paraId="3C4B2E0F">
      <w:pPr>
        <w:pStyle w:val="20"/>
        <w:numPr>
          <w:ilvl w:val="0"/>
          <w:numId w:val="0"/>
        </w:numPr>
        <w:ind w:firstLine="643" w:firstLineChars="200"/>
      </w:pPr>
      <w:r>
        <w:rPr>
          <w:rFonts w:hint="eastAsia"/>
          <w:lang w:val="en-US" w:eastAsia="zh-CN"/>
        </w:rPr>
        <w:t>3、</w:t>
      </w:r>
      <w:r>
        <w:t>浮梁县国土空间总体规划（2021-2035年）评估及动态调整维护项目</w:t>
      </w:r>
      <w:r>
        <w:rPr>
          <w:rFonts w:hint="eastAsia"/>
        </w:rPr>
        <w:t>情况说明</w:t>
      </w:r>
    </w:p>
    <w:p w14:paraId="6CED679F">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围绕浮梁县国土空间总体规划全生命周期管控，依据国家及江西省国土空间规划评估调整相关规范，开展规划实施年度体检、五年综合评估，精准识别实施偏差；依规开展耕地保护、城镇开发边界、民生设施布局等合规性动态调整；常态化维护规划 “一张图” 数据库及成果。通过项目实施，保障规划约束性指标落地，实现规划与地方发展精准适配，筑牢生态、粮食安全底线，优化国土空间布局，助力区域高质量发展。</w:t>
      </w:r>
    </w:p>
    <w:p w14:paraId="27AD954B">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当前国土空间总体规划实施过程中，各类结构性、阶段性矛盾逐步显现：一是部分约束性指标落地存在偏差，需通过定期评估精准核查整改；二是城镇开发边界内空间利用效率不高，存量建设用地盘活需求迫切，需依托评估识别潜力区域；三是极端条件下粮食安全、水资源保障等安全韧性问题凸显，需通过评估优化空间布局；四是“15分钟社区生活圈”等民生导向的规划内容落地成效待检验，需结合群众需求调整完善。此外，规划实施中还存在“图、文、表、库”不一致、数据现势性不足等问题，亟需通过专业化的评估与动态维护工作，打通规划落地“最后一公里”。</w:t>
      </w:r>
    </w:p>
    <w:p w14:paraId="4C9EECC0">
      <w:pPr>
        <w:pStyle w:val="19"/>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35DBFDD7">
      <w:pPr>
        <w:pStyle w:val="19"/>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21893CB1">
      <w:pPr>
        <w:pStyle w:val="19"/>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7FE3C155">
      <w:pPr>
        <w:pStyle w:val="19"/>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84</w:t>
      </w:r>
      <w:r>
        <w:rPr>
          <w:rFonts w:hint="eastAsia" w:ascii="仿宋_GB2312" w:hAnsi="Times New Roman" w:eastAsia="仿宋_GB2312" w:cs="Times New Roman"/>
          <w:snapToGrid/>
          <w:kern w:val="2"/>
          <w:sz w:val="32"/>
          <w:szCs w:val="32"/>
          <w:lang w:val="en-US" w:eastAsia="zh-CN" w:bidi="ar-SA"/>
        </w:rPr>
        <w:t>万元</w:t>
      </w:r>
    </w:p>
    <w:p w14:paraId="74EAFB82">
      <w:pPr>
        <w:pStyle w:val="20"/>
        <w:numPr>
          <w:ilvl w:val="0"/>
          <w:numId w:val="0"/>
        </w:numPr>
        <w:ind w:firstLine="643" w:firstLineChars="200"/>
      </w:pPr>
      <w:r>
        <w:rPr>
          <w:rFonts w:hint="eastAsia"/>
          <w:lang w:val="en-US" w:eastAsia="zh-CN"/>
        </w:rPr>
        <w:t>4、</w:t>
      </w:r>
      <w:r>
        <w:t>2026年运维与等保测评服务项目</w:t>
      </w:r>
      <w:r>
        <w:rPr>
          <w:rFonts w:hint="eastAsia"/>
        </w:rPr>
        <w:t>情况说明</w:t>
      </w:r>
    </w:p>
    <w:p w14:paraId="793FAC24">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保障数据中心设备正常稳定运行，保护县自然资源不动产登记数据不泄露，维护不动产数据中心工作正常运行，项目涵盖驻场运维、设备维保、等保测评服务。为深化“放管服”改革，浮梁县自然资源和规划局（以下简称自规局）不断优化登记服务，协同推进“互联网+不动产登记” ，切实方便企业和群众办事，全面梳理涉及税收的登记业务，实现与其他政务部门各系统对接互通。为确保国土空间基础信息平台、不动产登记信息平台安全、可靠运行，自规局各级领导高度重视信息化建设，围绕国土和不动产业务系统、网络及信息安全紧抓项目建设，提升网络运维能力，保障网络服务质量，不断提高信息中心数字化运维水平。</w:t>
      </w:r>
    </w:p>
    <w:p w14:paraId="78B03638">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保障数据中心设备正常稳定运行，保护县自然资源不动产登记数据不泄露，维护不动产数据中心工作正常运行，项目涵盖驻场运维、设备维保、等保测评服务。为深化“放管服”改革，浮梁县自然资源和规划局（以下简称自规局）不断优化登记服务，协同推进“互联网+不动产登记” ，切实方便企业和群众办事，全面梳理涉及税收的登记业务，实现与其他政务部门各系统对接互通。为确保国土空间基础信息平台、不动产登记信息平台安全、可靠运行，自规局各级领导高度重视信息化建设，围绕国土和不动产业务系统、网络及信息安全紧抓项目建设，提升网络运维能力，保障网络服务质量，不断提高信息中心数字化运维水平。</w:t>
      </w:r>
    </w:p>
    <w:p w14:paraId="236C1863">
      <w:pPr>
        <w:pStyle w:val="19"/>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402AE823">
      <w:pPr>
        <w:pStyle w:val="19"/>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0B663F52">
      <w:pPr>
        <w:pStyle w:val="19"/>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17311E82">
      <w:pPr>
        <w:pStyle w:val="19"/>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29.53</w:t>
      </w:r>
      <w:r>
        <w:rPr>
          <w:rFonts w:hint="eastAsia" w:ascii="仿宋_GB2312" w:hAnsi="Times New Roman" w:eastAsia="仿宋_GB2312" w:cs="Times New Roman"/>
          <w:snapToGrid/>
          <w:kern w:val="2"/>
          <w:sz w:val="32"/>
          <w:szCs w:val="32"/>
          <w:lang w:val="en-US" w:eastAsia="zh-CN" w:bidi="ar-SA"/>
        </w:rPr>
        <w:t>万元</w:t>
      </w:r>
    </w:p>
    <w:p w14:paraId="2FC6FE58">
      <w:pPr>
        <w:pStyle w:val="20"/>
        <w:numPr>
          <w:ilvl w:val="0"/>
          <w:numId w:val="0"/>
        </w:numPr>
        <w:ind w:firstLine="643" w:firstLineChars="200"/>
      </w:pPr>
      <w:r>
        <w:rPr>
          <w:rFonts w:hint="eastAsia"/>
          <w:lang w:val="en-US" w:eastAsia="zh-CN"/>
        </w:rPr>
        <w:t>5、</w:t>
      </w:r>
      <w:r>
        <w:rPr>
          <w:rFonts w:hint="eastAsia"/>
        </w:rPr>
        <w:t>2025年永久基本农田保护红线年度调整补划方案</w:t>
      </w:r>
      <w:r>
        <w:t>项目</w:t>
      </w:r>
      <w:r>
        <w:rPr>
          <w:rFonts w:hint="eastAsia"/>
        </w:rPr>
        <w:t>情况说明</w:t>
      </w:r>
    </w:p>
    <w:p w14:paraId="11CF6E65">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1）项目概述：根据《江西省自然资源厅办公室关于做好流出耕地处置工作的通知》（赣自然资办函[2025]251号），对流出耕地整改恢复留出过渡期， 按“三个一批”方式分类处置，并在 2025 年度国土变更调查成 果中标注。根据《永久基本农田保护红线管理办法》（自然资源部、农业农村部令第17号），永久基本农田保护红线在坚持整体稳定，确保国土空间规划确定的永久基本农田保护任务不突破的前提下，可以对布局进行正向优化。</w:t>
      </w:r>
    </w:p>
    <w:p w14:paraId="13E91FF8">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2）立项依据：《江西省自然资源厅办公室关于做好流出耕地 处置工作的通知》（赣自然资办函[2025]251号），《永久基本农田保护红线管理办法》（自然资源部、农业农村部令第17号）。依照《江西省自然资源厅办公室关于做好流出耕地 处置工作的通知》（赣自然资办函[2025]251号）规定对流出耕地整改恢复留出过渡期， 按“三个一批”方式分类处置，并在2025年度国土变更调查成 果中标注。依照《永久基本农田保护红线管理办法》规定确需对永久基本农田布局进行正向优化调整的，应当按照“数量不减、质量不降、布局优化、生态改善”的原则优化调整并落实补划，逐步提高永久基本农田中优质耕地的比例。</w:t>
      </w:r>
    </w:p>
    <w:p w14:paraId="4340751F">
      <w:pPr>
        <w:pStyle w:val="19"/>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09958C89">
      <w:pPr>
        <w:pStyle w:val="19"/>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5B28948C">
      <w:pPr>
        <w:pStyle w:val="19"/>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60A141F7">
      <w:pPr>
        <w:pStyle w:val="19"/>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35</w:t>
      </w:r>
      <w:r>
        <w:rPr>
          <w:rFonts w:hint="eastAsia" w:ascii="仿宋_GB2312" w:hAnsi="Times New Roman" w:eastAsia="仿宋_GB2312" w:cs="Times New Roman"/>
          <w:snapToGrid/>
          <w:kern w:val="2"/>
          <w:sz w:val="32"/>
          <w:szCs w:val="32"/>
          <w:lang w:val="en-US" w:eastAsia="zh-CN" w:bidi="ar-SA"/>
        </w:rPr>
        <w:t>万元</w:t>
      </w:r>
    </w:p>
    <w:p w14:paraId="07D04469">
      <w:pPr>
        <w:pStyle w:val="19"/>
        <w:ind w:firstLine="640"/>
      </w:pPr>
      <w:r>
        <w:rPr>
          <w:rFonts w:hint="eastAsia"/>
        </w:rPr>
        <w:t>（如果本部门没有项目，请说明“本部门本年度未安排项目”）</w:t>
      </w:r>
    </w:p>
    <w:p w14:paraId="18C725EC">
      <w:pPr>
        <w:pStyle w:val="19"/>
        <w:ind w:firstLine="640"/>
      </w:pPr>
    </w:p>
    <w:p w14:paraId="2FF8563B">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7FF17FF4">
      <w:pPr>
        <w:pStyle w:val="19"/>
        <w:ind w:firstLine="640"/>
      </w:pPr>
      <w:r>
        <w:rPr>
          <w:rFonts w:hint="eastAsia"/>
        </w:rPr>
        <w:t>2026年浮梁县自然资源和规划局财政拨款"三公"经费安排45.44万元，其中：</w:t>
      </w:r>
    </w:p>
    <w:p w14:paraId="1576C815">
      <w:pPr>
        <w:pStyle w:val="19"/>
        <w:ind w:firstLine="640"/>
      </w:pPr>
      <w:r>
        <w:rPr>
          <w:rFonts w:hint="eastAsia"/>
        </w:rPr>
        <w:t>因公出国0.00万元,比上年增（减）</w:t>
      </w:r>
      <w:r>
        <w:rPr>
          <w:rFonts w:hint="eastAsia"/>
          <w:lang w:val="en-US" w:eastAsia="zh-CN"/>
        </w:rPr>
        <w:t>0</w:t>
      </w:r>
      <w:r>
        <w:rPr>
          <w:rFonts w:hint="eastAsia"/>
        </w:rPr>
        <w:t>万元，主要原因是：与上年安排保持一致。</w:t>
      </w:r>
    </w:p>
    <w:p w14:paraId="59498452">
      <w:pPr>
        <w:pStyle w:val="19"/>
        <w:ind w:firstLine="640"/>
      </w:pPr>
      <w:r>
        <w:rPr>
          <w:rFonts w:hint="eastAsia"/>
        </w:rPr>
        <w:t>公务接待4.00万元,比上年减</w:t>
      </w:r>
      <w:r>
        <w:rPr>
          <w:rFonts w:hint="eastAsia"/>
          <w:lang w:eastAsia="zh-CN"/>
        </w:rPr>
        <w:t>少</w:t>
      </w:r>
      <w:r>
        <w:rPr>
          <w:rFonts w:hint="eastAsia"/>
          <w:lang w:val="en-US" w:eastAsia="zh-CN"/>
        </w:rPr>
        <w:t>3</w:t>
      </w:r>
      <w:r>
        <w:rPr>
          <w:rFonts w:hint="eastAsia"/>
        </w:rPr>
        <w:t>万元，主要原因是：</w:t>
      </w:r>
      <w:r>
        <w:rPr>
          <w:rFonts w:hint="eastAsia"/>
          <w:lang w:eastAsia="zh-CN"/>
        </w:rPr>
        <w:t>少公务接待费用</w:t>
      </w:r>
      <w:r>
        <w:rPr>
          <w:rFonts w:hint="eastAsia"/>
        </w:rPr>
        <w:t>。</w:t>
      </w:r>
    </w:p>
    <w:p w14:paraId="17E97199">
      <w:pPr>
        <w:pStyle w:val="19"/>
        <w:ind w:firstLine="640"/>
      </w:pPr>
      <w:r>
        <w:rPr>
          <w:rFonts w:hint="eastAsia"/>
        </w:rPr>
        <w:t>公务用车运行41.44万元,比上年减</w:t>
      </w:r>
      <w:r>
        <w:rPr>
          <w:rFonts w:hint="eastAsia"/>
          <w:lang w:eastAsia="zh-CN"/>
        </w:rPr>
        <w:t>少</w:t>
      </w:r>
      <w:r>
        <w:rPr>
          <w:rFonts w:hint="eastAsia"/>
          <w:lang w:val="en-US" w:eastAsia="zh-CN"/>
        </w:rPr>
        <w:t>2.59</w:t>
      </w:r>
      <w:r>
        <w:rPr>
          <w:rFonts w:hint="eastAsia"/>
        </w:rPr>
        <w:t>万元，主要原因是：</w:t>
      </w:r>
      <w:r>
        <w:rPr>
          <w:rFonts w:hint="eastAsia"/>
          <w:lang w:eastAsia="zh-CN"/>
        </w:rPr>
        <w:t>减少</w:t>
      </w:r>
      <w:r>
        <w:rPr>
          <w:rFonts w:hint="eastAsia"/>
          <w:lang w:val="en-US" w:eastAsia="zh-CN"/>
        </w:rPr>
        <w:t>1辆公务用车，待处理</w:t>
      </w:r>
      <w:r>
        <w:rPr>
          <w:rFonts w:hint="eastAsia"/>
        </w:rPr>
        <w:t>。</w:t>
      </w:r>
    </w:p>
    <w:p w14:paraId="66A5C659">
      <w:pPr>
        <w:pStyle w:val="19"/>
        <w:ind w:firstLine="640"/>
      </w:pPr>
      <w:r>
        <w:rPr>
          <w:rFonts w:hint="eastAsia"/>
        </w:rPr>
        <w:t>公务用车购置0.00万元,比上年增（减）</w:t>
      </w:r>
      <w:r>
        <w:rPr>
          <w:rFonts w:hint="eastAsia"/>
          <w:lang w:val="en-US" w:eastAsia="zh-CN"/>
        </w:rPr>
        <w:t>0</w:t>
      </w:r>
      <w:r>
        <w:rPr>
          <w:rFonts w:hint="eastAsia"/>
        </w:rPr>
        <w:t>万元，主要原因是：与上年安排保持一致。</w:t>
      </w:r>
    </w:p>
    <w:p w14:paraId="66D17A33">
      <w:pPr>
        <w:pStyle w:val="19"/>
        <w:ind w:firstLine="640"/>
      </w:pPr>
      <w:r>
        <w:rPr>
          <w:rFonts w:hint="eastAsia"/>
        </w:rPr>
        <w:t>（增减变化为0的也请填写，并在主要原因说明“与上年安排保持一致”）</w:t>
      </w:r>
    </w:p>
    <w:p w14:paraId="6FC6F62B">
      <w:pPr>
        <w:rPr>
          <w:rStyle w:val="13"/>
          <w:rFonts w:ascii="仿宋" w:hAnsi="仿宋" w:eastAsia="仿宋"/>
          <w:sz w:val="32"/>
          <w:szCs w:val="32"/>
        </w:rPr>
      </w:pPr>
      <w:r>
        <w:rPr>
          <w:rStyle w:val="13"/>
          <w:rFonts w:hint="eastAsia" w:ascii="仿宋" w:hAnsi="仿宋" w:eastAsia="仿宋"/>
          <w:sz w:val="32"/>
          <w:szCs w:val="32"/>
        </w:rPr>
        <w:br w:type="page"/>
      </w:r>
    </w:p>
    <w:p w14:paraId="69E18B1C">
      <w:pPr>
        <w:pStyle w:val="18"/>
        <w:numPr>
          <w:ilvl w:val="0"/>
          <w:numId w:val="0"/>
        </w:numPr>
        <w:ind w:left="420" w:leftChars="200"/>
        <w:jc w:val="center"/>
      </w:pPr>
      <w:r>
        <w:rPr>
          <w:rFonts w:hint="eastAsia"/>
        </w:rPr>
        <w:t>第四部分   名词解释</w:t>
      </w:r>
    </w:p>
    <w:p w14:paraId="06623018">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0B69B3A3">
      <w:pPr>
        <w:pStyle w:val="19"/>
        <w:ind w:firstLine="640"/>
      </w:pPr>
      <w:r>
        <w:rPr>
          <w:rFonts w:hint="eastAsia"/>
        </w:rPr>
        <w:t>各部门结合实际进行解释。</w:t>
      </w:r>
    </w:p>
    <w:p w14:paraId="04D4DFA6">
      <w:pPr>
        <w:pStyle w:val="19"/>
        <w:ind w:firstLine="640"/>
      </w:pPr>
      <w:r>
        <w:rPr>
          <w:rFonts w:hint="eastAsia"/>
        </w:rPr>
        <w:t>（一）财政拨款：指省级财政当年拨付的资金。</w:t>
      </w:r>
    </w:p>
    <w:p w14:paraId="1F549F7C">
      <w:pPr>
        <w:pStyle w:val="19"/>
        <w:ind w:firstLine="640"/>
      </w:pPr>
      <w:r>
        <w:rPr>
          <w:rFonts w:hint="eastAsia"/>
        </w:rPr>
        <w:t>（二）教育收费资金收入：指实行专项管理的高中以上学费、住宿费，高校委托培养费，函大、电大、夜大及短训班培训费等教育收费取得的收入。</w:t>
      </w:r>
    </w:p>
    <w:p w14:paraId="1AF87AE1">
      <w:pPr>
        <w:pStyle w:val="19"/>
        <w:ind w:firstLine="640"/>
      </w:pPr>
      <w:r>
        <w:rPr>
          <w:rFonts w:hint="eastAsia"/>
        </w:rPr>
        <w:t>（三）事业收入：指事业单位开展专业业务活动及辅助活动取得的收入。</w:t>
      </w:r>
    </w:p>
    <w:p w14:paraId="36212353">
      <w:pPr>
        <w:pStyle w:val="19"/>
        <w:ind w:firstLine="640"/>
      </w:pPr>
      <w:r>
        <w:rPr>
          <w:rFonts w:hint="eastAsia"/>
        </w:rPr>
        <w:t>（四）事业单位经营收入：指事业单位在专业业务活动及辅助活动之外开展非独立核算经营活动取得的收入。</w:t>
      </w:r>
    </w:p>
    <w:p w14:paraId="2CE49293">
      <w:pPr>
        <w:pStyle w:val="19"/>
        <w:ind w:firstLine="640"/>
      </w:pPr>
      <w:r>
        <w:rPr>
          <w:rFonts w:hint="eastAsia"/>
        </w:rPr>
        <w:t>（五）附属单位上缴收入：指事业单位附属的独立核算单位按规定标准或比例缴纳的各项收入。包括附属的事业单位上缴的收入和附属的企业上缴的利润等。</w:t>
      </w:r>
    </w:p>
    <w:p w14:paraId="7CA71654">
      <w:pPr>
        <w:pStyle w:val="19"/>
        <w:ind w:firstLine="640"/>
      </w:pPr>
      <w:r>
        <w:rPr>
          <w:rFonts w:hint="eastAsia"/>
        </w:rPr>
        <w:t>（六）上级补助收入：指事业单位从主管部门和上级单位取得的非财政补助收入。</w:t>
      </w:r>
    </w:p>
    <w:p w14:paraId="0D4B7C10">
      <w:pPr>
        <w:pStyle w:val="19"/>
        <w:ind w:firstLine="640"/>
      </w:pPr>
      <w:r>
        <w:rPr>
          <w:rFonts w:hint="eastAsia"/>
        </w:rPr>
        <w:t>（七）其他收入：指除财政拨款、事业收入、事业单位经营收入等以外的各项收入。</w:t>
      </w:r>
    </w:p>
    <w:p w14:paraId="60F5CEC3">
      <w:pPr>
        <w:pStyle w:val="19"/>
        <w:ind w:firstLine="640"/>
      </w:pPr>
      <w:r>
        <w:rPr>
          <w:rFonts w:hint="eastAsia"/>
        </w:rPr>
        <w:t>（八）使用非财政拨款结余：指历年滚存非限定用途的非财政拨款结余弥补本年度收支差额的数额。</w:t>
      </w:r>
    </w:p>
    <w:p w14:paraId="5CB9908F">
      <w:pPr>
        <w:pStyle w:val="19"/>
        <w:ind w:firstLine="640"/>
      </w:pPr>
      <w:r>
        <w:rPr>
          <w:rFonts w:hint="eastAsia"/>
        </w:rPr>
        <w:t>（九）上年结转和结余：指以前年度全部结转和结余的资金数，包括当年结转结余资金和历年滚存结转结余资金。</w:t>
      </w:r>
    </w:p>
    <w:p w14:paraId="3FA20115">
      <w:pPr>
        <w:ind w:firstLine="640" w:firstLineChars="200"/>
        <w:rPr>
          <w:rFonts w:ascii="Adobe 仿宋 Std R" w:hAnsi="Adobe 仿宋 Std R" w:eastAsia="Adobe 仿宋 Std R"/>
          <w:sz w:val="32"/>
          <w:szCs w:val="32"/>
        </w:rPr>
      </w:pPr>
    </w:p>
    <w:p w14:paraId="24F05D68">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1AADAA91">
      <w:pPr>
        <w:pStyle w:val="19"/>
        <w:ind w:firstLine="640"/>
      </w:pPr>
      <w:r>
        <w:rPr>
          <w:rFonts w:hint="eastAsia"/>
        </w:rPr>
        <w:t>对部门预算中涉及的支出功能分类科目（明细到项级），结合部门实际，参照《2026年政府收支分类科目》的规范说明进行解释。</w:t>
      </w:r>
    </w:p>
    <w:p w14:paraId="643CB47F">
      <w:pPr>
        <w:widowControl/>
        <w:spacing w:line="600" w:lineRule="exact"/>
        <w:ind w:firstLine="640" w:firstLineChars="200"/>
        <w:jc w:val="left"/>
        <w:rPr>
          <w:rFonts w:ascii="仿宋_GB2312" w:eastAsia="仿宋_GB2312"/>
          <w:color w:val="000000"/>
          <w:sz w:val="32"/>
          <w:szCs w:val="30"/>
        </w:rPr>
      </w:pPr>
    </w:p>
    <w:p w14:paraId="1E2DEF40">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62953984">
      <w:pPr>
        <w:pStyle w:val="1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3E276E8">
      <w:pPr>
        <w:pStyle w:val="1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50F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423F"/>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20902"/>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5280A"/>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5920E6"/>
    <w:rsid w:val="01671BDD"/>
    <w:rsid w:val="01861103"/>
    <w:rsid w:val="019127B6"/>
    <w:rsid w:val="01AC3A93"/>
    <w:rsid w:val="01EF572E"/>
    <w:rsid w:val="020411DA"/>
    <w:rsid w:val="02176B4D"/>
    <w:rsid w:val="0288005D"/>
    <w:rsid w:val="02C06A14"/>
    <w:rsid w:val="02EB05EB"/>
    <w:rsid w:val="02F05C02"/>
    <w:rsid w:val="0313418A"/>
    <w:rsid w:val="03183089"/>
    <w:rsid w:val="0319515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6F04FE0"/>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AF52028"/>
    <w:rsid w:val="0B2E6C33"/>
    <w:rsid w:val="0B471443"/>
    <w:rsid w:val="0B582596"/>
    <w:rsid w:val="0B722458"/>
    <w:rsid w:val="0B776EC0"/>
    <w:rsid w:val="0BD22464"/>
    <w:rsid w:val="0C0E39A7"/>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81030D"/>
    <w:rsid w:val="0FA364D6"/>
    <w:rsid w:val="0FC63F72"/>
    <w:rsid w:val="0FFC5BE6"/>
    <w:rsid w:val="10374E70"/>
    <w:rsid w:val="1042584C"/>
    <w:rsid w:val="10C76C75"/>
    <w:rsid w:val="10EC7A09"/>
    <w:rsid w:val="11244EC5"/>
    <w:rsid w:val="118C7F17"/>
    <w:rsid w:val="11A83289"/>
    <w:rsid w:val="11BA18B5"/>
    <w:rsid w:val="12AB25F0"/>
    <w:rsid w:val="12C66037"/>
    <w:rsid w:val="12D71EE1"/>
    <w:rsid w:val="12E4729A"/>
    <w:rsid w:val="13024677"/>
    <w:rsid w:val="132316DC"/>
    <w:rsid w:val="13257202"/>
    <w:rsid w:val="137A24B0"/>
    <w:rsid w:val="146A26EA"/>
    <w:rsid w:val="147845B4"/>
    <w:rsid w:val="14972381"/>
    <w:rsid w:val="14DB226E"/>
    <w:rsid w:val="15F1786F"/>
    <w:rsid w:val="161C45A6"/>
    <w:rsid w:val="163E20B5"/>
    <w:rsid w:val="167909DF"/>
    <w:rsid w:val="16790A4B"/>
    <w:rsid w:val="16A11295"/>
    <w:rsid w:val="16A62BCA"/>
    <w:rsid w:val="16B57185"/>
    <w:rsid w:val="16D72F09"/>
    <w:rsid w:val="16D73651"/>
    <w:rsid w:val="16DE4297"/>
    <w:rsid w:val="17201A96"/>
    <w:rsid w:val="172633E6"/>
    <w:rsid w:val="175943AB"/>
    <w:rsid w:val="177B5642"/>
    <w:rsid w:val="17CD031D"/>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345DC7"/>
    <w:rsid w:val="1A9E7E47"/>
    <w:rsid w:val="1AAC4E51"/>
    <w:rsid w:val="1B106CD9"/>
    <w:rsid w:val="1B1E744F"/>
    <w:rsid w:val="1B2D1349"/>
    <w:rsid w:val="1B477CB6"/>
    <w:rsid w:val="1B513369"/>
    <w:rsid w:val="1B5543FC"/>
    <w:rsid w:val="1B9273FE"/>
    <w:rsid w:val="1BCA7EDE"/>
    <w:rsid w:val="1BE340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6B2440"/>
    <w:rsid w:val="1F882FF2"/>
    <w:rsid w:val="1FF163B0"/>
    <w:rsid w:val="206D0602"/>
    <w:rsid w:val="20757BCC"/>
    <w:rsid w:val="20805549"/>
    <w:rsid w:val="208D0D40"/>
    <w:rsid w:val="212A1E87"/>
    <w:rsid w:val="218C669E"/>
    <w:rsid w:val="21C83B7A"/>
    <w:rsid w:val="21C916A0"/>
    <w:rsid w:val="221F7512"/>
    <w:rsid w:val="22421D13"/>
    <w:rsid w:val="22430342"/>
    <w:rsid w:val="22601146"/>
    <w:rsid w:val="226F2247"/>
    <w:rsid w:val="22A5210D"/>
    <w:rsid w:val="22BD518D"/>
    <w:rsid w:val="22F02751"/>
    <w:rsid w:val="230518A8"/>
    <w:rsid w:val="23F95523"/>
    <w:rsid w:val="2418246B"/>
    <w:rsid w:val="24407927"/>
    <w:rsid w:val="248511A6"/>
    <w:rsid w:val="2513335E"/>
    <w:rsid w:val="2584425C"/>
    <w:rsid w:val="25AA1D4C"/>
    <w:rsid w:val="25B931E9"/>
    <w:rsid w:val="25CE54D7"/>
    <w:rsid w:val="25DD396C"/>
    <w:rsid w:val="25F4209D"/>
    <w:rsid w:val="265579A6"/>
    <w:rsid w:val="267A7ED7"/>
    <w:rsid w:val="267B565F"/>
    <w:rsid w:val="26BE72FA"/>
    <w:rsid w:val="26CB02AF"/>
    <w:rsid w:val="26FE5E6C"/>
    <w:rsid w:val="27845137"/>
    <w:rsid w:val="27DA63B5"/>
    <w:rsid w:val="27E234BC"/>
    <w:rsid w:val="27EE6A79"/>
    <w:rsid w:val="28020B08"/>
    <w:rsid w:val="2828673B"/>
    <w:rsid w:val="28C3358C"/>
    <w:rsid w:val="28F31C90"/>
    <w:rsid w:val="291678C1"/>
    <w:rsid w:val="29415831"/>
    <w:rsid w:val="295B01BA"/>
    <w:rsid w:val="29637727"/>
    <w:rsid w:val="29804E7F"/>
    <w:rsid w:val="299A22A0"/>
    <w:rsid w:val="299B130F"/>
    <w:rsid w:val="29A22F02"/>
    <w:rsid w:val="29CA085E"/>
    <w:rsid w:val="29D357B2"/>
    <w:rsid w:val="29F545C8"/>
    <w:rsid w:val="2A3604ED"/>
    <w:rsid w:val="2A3B60E3"/>
    <w:rsid w:val="2A6B66A5"/>
    <w:rsid w:val="2A8962DA"/>
    <w:rsid w:val="2A9E289C"/>
    <w:rsid w:val="2AD4533E"/>
    <w:rsid w:val="2B165956"/>
    <w:rsid w:val="2B5E72FD"/>
    <w:rsid w:val="2B6A1B7F"/>
    <w:rsid w:val="2B7D1E25"/>
    <w:rsid w:val="2B82123D"/>
    <w:rsid w:val="2B91452F"/>
    <w:rsid w:val="2BA36C87"/>
    <w:rsid w:val="2BE124D6"/>
    <w:rsid w:val="2C245EB1"/>
    <w:rsid w:val="2C2D2A07"/>
    <w:rsid w:val="2C532DA0"/>
    <w:rsid w:val="2C57797E"/>
    <w:rsid w:val="2CA86A82"/>
    <w:rsid w:val="2CB371D5"/>
    <w:rsid w:val="2CBC42DB"/>
    <w:rsid w:val="2D0D5D1F"/>
    <w:rsid w:val="2D12214D"/>
    <w:rsid w:val="2D5E2035"/>
    <w:rsid w:val="2D864873"/>
    <w:rsid w:val="2D8731D8"/>
    <w:rsid w:val="2DA96B06"/>
    <w:rsid w:val="2E051E23"/>
    <w:rsid w:val="2ED008F1"/>
    <w:rsid w:val="2EE1627B"/>
    <w:rsid w:val="2EE919A3"/>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3170A5"/>
    <w:rsid w:val="339B7340"/>
    <w:rsid w:val="33B273BE"/>
    <w:rsid w:val="33D60378"/>
    <w:rsid w:val="33EB1F16"/>
    <w:rsid w:val="34024CC3"/>
    <w:rsid w:val="341744ED"/>
    <w:rsid w:val="346F257B"/>
    <w:rsid w:val="34967B08"/>
    <w:rsid w:val="349A316D"/>
    <w:rsid w:val="34B57D75"/>
    <w:rsid w:val="34B63D06"/>
    <w:rsid w:val="34F95019"/>
    <w:rsid w:val="350D601C"/>
    <w:rsid w:val="35123632"/>
    <w:rsid w:val="35132F06"/>
    <w:rsid w:val="35192EC2"/>
    <w:rsid w:val="35306BDB"/>
    <w:rsid w:val="354E3F3E"/>
    <w:rsid w:val="35973B37"/>
    <w:rsid w:val="359B22B4"/>
    <w:rsid w:val="35C66E2C"/>
    <w:rsid w:val="35E11256"/>
    <w:rsid w:val="35E83F05"/>
    <w:rsid w:val="35FF348B"/>
    <w:rsid w:val="36015455"/>
    <w:rsid w:val="363E00C4"/>
    <w:rsid w:val="369B31B3"/>
    <w:rsid w:val="36C95F72"/>
    <w:rsid w:val="371F5B92"/>
    <w:rsid w:val="375717D0"/>
    <w:rsid w:val="3757357E"/>
    <w:rsid w:val="37692CB0"/>
    <w:rsid w:val="37773C20"/>
    <w:rsid w:val="377E2B92"/>
    <w:rsid w:val="37D20E57"/>
    <w:rsid w:val="37F44BF3"/>
    <w:rsid w:val="38FD49CD"/>
    <w:rsid w:val="39363AEB"/>
    <w:rsid w:val="397330FD"/>
    <w:rsid w:val="39827A59"/>
    <w:rsid w:val="39851A6C"/>
    <w:rsid w:val="39932267"/>
    <w:rsid w:val="399D4784"/>
    <w:rsid w:val="399F2FBB"/>
    <w:rsid w:val="39B20F40"/>
    <w:rsid w:val="39ED7FCB"/>
    <w:rsid w:val="39F647B9"/>
    <w:rsid w:val="3A1349CE"/>
    <w:rsid w:val="3A811F62"/>
    <w:rsid w:val="3A841EE9"/>
    <w:rsid w:val="3A8D375B"/>
    <w:rsid w:val="3A9F1A72"/>
    <w:rsid w:val="3AC82A1D"/>
    <w:rsid w:val="3ACE216B"/>
    <w:rsid w:val="3AE72E6B"/>
    <w:rsid w:val="3B2714BA"/>
    <w:rsid w:val="3B33742C"/>
    <w:rsid w:val="3B542D7E"/>
    <w:rsid w:val="3B64626A"/>
    <w:rsid w:val="3B7346FF"/>
    <w:rsid w:val="3B7D1841"/>
    <w:rsid w:val="3BA50630"/>
    <w:rsid w:val="3BD333EF"/>
    <w:rsid w:val="3BE60A52"/>
    <w:rsid w:val="3BF740BD"/>
    <w:rsid w:val="3BF75330"/>
    <w:rsid w:val="3BF802DD"/>
    <w:rsid w:val="3C1001A0"/>
    <w:rsid w:val="3C3245BA"/>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11A47"/>
    <w:rsid w:val="3FC90D91"/>
    <w:rsid w:val="3FFF47B3"/>
    <w:rsid w:val="400E7546"/>
    <w:rsid w:val="40183119"/>
    <w:rsid w:val="4052477A"/>
    <w:rsid w:val="4052753A"/>
    <w:rsid w:val="40B30B18"/>
    <w:rsid w:val="413E130B"/>
    <w:rsid w:val="41B7665D"/>
    <w:rsid w:val="41E44833"/>
    <w:rsid w:val="42246753"/>
    <w:rsid w:val="422514B1"/>
    <w:rsid w:val="422E41F3"/>
    <w:rsid w:val="426E79CE"/>
    <w:rsid w:val="42866629"/>
    <w:rsid w:val="42DE4B54"/>
    <w:rsid w:val="43422F5A"/>
    <w:rsid w:val="439416B6"/>
    <w:rsid w:val="4394233B"/>
    <w:rsid w:val="43B35A16"/>
    <w:rsid w:val="441308E0"/>
    <w:rsid w:val="44F3065E"/>
    <w:rsid w:val="4537679D"/>
    <w:rsid w:val="45B7128B"/>
    <w:rsid w:val="45C970A0"/>
    <w:rsid w:val="45EA198E"/>
    <w:rsid w:val="460B5A23"/>
    <w:rsid w:val="461E51EB"/>
    <w:rsid w:val="467D28D5"/>
    <w:rsid w:val="46902609"/>
    <w:rsid w:val="46B35164"/>
    <w:rsid w:val="46C430DC"/>
    <w:rsid w:val="46D1677D"/>
    <w:rsid w:val="475F022D"/>
    <w:rsid w:val="47704B50"/>
    <w:rsid w:val="48967C7F"/>
    <w:rsid w:val="48BC3499"/>
    <w:rsid w:val="48C447EC"/>
    <w:rsid w:val="493F20C4"/>
    <w:rsid w:val="49A3337A"/>
    <w:rsid w:val="49BE0F52"/>
    <w:rsid w:val="4A0A0193"/>
    <w:rsid w:val="4A3820E2"/>
    <w:rsid w:val="4A3D4856"/>
    <w:rsid w:val="4A875AD1"/>
    <w:rsid w:val="4A9D48C2"/>
    <w:rsid w:val="4ABA2E1D"/>
    <w:rsid w:val="4ABB15CA"/>
    <w:rsid w:val="4B0E1D4E"/>
    <w:rsid w:val="4B38501D"/>
    <w:rsid w:val="4BCC5D64"/>
    <w:rsid w:val="4BD50ABE"/>
    <w:rsid w:val="4BE40D01"/>
    <w:rsid w:val="4C363892"/>
    <w:rsid w:val="4C4023DB"/>
    <w:rsid w:val="4C632900"/>
    <w:rsid w:val="4C787DC7"/>
    <w:rsid w:val="4CA30BBC"/>
    <w:rsid w:val="4CB041A4"/>
    <w:rsid w:val="4CFD02CC"/>
    <w:rsid w:val="4D106251"/>
    <w:rsid w:val="4D1D271C"/>
    <w:rsid w:val="4D23671C"/>
    <w:rsid w:val="4D3073ED"/>
    <w:rsid w:val="4D824567"/>
    <w:rsid w:val="4DA22C22"/>
    <w:rsid w:val="4DC25072"/>
    <w:rsid w:val="4DDA284D"/>
    <w:rsid w:val="4E600F7F"/>
    <w:rsid w:val="4E946A0E"/>
    <w:rsid w:val="4E984750"/>
    <w:rsid w:val="4ECB579F"/>
    <w:rsid w:val="4ED32A15"/>
    <w:rsid w:val="4EFE20DA"/>
    <w:rsid w:val="4F136BAF"/>
    <w:rsid w:val="4F5C39D0"/>
    <w:rsid w:val="4F5F701C"/>
    <w:rsid w:val="4F786330"/>
    <w:rsid w:val="4FA9337C"/>
    <w:rsid w:val="501F67AB"/>
    <w:rsid w:val="50852AB2"/>
    <w:rsid w:val="50B9275C"/>
    <w:rsid w:val="50D47596"/>
    <w:rsid w:val="50E42336"/>
    <w:rsid w:val="50F15594"/>
    <w:rsid w:val="51000915"/>
    <w:rsid w:val="51025EB1"/>
    <w:rsid w:val="51404C2B"/>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95528E"/>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3E4215"/>
    <w:rsid w:val="57DB56AE"/>
    <w:rsid w:val="57E75E01"/>
    <w:rsid w:val="582B597E"/>
    <w:rsid w:val="586B76C2"/>
    <w:rsid w:val="587F428B"/>
    <w:rsid w:val="588A18E5"/>
    <w:rsid w:val="589A10C5"/>
    <w:rsid w:val="58A255C2"/>
    <w:rsid w:val="58D2085F"/>
    <w:rsid w:val="59154BEF"/>
    <w:rsid w:val="591D1B7F"/>
    <w:rsid w:val="592C090B"/>
    <w:rsid w:val="594B1686"/>
    <w:rsid w:val="59B57AB7"/>
    <w:rsid w:val="5A113609"/>
    <w:rsid w:val="5A124512"/>
    <w:rsid w:val="5A24333C"/>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BD5382"/>
    <w:rsid w:val="5CC2633F"/>
    <w:rsid w:val="5CCB4C52"/>
    <w:rsid w:val="5CD235A2"/>
    <w:rsid w:val="5D1256CE"/>
    <w:rsid w:val="5D1C479E"/>
    <w:rsid w:val="5E126669"/>
    <w:rsid w:val="5E394EDC"/>
    <w:rsid w:val="5EB629D1"/>
    <w:rsid w:val="5ED43404"/>
    <w:rsid w:val="5F28567D"/>
    <w:rsid w:val="5F36141C"/>
    <w:rsid w:val="5F5A15AE"/>
    <w:rsid w:val="5F7563E8"/>
    <w:rsid w:val="6025390F"/>
    <w:rsid w:val="602A730A"/>
    <w:rsid w:val="604A0FC0"/>
    <w:rsid w:val="6062071A"/>
    <w:rsid w:val="609E54CA"/>
    <w:rsid w:val="60B60A66"/>
    <w:rsid w:val="60FF065F"/>
    <w:rsid w:val="614348BF"/>
    <w:rsid w:val="615564D1"/>
    <w:rsid w:val="61E909C7"/>
    <w:rsid w:val="628F77C1"/>
    <w:rsid w:val="629372B1"/>
    <w:rsid w:val="631906FD"/>
    <w:rsid w:val="638D7E1B"/>
    <w:rsid w:val="63E33020"/>
    <w:rsid w:val="63F313D6"/>
    <w:rsid w:val="63FA3360"/>
    <w:rsid w:val="641F4B74"/>
    <w:rsid w:val="64300B2F"/>
    <w:rsid w:val="644A7E43"/>
    <w:rsid w:val="644B29EB"/>
    <w:rsid w:val="64C21A65"/>
    <w:rsid w:val="64D2036D"/>
    <w:rsid w:val="6503311C"/>
    <w:rsid w:val="651641C9"/>
    <w:rsid w:val="656D7047"/>
    <w:rsid w:val="65943DCC"/>
    <w:rsid w:val="65C71020"/>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0755B1"/>
    <w:rsid w:val="6914022D"/>
    <w:rsid w:val="696C260A"/>
    <w:rsid w:val="699851AD"/>
    <w:rsid w:val="699B2EEF"/>
    <w:rsid w:val="699D6C67"/>
    <w:rsid w:val="69B84EDC"/>
    <w:rsid w:val="6A0339D1"/>
    <w:rsid w:val="6A2151A2"/>
    <w:rsid w:val="6ACC771E"/>
    <w:rsid w:val="6AE727FB"/>
    <w:rsid w:val="6B476A1E"/>
    <w:rsid w:val="6B4C44A1"/>
    <w:rsid w:val="6B621F16"/>
    <w:rsid w:val="6B755743"/>
    <w:rsid w:val="6BAA7419"/>
    <w:rsid w:val="6BE248E5"/>
    <w:rsid w:val="6C021003"/>
    <w:rsid w:val="6C1F1BB5"/>
    <w:rsid w:val="6C540873"/>
    <w:rsid w:val="6C6F1216"/>
    <w:rsid w:val="6C9A56E0"/>
    <w:rsid w:val="6CA82785"/>
    <w:rsid w:val="6CB20E55"/>
    <w:rsid w:val="6CE85848"/>
    <w:rsid w:val="6D15191A"/>
    <w:rsid w:val="6D3A6CB4"/>
    <w:rsid w:val="6D4D4500"/>
    <w:rsid w:val="6D6B4986"/>
    <w:rsid w:val="6D7F7A25"/>
    <w:rsid w:val="6DDC0054"/>
    <w:rsid w:val="6DEA61F3"/>
    <w:rsid w:val="6DFC5FDF"/>
    <w:rsid w:val="6E0D2F46"/>
    <w:rsid w:val="6E3D6323"/>
    <w:rsid w:val="6E5A1808"/>
    <w:rsid w:val="6E9E40AE"/>
    <w:rsid w:val="6EA97E5C"/>
    <w:rsid w:val="6ECC5FE7"/>
    <w:rsid w:val="6EDB6140"/>
    <w:rsid w:val="6F2D24C0"/>
    <w:rsid w:val="6F9E1043"/>
    <w:rsid w:val="6FB14B95"/>
    <w:rsid w:val="6FBB39A3"/>
    <w:rsid w:val="6FD42CB7"/>
    <w:rsid w:val="70077DE7"/>
    <w:rsid w:val="700F1F41"/>
    <w:rsid w:val="7029485D"/>
    <w:rsid w:val="70B56644"/>
    <w:rsid w:val="710366B1"/>
    <w:rsid w:val="71CF1988"/>
    <w:rsid w:val="71D13952"/>
    <w:rsid w:val="722021E3"/>
    <w:rsid w:val="723C4321"/>
    <w:rsid w:val="726617E6"/>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070825"/>
    <w:rsid w:val="7518696C"/>
    <w:rsid w:val="75457C9F"/>
    <w:rsid w:val="755747C3"/>
    <w:rsid w:val="758A0127"/>
    <w:rsid w:val="758B0767"/>
    <w:rsid w:val="75B275F6"/>
    <w:rsid w:val="761422CC"/>
    <w:rsid w:val="761C7166"/>
    <w:rsid w:val="76224CCF"/>
    <w:rsid w:val="762F6E99"/>
    <w:rsid w:val="76530DD9"/>
    <w:rsid w:val="76AF3B36"/>
    <w:rsid w:val="770B16B4"/>
    <w:rsid w:val="770E4B54"/>
    <w:rsid w:val="77132317"/>
    <w:rsid w:val="772E7150"/>
    <w:rsid w:val="779E42D6"/>
    <w:rsid w:val="77A15B74"/>
    <w:rsid w:val="77A86F03"/>
    <w:rsid w:val="77F0668A"/>
    <w:rsid w:val="785045C8"/>
    <w:rsid w:val="789456D9"/>
    <w:rsid w:val="79020895"/>
    <w:rsid w:val="79110AD8"/>
    <w:rsid w:val="791A1FD1"/>
    <w:rsid w:val="791A5BDE"/>
    <w:rsid w:val="79294073"/>
    <w:rsid w:val="79AE6381"/>
    <w:rsid w:val="7AA535EF"/>
    <w:rsid w:val="7B2B0079"/>
    <w:rsid w:val="7B3E5673"/>
    <w:rsid w:val="7B4C4049"/>
    <w:rsid w:val="7B4C6C5F"/>
    <w:rsid w:val="7B590514"/>
    <w:rsid w:val="7B5F2B22"/>
    <w:rsid w:val="7B833D31"/>
    <w:rsid w:val="7BAC2D3A"/>
    <w:rsid w:val="7BC71BE8"/>
    <w:rsid w:val="7BCE7F00"/>
    <w:rsid w:val="7BEE3352"/>
    <w:rsid w:val="7C0D1A2A"/>
    <w:rsid w:val="7C0E12FE"/>
    <w:rsid w:val="7C213931"/>
    <w:rsid w:val="7C213CD7"/>
    <w:rsid w:val="7C2F624D"/>
    <w:rsid w:val="7C6A15B3"/>
    <w:rsid w:val="7CFA01CB"/>
    <w:rsid w:val="7D2E5D91"/>
    <w:rsid w:val="7DA55C93"/>
    <w:rsid w:val="7DCD5C31"/>
    <w:rsid w:val="7E4D2CFE"/>
    <w:rsid w:val="7E741677"/>
    <w:rsid w:val="7E8D404B"/>
    <w:rsid w:val="7EF96296"/>
    <w:rsid w:val="7F1C069E"/>
    <w:rsid w:val="7F46479C"/>
    <w:rsid w:val="7F6364A4"/>
    <w:rsid w:val="7F87321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row_tree_level_3"/>
    <w:basedOn w:val="7"/>
    <w:qFormat/>
    <w:uiPriority w:val="0"/>
  </w:style>
  <w:style w:type="character" w:customStyle="1" w:styleId="13">
    <w:name w:val="row_tree_level_4"/>
    <w:basedOn w:val="7"/>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7"/>
    <w:qFormat/>
    <w:uiPriority w:val="0"/>
    <w:rPr>
      <w:rFonts w:hint="default" w:ascii="Times New Roman" w:hAnsi="Times New Roman" w:cs="Times New Roman"/>
      <w:sz w:val="20"/>
      <w:szCs w:val="20"/>
    </w:rPr>
  </w:style>
  <w:style w:type="character" w:customStyle="1" w:styleId="16">
    <w:name w:val="font01"/>
    <w:basedOn w:val="7"/>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1313</Words>
  <Characters>1350</Characters>
  <Lines>35</Lines>
  <Paragraphs>21</Paragraphs>
  <TotalTime>1</TotalTime>
  <ScaleCrop>false</ScaleCrop>
  <LinksUpToDate>false</LinksUpToDate>
  <CharactersWithSpaces>1380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2026-02-26T01:20:00Z</dcterms:created>
  <dc:creator>NTKO</dc:creator>
  <cp:lastModifiedBy>Administrator</cp:lastModifiedBy>
  <dcterms:modified xsi:type="dcterms:W3CDTF">2026-02-27T06:58:06Z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eyJoZGlkIjoiMDEzOTdlNmM3NzBiMTQyMmRlNjIxNzM2MzMxNTU1YzYifQ==</vt:lpwstr>
  </property>
</Properties>
</file>