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91968">
      <w:pPr>
        <w:spacing w:line="341" w:lineRule="auto"/>
      </w:pPr>
    </w:p>
    <w:p w14:paraId="0DC3E313">
      <w:pPr>
        <w:spacing w:line="341" w:lineRule="auto"/>
      </w:pPr>
    </w:p>
    <w:p w14:paraId="47B52452">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14:paraId="0557E3E1">
      <w:pPr>
        <w:spacing w:line="289" w:lineRule="auto"/>
        <w:jc w:val="center"/>
      </w:pPr>
    </w:p>
    <w:p w14:paraId="290A947C">
      <w:pPr>
        <w:spacing w:line="290" w:lineRule="auto"/>
        <w:jc w:val="center"/>
      </w:pPr>
    </w:p>
    <w:p w14:paraId="34CAFB67">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自然资源和规划</w:t>
      </w:r>
      <w:r>
        <w:rPr>
          <w:rFonts w:hint="eastAsia" w:ascii="方正大标宋简体" w:hAnsi="Times New Roman" w:eastAsia="方正大标宋简体" w:cs="Times New Roman"/>
          <w:snapToGrid/>
          <w:kern w:val="2"/>
          <w:sz w:val="44"/>
          <w:szCs w:val="44"/>
        </w:rPr>
        <w:t>局 202</w:t>
      </w:r>
      <w:r>
        <w:rPr>
          <w:rFonts w:hint="eastAsia" w:ascii="方正大标宋简体" w:hAnsi="Times New Roman" w:eastAsia="方正大标宋简体" w:cs="Times New Roman"/>
          <w:snapToGrid/>
          <w:kern w:val="2"/>
          <w:sz w:val="44"/>
          <w:szCs w:val="44"/>
          <w:lang w:val="en-US" w:eastAsia="zh-CN"/>
        </w:rPr>
        <w:t>4</w:t>
      </w:r>
      <w:r>
        <w:rPr>
          <w:rFonts w:hint="eastAsia" w:ascii="方正大标宋简体" w:hAnsi="Times New Roman" w:eastAsia="方正大标宋简体" w:cs="Times New Roman"/>
          <w:snapToGrid/>
          <w:kern w:val="2"/>
          <w:sz w:val="44"/>
          <w:szCs w:val="44"/>
        </w:rPr>
        <w:t>年</w:t>
      </w:r>
      <w:r>
        <w:rPr>
          <w:rFonts w:hint="eastAsia" w:ascii="方正大标宋简体" w:hAnsi="Times New Roman" w:eastAsia="方正大标宋简体" w:cs="Times New Roman"/>
          <w:snapToGrid/>
          <w:kern w:val="2"/>
          <w:sz w:val="44"/>
          <w:szCs w:val="44"/>
          <w:lang w:eastAsia="zh-CN"/>
        </w:rPr>
        <w:t>部门</w:t>
      </w:r>
      <w:r>
        <w:rPr>
          <w:rFonts w:hint="eastAsia" w:ascii="方正大标宋简体" w:hAnsi="Times New Roman" w:eastAsia="方正大标宋简体" w:cs="Times New Roman"/>
          <w:snapToGrid/>
          <w:kern w:val="2"/>
          <w:sz w:val="44"/>
          <w:szCs w:val="44"/>
        </w:rPr>
        <w:t>预算</w:t>
      </w:r>
    </w:p>
    <w:p w14:paraId="5295EC56">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p>
    <w:p w14:paraId="3F60EFE8">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14:paraId="719F910A">
      <w:pPr>
        <w:spacing w:line="334" w:lineRule="auto"/>
      </w:pPr>
    </w:p>
    <w:p w14:paraId="5A3C2667">
      <w:pPr>
        <w:spacing w:line="334" w:lineRule="auto"/>
        <w:rPr>
          <w:rFonts w:eastAsia="宋体"/>
        </w:rPr>
      </w:pPr>
    </w:p>
    <w:p w14:paraId="6B8C3DA2">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14:paraId="682CB35A">
      <w:pPr>
        <w:spacing w:line="347" w:lineRule="auto"/>
      </w:pPr>
    </w:p>
    <w:p w14:paraId="4D8216D3">
      <w:pPr>
        <w:spacing w:line="347" w:lineRule="auto"/>
      </w:pPr>
    </w:p>
    <w:p w14:paraId="5A8032A3">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3F17A53B">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14:paraId="2706D61C">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14:paraId="366B20E5">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w:t>
      </w:r>
      <w:r>
        <w:rPr>
          <w:rFonts w:hint="eastAsia" w:ascii="黑体" w:hAnsi="黑体" w:eastAsia="黑体" w:cs="黑体"/>
          <w:snapToGrid/>
          <w:kern w:val="2"/>
          <w:sz w:val="32"/>
          <w:szCs w:val="32"/>
          <w:lang w:eastAsia="zh-CN"/>
        </w:rPr>
        <w:t>部门</w:t>
      </w:r>
      <w:r>
        <w:rPr>
          <w:rFonts w:hint="eastAsia" w:ascii="黑体" w:hAnsi="黑体" w:eastAsia="黑体" w:cs="黑体"/>
          <w:snapToGrid/>
          <w:kern w:val="2"/>
          <w:sz w:val="32"/>
          <w:szCs w:val="32"/>
        </w:rPr>
        <w:t>预算表</w:t>
      </w:r>
    </w:p>
    <w:p w14:paraId="7DFFFAD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14:paraId="2908162A">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14:paraId="21C04E25">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14:paraId="6A96CD2C">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14:paraId="5504D67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14:paraId="4F029098">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14:paraId="60801FAE">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14:paraId="53571BAD">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14:paraId="796C6257">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14:paraId="08FA8C19">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14:paraId="09A3FFD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14:paraId="13C2D826">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5EE1CF9F">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年部门预算收支情况说明</w:t>
      </w:r>
    </w:p>
    <w:p w14:paraId="30BAD1E2">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w:t>
      </w:r>
      <w:r>
        <w:rPr>
          <w:rFonts w:hint="eastAsia" w:ascii="楷体" w:hAnsi="楷体" w:eastAsia="楷体" w:cs="楷体"/>
          <w:spacing w:val="1"/>
          <w:sz w:val="32"/>
          <w:szCs w:val="32"/>
          <w:lang w:val="en-US" w:eastAsia="zh-CN"/>
        </w:rPr>
        <w:t>4</w:t>
      </w:r>
      <w:r>
        <w:rPr>
          <w:rFonts w:hint="eastAsia" w:ascii="楷体" w:hAnsi="楷体" w:eastAsia="楷体" w:cs="楷体"/>
          <w:spacing w:val="1"/>
          <w:sz w:val="32"/>
          <w:szCs w:val="32"/>
        </w:rPr>
        <w:t>年"三公”经费预算情况说明</w:t>
      </w:r>
    </w:p>
    <w:p w14:paraId="7990DEBC">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283D78E9"/>
    <w:p w14:paraId="6A2659F4"/>
    <w:p w14:paraId="344FC907"/>
    <w:p w14:paraId="27A4234D"/>
    <w:p w14:paraId="0CF7C62A"/>
    <w:p w14:paraId="31871770">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局概况</w:t>
      </w:r>
    </w:p>
    <w:p w14:paraId="265C108D">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14:paraId="2095788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1、贯彻执行国家和省、市有关土地、矿产、测绘的方针、政策和法律、法规，拟订本县有关的行政规章并组织实施和监督。</w:t>
      </w:r>
    </w:p>
    <w:p w14:paraId="1446B86E">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2、编制和实施国土规划、土地和矿产资源保护与合理利用规划、地质勘查规划；参与城市总体规划的审核、指导和审核各镇(场)土地利用总体规划、矿产资源开发利用、地质勘查规划。</w:t>
      </w:r>
    </w:p>
    <w:p w14:paraId="3203EF29">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3、统筹、协调国土整治活动；依法保护土地、矿产资源所有者和使用者的合法权益，承办并调处权属纠纷，查处违法案件。</w:t>
      </w:r>
    </w:p>
    <w:p w14:paraId="43B36219">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4、实施农地用途管制，组织落实基本农田保护制度；拟订未利用土地开发、土地整理、土地复垦和开发耕地政策并进行监督实施，确保耕地面积占补动态平衡。</w:t>
      </w:r>
    </w:p>
    <w:p w14:paraId="72569BB5">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5、统一管理城乡地籍；组织土地资源调查、地籍调查、土地统计和动态监测；负责土地确权登记、发证、城乡地籍管理工作。</w:t>
      </w:r>
    </w:p>
    <w:p w14:paraId="0D07B21C">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6、负责对土地、租赁、作价出资、转让、交易进行管理和监督检查；负责政府土地收购工作；负责农村集体非农土地使用权的流转管理；负责组织土地定级、基准地价、标定地价的制定与公布；审核土地评估机构资格，确认土地使用权价格；承担报省、市人民政府审批的各类用地的审查、报批工作。</w:t>
      </w:r>
    </w:p>
    <w:p w14:paraId="1D913528">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7、负责采矿许可证审核登记发证和转让审批登记管理工作；组织矿产资源调查，负责矿产资源储量管理和地质资料汇交管理工作；依法实施地质勘查行业管理，核准地质勘查单位的资格；管理地质勘查成果；组织征收矿产资源补偿费。</w:t>
      </w:r>
    </w:p>
    <w:p w14:paraId="23D6D27E">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8、组织监测、防治地质灾害和保护地质遗迹，管理水文地质、工程地质、环境地质勘查和评价工作，监测、监督防止地下水的过量开采与污染，保护地质环境。</w:t>
      </w:r>
    </w:p>
    <w:p w14:paraId="6DE6F5CB">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9、制订测绘工作规划、计划和技术标准；组织并管理基础测绘、行政区域界线测绘、地籍测绘和其他有关测绘项目；依法实施测绘行业管理，负责测绘单位资格审核报批；负责测绘任务登记；管理测绘成果质量和地图编制工作；管理大地测量控制系统，管理、审核、发布基础地理信息数据；指导和监督测量标志的保护工作。</w:t>
      </w:r>
    </w:p>
    <w:p w14:paraId="5819BEA2">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10、负责土地资源、矿产资源、测绘事业的对外合作与交流。</w:t>
      </w:r>
    </w:p>
    <w:p w14:paraId="35C115C3">
      <w:pPr>
        <w:spacing w:line="360" w:lineRule="auto"/>
        <w:ind w:firstLine="640" w:firstLineChars="200"/>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11、管理派出机构和直属单位。</w:t>
      </w:r>
    </w:p>
    <w:p w14:paraId="4CE976AA">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12、承办县委、县政府和上级职能部门交办的其他事项</w:t>
      </w:r>
      <w:r>
        <w:rPr>
          <w:rFonts w:hint="eastAsia" w:ascii="仿宋_GB2312" w:hAnsi="仿宋_GB2312" w:eastAsia="仿宋_GB2312" w:cs="仿宋_GB2312"/>
          <w:sz w:val="32"/>
          <w:szCs w:val="32"/>
          <w:lang w:val="en-US" w:eastAsia="zh-CN"/>
        </w:rPr>
        <w:t>。</w:t>
      </w:r>
    </w:p>
    <w:p w14:paraId="49B2A556">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14:paraId="173A9474">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p>
    <w:p w14:paraId="2BBF637B">
      <w:pPr>
        <w:numPr>
          <w:ilvl w:val="0"/>
          <w:numId w:val="0"/>
        </w:num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根据《浮梁县自然资源和规划局职能配置、内设机构和人员编制规定》，组建浮梁县自然资源和规划局，为县政府组成部门，内设10个职能股室，下设事业单位为土地储备中心。</w:t>
      </w:r>
    </w:p>
    <w:p w14:paraId="33B37A2A">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本单位属于行政单位，财务隶属于浮梁县财政局，法定人代表：林群，地址为浮梁县朝阳中大道77号，2023年年末编制人数113人，其中：行政编制13人，事业编制100人；实有在职人员95人。</w:t>
      </w:r>
    </w:p>
    <w:p w14:paraId="71EC0C95">
      <w:pPr>
        <w:spacing w:before="3"/>
        <w:ind w:right="52"/>
        <w:rPr>
          <w:rFonts w:ascii="仿宋" w:hAnsi="仿宋" w:eastAsia="仿宋" w:cs="仿宋"/>
          <w:spacing w:val="-9"/>
          <w:sz w:val="32"/>
          <w:szCs w:val="32"/>
        </w:rPr>
      </w:pPr>
    </w:p>
    <w:p w14:paraId="373FCE44"/>
    <w:p w14:paraId="6F49A597">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 xml:space="preserve">第二部分 </w:t>
      </w:r>
      <w:r>
        <w:rPr>
          <w:rFonts w:hint="eastAsia" w:ascii="黑体" w:hAnsi="黑体" w:eastAsia="黑体" w:cs="黑体"/>
          <w:snapToGrid/>
          <w:kern w:val="2"/>
          <w:sz w:val="32"/>
          <w:szCs w:val="32"/>
          <w:lang w:eastAsia="zh-CN"/>
        </w:rPr>
        <w:t>浮梁县自然资源和规划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年部门预算表</w:t>
      </w:r>
    </w:p>
    <w:p w14:paraId="73C1D962">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14:paraId="3ED0DD36">
      <w:pPr>
        <w:spacing w:before="215"/>
        <w:ind w:firstLine="3550"/>
        <w:rPr>
          <w:rFonts w:ascii="仿宋" w:hAnsi="仿宋" w:eastAsia="仿宋" w:cs="仿宋"/>
          <w:spacing w:val="17"/>
          <w:sz w:val="32"/>
          <w:szCs w:val="32"/>
        </w:rPr>
      </w:pPr>
    </w:p>
    <w:p w14:paraId="26D101E6"/>
    <w:p w14:paraId="54F77706">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自然资源和规划</w:t>
      </w:r>
      <w:r>
        <w:rPr>
          <w:rFonts w:hint="eastAsia" w:ascii="黑体" w:hAnsi="黑体" w:eastAsia="黑体" w:cs="黑体"/>
          <w:snapToGrid/>
          <w:kern w:val="2"/>
          <w:sz w:val="32"/>
          <w:szCs w:val="32"/>
        </w:rPr>
        <w:t>局202</w:t>
      </w:r>
      <w:r>
        <w:rPr>
          <w:rFonts w:hint="eastAsia" w:ascii="黑体" w:hAnsi="黑体" w:eastAsia="黑体" w:cs="黑体"/>
          <w:snapToGrid/>
          <w:kern w:val="2"/>
          <w:sz w:val="32"/>
          <w:szCs w:val="32"/>
          <w:lang w:val="en-US" w:eastAsia="zh-CN"/>
        </w:rPr>
        <w:t>4</w:t>
      </w:r>
      <w:r>
        <w:rPr>
          <w:rFonts w:hint="eastAsia" w:ascii="黑体" w:hAnsi="黑体" w:eastAsia="黑体" w:cs="黑体"/>
          <w:snapToGrid/>
          <w:kern w:val="2"/>
          <w:sz w:val="32"/>
          <w:szCs w:val="32"/>
        </w:rPr>
        <w:t>年部门预算情况说明</w:t>
      </w:r>
    </w:p>
    <w:p w14:paraId="327FC1BA">
      <w:pPr>
        <w:spacing w:before="214"/>
        <w:rPr>
          <w:rFonts w:ascii="楷体" w:hAnsi="楷体" w:eastAsia="楷体" w:cs="楷体"/>
          <w:spacing w:val="13"/>
          <w:sz w:val="32"/>
          <w:szCs w:val="32"/>
        </w:rPr>
      </w:pPr>
      <w:r>
        <w:rPr>
          <w:rFonts w:hint="eastAsia" w:ascii="楷体" w:hAnsi="楷体" w:eastAsia="楷体" w:cs="楷体"/>
          <w:spacing w:val="13"/>
          <w:sz w:val="32"/>
          <w:szCs w:val="32"/>
        </w:rPr>
        <w:t>一、202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年部门预算收支情况说明</w:t>
      </w:r>
    </w:p>
    <w:p w14:paraId="7532EB4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14:paraId="238FB35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2024年收入预算总额5565.91万元，其中一般公共预算收入2166.43万元。预算总额比去年增加1050.31万元，主要由于项目资金增加。</w:t>
      </w:r>
    </w:p>
    <w:p w14:paraId="6A5D813D">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14:paraId="4C0F628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rPr>
        <w:t xml:space="preserve"> </w:t>
      </w:r>
      <w:r>
        <w:rPr>
          <w:rFonts w:hint="eastAsia" w:ascii="仿宋_GB2312" w:hAnsi="Times New Roman" w:eastAsia="仿宋_GB2312" w:cs="Times New Roman"/>
          <w:snapToGrid/>
          <w:kern w:val="2"/>
          <w:sz w:val="32"/>
          <w:szCs w:val="32"/>
          <w:lang w:val="en-US" w:eastAsia="zh-CN" w:bidi="ar-SA"/>
        </w:rPr>
        <w:t xml:space="preserve">2024年支出预算总额为5565.91万元，比去年支出增加1050.31万元，主要由于项目资金增加。            </w:t>
      </w:r>
    </w:p>
    <w:p w14:paraId="1F91352E">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 xml:space="preserve">   按支出项目类别划分：基本支出1850.35万元，项目支出3715.56万元。</w:t>
      </w:r>
    </w:p>
    <w:p w14:paraId="41431017">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按支出功能科目分类：社会保障和就业支出200.01万元；卫生健康支出38.88万；城乡社区支出2932.48万元；自然资源海洋气象等支出2194.53万元；住房公积金支出100.01万元；地质灾害防治支出100万元。</w:t>
      </w:r>
    </w:p>
    <w:p w14:paraId="6C952BE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14:paraId="529E9865">
      <w:pPr>
        <w:spacing w:line="360" w:lineRule="auto"/>
        <w:ind w:firstLine="640" w:firstLineChars="200"/>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bidi="ar-SA"/>
        </w:rPr>
        <w:t>2024年一般公共财政拨款支出预算为纸质表财政拨款支出预算表合计数2166.43万元，较上年减少100.9万元。按支出项目类别划分：基本支出纸质表财政拨款支出预算表基本支出合计数1483.35万元，较上年减少589.46万元。其中：工资福利支出纸质表财政拨款支出预算表工资福利支出数1279.95万元，商品和服务支出纸质表财政拨款支出预算表商品和服务支出数188.73万元，对个人和家庭的补助纸质表财政拨款支出预算表对个人和家庭的补助数4.68万元，资本性支出10万元。项目支出纸质表财政拨款支出预算表项目支出小计683.08万元。</w:t>
      </w:r>
    </w:p>
    <w:p w14:paraId="2A6B077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14:paraId="37E5E5DA">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2024年政府性基金预算支出2932.48万元。</w:t>
      </w:r>
    </w:p>
    <w:p w14:paraId="588076A1">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14:paraId="364C6B7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没有使用国有资本经营预算拨款安排的支出。</w:t>
      </w:r>
    </w:p>
    <w:p w14:paraId="78A5D83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14:paraId="243E190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年部门机关运行费预算</w:t>
      </w:r>
      <w:r>
        <w:rPr>
          <w:rFonts w:hint="eastAsia" w:ascii="仿宋_GB2312" w:hAnsi="Times New Roman" w:eastAsia="仿宋_GB2312" w:cs="Times New Roman"/>
          <w:snapToGrid/>
          <w:kern w:val="2"/>
          <w:sz w:val="32"/>
          <w:szCs w:val="32"/>
          <w:lang w:val="en-US" w:eastAsia="zh-CN"/>
        </w:rPr>
        <w:t>198.73</w:t>
      </w:r>
      <w:r>
        <w:rPr>
          <w:rFonts w:hint="eastAsia" w:ascii="仿宋_GB2312" w:hAnsi="Times New Roman" w:eastAsia="仿宋_GB2312" w:cs="Times New Roman"/>
          <w:snapToGrid/>
          <w:kern w:val="2"/>
          <w:sz w:val="32"/>
          <w:szCs w:val="32"/>
        </w:rPr>
        <w:t>万元，比2022年预算减少</w:t>
      </w:r>
      <w:r>
        <w:rPr>
          <w:rFonts w:hint="eastAsia" w:ascii="仿宋_GB2312" w:hAnsi="Times New Roman" w:eastAsia="仿宋_GB2312" w:cs="Times New Roman"/>
          <w:snapToGrid/>
          <w:kern w:val="2"/>
          <w:sz w:val="32"/>
          <w:szCs w:val="32"/>
          <w:lang w:val="en-US" w:eastAsia="zh-CN"/>
        </w:rPr>
        <w:t>294.7</w:t>
      </w:r>
      <w:r>
        <w:rPr>
          <w:rFonts w:hint="eastAsia" w:ascii="仿宋_GB2312" w:hAnsi="Times New Roman" w:eastAsia="仿宋_GB2312" w:cs="Times New Roman"/>
          <w:snapToGrid/>
          <w:kern w:val="2"/>
          <w:sz w:val="32"/>
          <w:szCs w:val="32"/>
        </w:rPr>
        <w:t>万元，下降</w:t>
      </w:r>
      <w:r>
        <w:rPr>
          <w:rFonts w:hint="eastAsia" w:ascii="仿宋_GB2312" w:hAnsi="Times New Roman" w:eastAsia="仿宋_GB2312" w:cs="Times New Roman"/>
          <w:snapToGrid/>
          <w:kern w:val="2"/>
          <w:sz w:val="32"/>
          <w:szCs w:val="32"/>
          <w:lang w:val="en-US" w:eastAsia="zh-CN"/>
        </w:rPr>
        <w:t>59.72</w:t>
      </w:r>
      <w:r>
        <w:rPr>
          <w:rFonts w:hint="eastAsia" w:ascii="仿宋_GB2312" w:hAnsi="Times New Roman" w:eastAsia="仿宋_GB2312" w:cs="Times New Roman"/>
          <w:snapToGrid/>
          <w:kern w:val="2"/>
          <w:sz w:val="32"/>
          <w:szCs w:val="32"/>
        </w:rPr>
        <w:t>%。</w:t>
      </w:r>
    </w:p>
    <w:p w14:paraId="22EE9FA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228E2E3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14:paraId="221071A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年部门所属各单位政府采购总额</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10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073C949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14:paraId="2D75AA4A">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截至20</w:t>
      </w:r>
      <w:r>
        <w:rPr>
          <w:rFonts w:hint="eastAsia" w:ascii="仿宋_GB2312" w:hAnsi="Times New Roman" w:eastAsia="仿宋_GB2312" w:cs="Times New Roman"/>
          <w:snapToGrid/>
          <w:kern w:val="2"/>
          <w:sz w:val="32"/>
          <w:szCs w:val="32"/>
          <w:lang w:val="en-US" w:eastAsia="zh-CN"/>
        </w:rPr>
        <w:t>23</w:t>
      </w:r>
      <w:r>
        <w:rPr>
          <w:rFonts w:hint="eastAsia" w:ascii="仿宋_GB2312" w:hAnsi="Times New Roman" w:eastAsia="仿宋_GB2312" w:cs="Times New Roman"/>
          <w:snapToGrid/>
          <w:kern w:val="2"/>
          <w:sz w:val="32"/>
          <w:szCs w:val="32"/>
        </w:rPr>
        <w:t>年12月31日，部门共有车辆</w:t>
      </w:r>
      <w:r>
        <w:rPr>
          <w:rFonts w:hint="eastAsia" w:ascii="仿宋_GB2312" w:hAnsi="Times New Roman" w:eastAsia="仿宋_GB2312" w:cs="Times New Roman"/>
          <w:snapToGrid/>
          <w:kern w:val="2"/>
          <w:sz w:val="32"/>
          <w:szCs w:val="32"/>
          <w:lang w:val="en-US" w:eastAsia="zh-CN"/>
        </w:rPr>
        <w:t>14</w:t>
      </w:r>
      <w:r>
        <w:rPr>
          <w:rFonts w:hint="eastAsia" w:ascii="仿宋_GB2312" w:hAnsi="Times New Roman" w:eastAsia="仿宋_GB2312" w:cs="Times New Roman"/>
          <w:snapToGrid/>
          <w:kern w:val="2"/>
          <w:sz w:val="32"/>
          <w:szCs w:val="32"/>
        </w:rPr>
        <w:t xml:space="preserve">辆，其中，一般公务用车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辆，执法执勤用车</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辆</w:t>
      </w:r>
      <w:r>
        <w:rPr>
          <w:rFonts w:hint="eastAsia" w:ascii="仿宋_GB2312" w:hAnsi="Times New Roman" w:eastAsia="仿宋_GB2312" w:cs="Times New Roman"/>
          <w:snapToGrid/>
          <w:kern w:val="2"/>
          <w:sz w:val="32"/>
          <w:szCs w:val="32"/>
          <w:lang w:eastAsia="zh-CN"/>
        </w:rPr>
        <w:t>，其他用车</w:t>
      </w:r>
      <w:r>
        <w:rPr>
          <w:rFonts w:hint="eastAsia" w:ascii="仿宋_GB2312" w:hAnsi="Times New Roman" w:eastAsia="仿宋_GB2312" w:cs="Times New Roman"/>
          <w:snapToGrid/>
          <w:kern w:val="2"/>
          <w:sz w:val="32"/>
          <w:szCs w:val="32"/>
          <w:lang w:val="en-US" w:eastAsia="zh-CN"/>
        </w:rPr>
        <w:t>14辆</w:t>
      </w:r>
      <w:r>
        <w:rPr>
          <w:rFonts w:hint="eastAsia" w:ascii="仿宋_GB2312" w:hAnsi="Times New Roman" w:eastAsia="仿宋_GB2312" w:cs="Times New Roman"/>
          <w:snapToGrid/>
          <w:kern w:val="2"/>
          <w:sz w:val="32"/>
          <w:szCs w:val="32"/>
        </w:rPr>
        <w:t>。</w:t>
      </w:r>
    </w:p>
    <w:p w14:paraId="233C7AC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 xml:space="preserve">年部门预算安排购置车辆 </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 xml:space="preserve"> 辆，</w:t>
      </w:r>
      <w:r>
        <w:rPr>
          <w:rFonts w:hint="eastAsia" w:ascii="仿宋_GB2312" w:hAnsi="Times New Roman" w:eastAsia="仿宋_GB2312" w:cs="Times New Roman"/>
          <w:snapToGrid/>
          <w:kern w:val="2"/>
          <w:sz w:val="32"/>
          <w:szCs w:val="32"/>
          <w:lang w:eastAsia="zh-CN"/>
        </w:rPr>
        <w:t>没有</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w:t>
      </w:r>
    </w:p>
    <w:p w14:paraId="3055963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人员经费等</w:t>
      </w:r>
      <w:r>
        <w:rPr>
          <w:rFonts w:hint="eastAsia" w:ascii="仿宋_GB2312" w:hAnsi="Times New Roman" w:eastAsia="仿宋_GB2312" w:cs="Times New Roman"/>
          <w:snapToGrid/>
          <w:kern w:val="2"/>
          <w:sz w:val="32"/>
          <w:szCs w:val="32"/>
        </w:rPr>
        <w:t>项目情况说明</w:t>
      </w:r>
    </w:p>
    <w:p w14:paraId="5A4D50D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1、</w:t>
      </w:r>
      <w:r>
        <w:rPr>
          <w:rFonts w:hint="eastAsia" w:ascii="仿宋_GB2312" w:hAnsi="Times New Roman" w:eastAsia="仿宋_GB2312" w:cs="Times New Roman"/>
          <w:snapToGrid/>
          <w:kern w:val="2"/>
          <w:sz w:val="32"/>
          <w:szCs w:val="32"/>
          <w:lang w:eastAsia="zh-CN"/>
        </w:rPr>
        <w:t>人员经费</w:t>
      </w:r>
      <w:r>
        <w:rPr>
          <w:rFonts w:hint="eastAsia" w:ascii="仿宋_GB2312" w:hAnsi="Times New Roman" w:eastAsia="仿宋_GB2312" w:cs="Times New Roman"/>
          <w:snapToGrid/>
          <w:kern w:val="2"/>
          <w:sz w:val="32"/>
          <w:szCs w:val="32"/>
        </w:rPr>
        <w:t>项目</w:t>
      </w:r>
    </w:p>
    <w:p w14:paraId="41BB9C7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保障在编在岗95人2024年度工资福利支出。</w:t>
      </w:r>
    </w:p>
    <w:p w14:paraId="23082AC8">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567BCCC1">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保障在编在岗95人2024年度工资福利支出。</w:t>
      </w:r>
    </w:p>
    <w:p w14:paraId="3C33A0B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059C8EB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792417B4">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按时发放工资福利</w:t>
      </w:r>
    </w:p>
    <w:p w14:paraId="294408F0">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41D91809">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财政拨款1284.63万元</w:t>
      </w:r>
    </w:p>
    <w:p w14:paraId="6D4A805D">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保障在编在岗95人2024年度工资福利按时按规定支出。</w:t>
      </w:r>
    </w:p>
    <w:p w14:paraId="4567D81E">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b w:val="0"/>
          <w:bCs w:val="0"/>
          <w:snapToGrid/>
          <w:color w:val="000000"/>
          <w:kern w:val="2"/>
          <w:sz w:val="32"/>
          <w:szCs w:val="32"/>
          <w:lang w:val="en-US" w:eastAsia="zh-CN" w:bidi="ar-SA"/>
        </w:rPr>
      </w:pPr>
      <w:r>
        <w:rPr>
          <w:rFonts w:hint="eastAsia" w:ascii="仿宋_GB2312" w:hAnsi="Times New Roman" w:eastAsia="仿宋_GB2312" w:cs="Times New Roman"/>
          <w:b w:val="0"/>
          <w:bCs w:val="0"/>
          <w:snapToGrid/>
          <w:color w:val="000000"/>
          <w:kern w:val="2"/>
          <w:sz w:val="32"/>
          <w:szCs w:val="32"/>
          <w:lang w:val="en-US" w:eastAsia="zh-CN" w:bidi="ar-SA"/>
        </w:rPr>
        <w:t>2、解决353名地质灾害隐患点群防员2023年工作补贴资金项目</w:t>
      </w:r>
    </w:p>
    <w:p w14:paraId="3CD4A112">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w:t>
      </w:r>
    </w:p>
    <w:p w14:paraId="46088F6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59676FE4">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w:t>
      </w:r>
    </w:p>
    <w:p w14:paraId="269871B7">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1AF7C21C">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22E8079F">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按规定发放灾害点群防员工作补贴</w:t>
      </w:r>
    </w:p>
    <w:p w14:paraId="3F716352">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2023年度</w:t>
      </w:r>
    </w:p>
    <w:p w14:paraId="4F645260">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财政拨款42.36万元</w:t>
      </w:r>
    </w:p>
    <w:p w14:paraId="0015524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b w:val="0"/>
          <w:bCs w:val="0"/>
          <w:snapToGrid/>
          <w:color w:val="000000"/>
          <w:kern w:val="2"/>
          <w:sz w:val="32"/>
          <w:szCs w:val="32"/>
          <w:lang w:val="en-US" w:eastAsia="zh-CN" w:bidi="ar-SA"/>
        </w:rPr>
        <w:t>解决353名地质灾害隐患点群防员2023年工作补贴资金</w:t>
      </w:r>
      <w:r>
        <w:rPr>
          <w:rFonts w:hint="eastAsia" w:ascii="仿宋_GB2312" w:hAnsi="Times New Roman" w:eastAsia="仿宋_GB2312" w:cs="Times New Roman"/>
          <w:snapToGrid/>
          <w:kern w:val="2"/>
          <w:sz w:val="32"/>
          <w:szCs w:val="32"/>
          <w:lang w:val="en-US" w:eastAsia="zh-CN" w:bidi="ar-SA"/>
        </w:rPr>
        <w:t>。对重要隐患点的年度监测都进行了整理分析，全县地质灾害群测群防年初有安排，年中有小结，年终有总结。在制定全县地质灾害应急预案的基础上，各乡镇和有关部门根据各自实际，制定和完善了片区和局部应急预案，签订地质灾害防治责任书，逐点落实防灾责任人、监测人，建立纵向一体、横向联动的工作机制，增强了全县上下重防范、抓防范的意识和水平。</w:t>
      </w:r>
    </w:p>
    <w:p w14:paraId="4DE2B19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w:t>
      </w:r>
      <w:r>
        <w:rPr>
          <w:rFonts w:hint="eastAsia" w:ascii="仿宋_GB2312" w:hAnsi="Times New Roman" w:eastAsia="仿宋_GB2312" w:cs="Times New Roman"/>
          <w:snapToGrid/>
          <w:kern w:val="2"/>
          <w:sz w:val="32"/>
          <w:szCs w:val="32"/>
          <w:lang w:eastAsia="zh-CN"/>
        </w:rPr>
        <w:t>浮梁县不动产“一码+”项目</w:t>
      </w:r>
    </w:p>
    <w:p w14:paraId="355F5C99">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：浮梁县不动产“一码+”项目统一赋码标识、统筹业务信息一码汇集，实现每个自然资源数据都有唯一的“身份证号码”；构建数字关联、全程留痕、便捷易用的“一码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w:t>
      </w:r>
    </w:p>
    <w:p w14:paraId="0CA2D8C6">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7EA712A0">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建设“一码 ”数据资源体系以建设用地的“供-用-补-查-修-登”等生命周期管理主流程，汇聚自然资源所涉及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w:t>
      </w:r>
    </w:p>
    <w:p w14:paraId="7AFE2665">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p>
    <w:p w14:paraId="09F7E10E">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：浮梁县自然资源和规划局</w:t>
      </w:r>
    </w:p>
    <w:p w14:paraId="1DA6905B">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：按合同规定逐步实施。</w:t>
      </w:r>
    </w:p>
    <w:p w14:paraId="6DB59B4F">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2024年度</w:t>
      </w:r>
    </w:p>
    <w:p w14:paraId="2D7F77A1">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财政拨款65万元</w:t>
      </w:r>
    </w:p>
    <w:p w14:paraId="573B7C16">
      <w:pPr>
        <w:widowControl w:val="0"/>
        <w:kinsoku/>
        <w:autoSpaceDE/>
        <w:autoSpaceDN/>
        <w:adjustRightInd/>
        <w:snapToGrid/>
        <w:ind w:firstLine="640" w:firstLineChars="200"/>
        <w:jc w:val="both"/>
        <w:textAlignment w:val="auto"/>
        <w:rPr>
          <w:rFonts w:hint="default"/>
          <w:lang w:val="en-US"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bidi="ar-SA"/>
        </w:rPr>
        <w:t>充分利用新理念、新技术、新方法，围绕浮梁县持续改善城市营商环境的要求，汇集自然资源业务审批数据，以土地为核心，串联起土地供应、利用、登记、执法生命周期，统一赋码标识、统筹业务信息一码汇集，实现每个自然资源数据都有唯一的“身份证号码”；构建数字关联、全程留痕、便捷易用的“一码 ”服务系统，提供权威准确、时效性强的建设用地数据全息可查、码上共享服务，对内支撑土地供应、用地许可、工程建设、登记等业务“零材料”见码审批，推进营商环境稳步优化、便捷服务。1、建设“一码 ”数据资源体系以建设用地的“供-用-补-查-修-登”等生命周期管理主流程，汇聚自然资源所涉及的现状、规划、管理以及社会经济等数据，围绕浮梁县自然资源和规划局近2年的土地征收、土地储备、规划条件、土地供地、规划许可和不动产登记等属性信息、空间图形关联整理入库、附件挂接、统一赋码、实现周期业务关联，形成土地生命周期数据库，建成有机融合、互相贯通、前后相连的“一码 ”生命周期数据资源体系，为数据共享、业务协同、闭环管理提供基础支撑。2、建设“一码 ”管理系统以国土空间基础信息平台和自然资源一张图为基础，建立“一码 ”管理系统，对内面向浮梁县自然资源部门，实现土地供应、用地许可、登记等环节业务关联与协调管控等土地生命周期的管理模式，包括赋码服务、一码全息、台账管理等功能。</w:t>
      </w:r>
    </w:p>
    <w:p w14:paraId="1BA5136E">
      <w:pPr>
        <w:spacing w:before="214"/>
        <w:rPr>
          <w:rFonts w:ascii="楷体" w:hAnsi="楷体" w:eastAsia="楷体" w:cs="楷体"/>
          <w:spacing w:val="13"/>
          <w:sz w:val="32"/>
          <w:szCs w:val="32"/>
        </w:rPr>
      </w:pPr>
      <w:r>
        <w:rPr>
          <w:rFonts w:hint="eastAsia" w:ascii="楷体" w:hAnsi="楷体" w:eastAsia="楷体" w:cs="楷体"/>
          <w:spacing w:val="13"/>
          <w:sz w:val="32"/>
          <w:szCs w:val="32"/>
        </w:rPr>
        <w:t>二、202</w:t>
      </w:r>
      <w:r>
        <w:rPr>
          <w:rFonts w:hint="eastAsia" w:ascii="楷体" w:hAnsi="楷体" w:eastAsia="楷体" w:cs="楷体"/>
          <w:spacing w:val="13"/>
          <w:sz w:val="32"/>
          <w:szCs w:val="32"/>
          <w:lang w:val="en-US" w:eastAsia="zh-CN"/>
        </w:rPr>
        <w:t>4</w:t>
      </w:r>
      <w:r>
        <w:rPr>
          <w:rFonts w:hint="eastAsia" w:ascii="楷体" w:hAnsi="楷体" w:eastAsia="楷体" w:cs="楷体"/>
          <w:spacing w:val="13"/>
          <w:sz w:val="32"/>
          <w:szCs w:val="32"/>
        </w:rPr>
        <w:t>年"三公”经费预算情况说明</w:t>
      </w:r>
    </w:p>
    <w:p w14:paraId="1BE1974E">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w:t>
      </w:r>
      <w:r>
        <w:rPr>
          <w:rFonts w:hint="eastAsia" w:ascii="仿宋_GB2312" w:hAnsi="Times New Roman" w:eastAsia="仿宋_GB2312" w:cs="Times New Roman"/>
          <w:snapToGrid/>
          <w:kern w:val="2"/>
          <w:sz w:val="32"/>
          <w:szCs w:val="32"/>
          <w:lang w:eastAsia="zh-CN"/>
        </w:rPr>
        <w:t>浮梁县自然资源和规划</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66.84</w:t>
      </w:r>
      <w:r>
        <w:rPr>
          <w:rFonts w:hint="eastAsia" w:ascii="仿宋_GB2312" w:hAnsi="Times New Roman" w:eastAsia="仿宋_GB2312" w:cs="Times New Roman"/>
          <w:snapToGrid/>
          <w:kern w:val="2"/>
          <w:sz w:val="32"/>
          <w:szCs w:val="32"/>
        </w:rPr>
        <w:t>万元。其中:</w:t>
      </w:r>
    </w:p>
    <w:p w14:paraId="2ED56B3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5ADA6B8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25.4</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7.8</w:t>
      </w:r>
      <w:r>
        <w:rPr>
          <w:rFonts w:hint="eastAsia" w:ascii="仿宋_GB2312" w:hAnsi="Times New Roman" w:eastAsia="仿宋_GB2312" w:cs="Times New Roman"/>
          <w:snapToGrid/>
          <w:kern w:val="2"/>
          <w:sz w:val="32"/>
          <w:szCs w:val="32"/>
        </w:rPr>
        <w:t>万元，主要原因</w:t>
      </w:r>
    </w:p>
    <w:p w14:paraId="12D9399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减少公务接待费</w:t>
      </w:r>
      <w:r>
        <w:rPr>
          <w:rFonts w:hint="eastAsia" w:ascii="仿宋_GB2312" w:hAnsi="Times New Roman" w:eastAsia="仿宋_GB2312" w:cs="Times New Roman"/>
          <w:snapToGrid/>
          <w:kern w:val="2"/>
          <w:sz w:val="32"/>
          <w:szCs w:val="32"/>
        </w:rPr>
        <w:t>。</w:t>
      </w:r>
    </w:p>
    <w:p w14:paraId="6876D95C">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41.44</w:t>
      </w:r>
      <w:r>
        <w:rPr>
          <w:rFonts w:hint="eastAsia" w:ascii="仿宋_GB2312" w:hAnsi="Times New Roman" w:eastAsia="仿宋_GB2312" w:cs="Times New Roman"/>
          <w:snapToGrid/>
          <w:kern w:val="2"/>
          <w:sz w:val="32"/>
          <w:szCs w:val="32"/>
        </w:rPr>
        <w:t>万元，比上年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18.13</w:t>
      </w:r>
      <w:r>
        <w:rPr>
          <w:rFonts w:hint="eastAsia" w:ascii="仿宋_GB2312" w:hAnsi="Times New Roman" w:eastAsia="仿宋_GB2312" w:cs="Times New Roman"/>
          <w:snapToGrid/>
          <w:kern w:val="2"/>
          <w:sz w:val="32"/>
          <w:szCs w:val="32"/>
        </w:rPr>
        <w:t>万元，</w:t>
      </w:r>
    </w:p>
    <w:p w14:paraId="524F0B5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主要原因是:</w:t>
      </w:r>
      <w:r>
        <w:rPr>
          <w:rFonts w:hint="eastAsia" w:ascii="仿宋_GB2312" w:hAnsi="Times New Roman" w:eastAsia="仿宋_GB2312" w:cs="Times New Roman"/>
          <w:snapToGrid/>
          <w:kern w:val="2"/>
          <w:sz w:val="32"/>
          <w:szCs w:val="32"/>
          <w:lang w:eastAsia="zh-CN"/>
        </w:rPr>
        <w:t>增加公务用车车辆（增加国土所</w:t>
      </w:r>
      <w:r>
        <w:rPr>
          <w:rFonts w:hint="eastAsia" w:ascii="仿宋_GB2312" w:hAnsi="Times New Roman" w:eastAsia="仿宋_GB2312" w:cs="Times New Roman"/>
          <w:snapToGrid/>
          <w:kern w:val="2"/>
          <w:sz w:val="32"/>
          <w:szCs w:val="32"/>
          <w:lang w:val="en-US" w:eastAsia="zh-CN"/>
        </w:rPr>
        <w:t>7辆车</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rPr>
        <w:t>。</w:t>
      </w:r>
    </w:p>
    <w:p w14:paraId="3F265EA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万元，比上年增(减)</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14:paraId="64666B07">
      <w:pPr>
        <w:spacing w:before="173"/>
        <w:ind w:right="49" w:firstLine="599"/>
        <w:rPr>
          <w:rFonts w:ascii="仿宋" w:hAnsi="仿宋" w:eastAsia="仿宋" w:cs="仿宋"/>
          <w:spacing w:val="-15"/>
          <w:w w:val="94"/>
          <w:sz w:val="32"/>
          <w:szCs w:val="32"/>
        </w:rPr>
      </w:pPr>
    </w:p>
    <w:p w14:paraId="39985A77">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14:paraId="2E7357A1">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14:paraId="48E1F648">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14:paraId="61384CC3">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14:paraId="68EF79F6">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14:paraId="366845D4">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14:paraId="1DD98EE7">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14:paraId="118A980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14:paraId="7C2818B9">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14:paraId="72D717F0">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14:paraId="6A867B62">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年收支差额的数额。</w:t>
      </w:r>
    </w:p>
    <w:p w14:paraId="46DEC36F">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年全部结转和结余的资金数，包括当年结转结余资金和历年滚存结转结余资金。</w:t>
      </w:r>
    </w:p>
    <w:p w14:paraId="2F2F93AB">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14:paraId="6581053B">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w:t>
      </w:r>
      <w:bookmarkStart w:id="0" w:name="_GoBack"/>
      <w:bookmarkEnd w:id="0"/>
      <w:r>
        <w:rPr>
          <w:rFonts w:hint="eastAsia" w:ascii="仿宋_GB2312" w:hAnsi="Times New Roman" w:eastAsia="仿宋_GB2312" w:cs="Times New Roman"/>
          <w:snapToGrid/>
          <w:kern w:val="2"/>
          <w:sz w:val="32"/>
          <w:szCs w:val="32"/>
        </w:rPr>
        <w:t>涉及的支出功能分类科目(明细到项级)，结合部门实际，参照《202</w:t>
      </w:r>
      <w:r>
        <w:rPr>
          <w:rFonts w:hint="eastAsia" w:ascii="仿宋_GB2312" w:hAnsi="Times New Roman" w:eastAsia="仿宋_GB2312" w:cs="Times New Roman"/>
          <w:snapToGrid/>
          <w:kern w:val="2"/>
          <w:sz w:val="32"/>
          <w:szCs w:val="32"/>
          <w:lang w:val="en-US" w:eastAsia="zh-CN"/>
        </w:rPr>
        <w:t>4</w:t>
      </w:r>
      <w:r>
        <w:rPr>
          <w:rFonts w:hint="eastAsia" w:ascii="仿宋_GB2312" w:hAnsi="Times New Roman" w:eastAsia="仿宋_GB2312" w:cs="Times New Roman"/>
          <w:snapToGrid/>
          <w:kern w:val="2"/>
          <w:sz w:val="32"/>
          <w:szCs w:val="32"/>
        </w:rPr>
        <w:t>年政府收支分类科目》的规范说明进行解释。</w:t>
      </w:r>
    </w:p>
    <w:p w14:paraId="49CC1633">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14:paraId="245DAEC5">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JmM2Y3OTMwOGQwZDRjMjg0NmE5ZWYwZmQ5ZjQxNDgifQ=="/>
  </w:docVars>
  <w:rsids>
    <w:rsidRoot w:val="00E637E3"/>
    <w:rsid w:val="000F5645"/>
    <w:rsid w:val="00245594"/>
    <w:rsid w:val="0028241F"/>
    <w:rsid w:val="007D2708"/>
    <w:rsid w:val="00A55E03"/>
    <w:rsid w:val="00E637E3"/>
    <w:rsid w:val="00EB7E60"/>
    <w:rsid w:val="0156177E"/>
    <w:rsid w:val="01565C22"/>
    <w:rsid w:val="01BB5A85"/>
    <w:rsid w:val="04354376"/>
    <w:rsid w:val="07D17677"/>
    <w:rsid w:val="07DF78EC"/>
    <w:rsid w:val="08803584"/>
    <w:rsid w:val="09E0252C"/>
    <w:rsid w:val="0A165F4E"/>
    <w:rsid w:val="0ACA2B2B"/>
    <w:rsid w:val="0B955598"/>
    <w:rsid w:val="0BE36304"/>
    <w:rsid w:val="0C1F4093"/>
    <w:rsid w:val="0DB937C0"/>
    <w:rsid w:val="0DFE0A9C"/>
    <w:rsid w:val="0ED87C76"/>
    <w:rsid w:val="0EED0E1E"/>
    <w:rsid w:val="0F8B2BDC"/>
    <w:rsid w:val="0FFD757E"/>
    <w:rsid w:val="11F86147"/>
    <w:rsid w:val="121C60CC"/>
    <w:rsid w:val="12863307"/>
    <w:rsid w:val="13196A69"/>
    <w:rsid w:val="1356560D"/>
    <w:rsid w:val="13D73693"/>
    <w:rsid w:val="141D612B"/>
    <w:rsid w:val="14E54E9B"/>
    <w:rsid w:val="14FD49DD"/>
    <w:rsid w:val="155D0657"/>
    <w:rsid w:val="15981F0D"/>
    <w:rsid w:val="15A765F4"/>
    <w:rsid w:val="16573B76"/>
    <w:rsid w:val="16610551"/>
    <w:rsid w:val="16775FC6"/>
    <w:rsid w:val="17073599"/>
    <w:rsid w:val="180A0D7A"/>
    <w:rsid w:val="18300B23"/>
    <w:rsid w:val="1A0C4C78"/>
    <w:rsid w:val="1B2B76C7"/>
    <w:rsid w:val="1B79633D"/>
    <w:rsid w:val="1BA65CC5"/>
    <w:rsid w:val="1BC7354C"/>
    <w:rsid w:val="1D081D28"/>
    <w:rsid w:val="1D1061B9"/>
    <w:rsid w:val="1D7E40DE"/>
    <w:rsid w:val="1D993A50"/>
    <w:rsid w:val="1D9C6312"/>
    <w:rsid w:val="1DB4365C"/>
    <w:rsid w:val="1E480248"/>
    <w:rsid w:val="1E766B63"/>
    <w:rsid w:val="1E875215"/>
    <w:rsid w:val="1E8F5E77"/>
    <w:rsid w:val="1EBD0C36"/>
    <w:rsid w:val="1EE53CE9"/>
    <w:rsid w:val="2063580D"/>
    <w:rsid w:val="218C669E"/>
    <w:rsid w:val="21AD53FA"/>
    <w:rsid w:val="22AA14D2"/>
    <w:rsid w:val="2322375E"/>
    <w:rsid w:val="246824AA"/>
    <w:rsid w:val="24961D0D"/>
    <w:rsid w:val="24D665AE"/>
    <w:rsid w:val="25101E5C"/>
    <w:rsid w:val="25910727"/>
    <w:rsid w:val="25CE3729"/>
    <w:rsid w:val="25D302DF"/>
    <w:rsid w:val="26AD1590"/>
    <w:rsid w:val="277F4CDB"/>
    <w:rsid w:val="27E36FA6"/>
    <w:rsid w:val="28B74E8B"/>
    <w:rsid w:val="28BC7451"/>
    <w:rsid w:val="2AF76001"/>
    <w:rsid w:val="2B2823EB"/>
    <w:rsid w:val="2B6A5CA2"/>
    <w:rsid w:val="2C250873"/>
    <w:rsid w:val="2C620A7A"/>
    <w:rsid w:val="2DA059AB"/>
    <w:rsid w:val="2DBD655D"/>
    <w:rsid w:val="2DF84AA5"/>
    <w:rsid w:val="2ED27DE6"/>
    <w:rsid w:val="2F56299D"/>
    <w:rsid w:val="30C85944"/>
    <w:rsid w:val="32075FF9"/>
    <w:rsid w:val="325D7BAC"/>
    <w:rsid w:val="32981347"/>
    <w:rsid w:val="332B1521"/>
    <w:rsid w:val="33F425AD"/>
    <w:rsid w:val="34BD32E6"/>
    <w:rsid w:val="35B204F9"/>
    <w:rsid w:val="35FD7C8F"/>
    <w:rsid w:val="36905B3D"/>
    <w:rsid w:val="379C71E3"/>
    <w:rsid w:val="37AB06B3"/>
    <w:rsid w:val="37B3452D"/>
    <w:rsid w:val="387243E8"/>
    <w:rsid w:val="38993E43"/>
    <w:rsid w:val="394538AA"/>
    <w:rsid w:val="399674A1"/>
    <w:rsid w:val="39CB0253"/>
    <w:rsid w:val="3A483652"/>
    <w:rsid w:val="3AAA34AD"/>
    <w:rsid w:val="3B8C3A12"/>
    <w:rsid w:val="3BAC7C11"/>
    <w:rsid w:val="3BBA0580"/>
    <w:rsid w:val="3BDF3B42"/>
    <w:rsid w:val="3C134CAD"/>
    <w:rsid w:val="3C291261"/>
    <w:rsid w:val="3C7B7D0F"/>
    <w:rsid w:val="3E0E3E2D"/>
    <w:rsid w:val="3E247F32"/>
    <w:rsid w:val="3E5D51F2"/>
    <w:rsid w:val="41C2018E"/>
    <w:rsid w:val="41CD40DC"/>
    <w:rsid w:val="43247341"/>
    <w:rsid w:val="44E95A32"/>
    <w:rsid w:val="44FA19ED"/>
    <w:rsid w:val="45246A6A"/>
    <w:rsid w:val="4698770F"/>
    <w:rsid w:val="46F661E4"/>
    <w:rsid w:val="470B7EE1"/>
    <w:rsid w:val="474E6296"/>
    <w:rsid w:val="476D2917"/>
    <w:rsid w:val="47A53E92"/>
    <w:rsid w:val="48D34A2F"/>
    <w:rsid w:val="48F7696F"/>
    <w:rsid w:val="495E021B"/>
    <w:rsid w:val="49A308A5"/>
    <w:rsid w:val="4B084AD1"/>
    <w:rsid w:val="4B410375"/>
    <w:rsid w:val="4B8D5369"/>
    <w:rsid w:val="4B9423F1"/>
    <w:rsid w:val="4C92075D"/>
    <w:rsid w:val="4E600DFA"/>
    <w:rsid w:val="4F8D1DDB"/>
    <w:rsid w:val="4F8E5B53"/>
    <w:rsid w:val="4FDC066D"/>
    <w:rsid w:val="4FF508AB"/>
    <w:rsid w:val="5002014F"/>
    <w:rsid w:val="507C7522"/>
    <w:rsid w:val="5124051D"/>
    <w:rsid w:val="51586419"/>
    <w:rsid w:val="51D07190"/>
    <w:rsid w:val="526F57C8"/>
    <w:rsid w:val="535A3AA7"/>
    <w:rsid w:val="53E2646E"/>
    <w:rsid w:val="54815C87"/>
    <w:rsid w:val="55053EB1"/>
    <w:rsid w:val="55526C4B"/>
    <w:rsid w:val="56076295"/>
    <w:rsid w:val="56384123"/>
    <w:rsid w:val="56FE6C07"/>
    <w:rsid w:val="57BC3B04"/>
    <w:rsid w:val="57DB7E78"/>
    <w:rsid w:val="585D2567"/>
    <w:rsid w:val="588B0E82"/>
    <w:rsid w:val="590D5D3B"/>
    <w:rsid w:val="5A1B4488"/>
    <w:rsid w:val="5A5D05FC"/>
    <w:rsid w:val="5AE91E90"/>
    <w:rsid w:val="5B2D4472"/>
    <w:rsid w:val="5C602626"/>
    <w:rsid w:val="5CB85FBE"/>
    <w:rsid w:val="5CF36FF6"/>
    <w:rsid w:val="5D1F428F"/>
    <w:rsid w:val="5D24489D"/>
    <w:rsid w:val="5D3513BC"/>
    <w:rsid w:val="5D68777B"/>
    <w:rsid w:val="5DDB79F5"/>
    <w:rsid w:val="5EBA601D"/>
    <w:rsid w:val="5F381638"/>
    <w:rsid w:val="5F546472"/>
    <w:rsid w:val="5FA6034F"/>
    <w:rsid w:val="5FBA42D3"/>
    <w:rsid w:val="5FEC48FC"/>
    <w:rsid w:val="6098413C"/>
    <w:rsid w:val="60C018E5"/>
    <w:rsid w:val="60E078E9"/>
    <w:rsid w:val="618B1EF3"/>
    <w:rsid w:val="61ED6709"/>
    <w:rsid w:val="622A1136"/>
    <w:rsid w:val="62865D12"/>
    <w:rsid w:val="629848C7"/>
    <w:rsid w:val="62C03E1E"/>
    <w:rsid w:val="62D22EC1"/>
    <w:rsid w:val="633345F0"/>
    <w:rsid w:val="63CF0A17"/>
    <w:rsid w:val="64222FA4"/>
    <w:rsid w:val="64462101"/>
    <w:rsid w:val="647C2ED3"/>
    <w:rsid w:val="64CF1D3E"/>
    <w:rsid w:val="655424D3"/>
    <w:rsid w:val="65A6554D"/>
    <w:rsid w:val="66303069"/>
    <w:rsid w:val="6784366C"/>
    <w:rsid w:val="67874F0A"/>
    <w:rsid w:val="68024591"/>
    <w:rsid w:val="694F3806"/>
    <w:rsid w:val="6A231828"/>
    <w:rsid w:val="6A6908F7"/>
    <w:rsid w:val="6AB968D1"/>
    <w:rsid w:val="6ABE009D"/>
    <w:rsid w:val="6B0D3978"/>
    <w:rsid w:val="6B6A0DCB"/>
    <w:rsid w:val="6C0006DE"/>
    <w:rsid w:val="6E0472B5"/>
    <w:rsid w:val="6EAC5256"/>
    <w:rsid w:val="6F321C00"/>
    <w:rsid w:val="6F3A213D"/>
    <w:rsid w:val="6FB3360D"/>
    <w:rsid w:val="6FB364A0"/>
    <w:rsid w:val="703F1C24"/>
    <w:rsid w:val="71F75B76"/>
    <w:rsid w:val="726912A9"/>
    <w:rsid w:val="72A43CF6"/>
    <w:rsid w:val="73CB2F92"/>
    <w:rsid w:val="74750D7C"/>
    <w:rsid w:val="75ED4AD2"/>
    <w:rsid w:val="76984A3E"/>
    <w:rsid w:val="76C26ECB"/>
    <w:rsid w:val="76CD16D4"/>
    <w:rsid w:val="77E31CE9"/>
    <w:rsid w:val="78971153"/>
    <w:rsid w:val="78F36177"/>
    <w:rsid w:val="79246A5D"/>
    <w:rsid w:val="79473996"/>
    <w:rsid w:val="799534B7"/>
    <w:rsid w:val="7AD7365B"/>
    <w:rsid w:val="7B305E36"/>
    <w:rsid w:val="7BB75966"/>
    <w:rsid w:val="7BD06A28"/>
    <w:rsid w:val="7BD227A0"/>
    <w:rsid w:val="7C0E7DE9"/>
    <w:rsid w:val="7C26268D"/>
    <w:rsid w:val="7C3A3C46"/>
    <w:rsid w:val="7C597941"/>
    <w:rsid w:val="7D067899"/>
    <w:rsid w:val="7D4A280A"/>
    <w:rsid w:val="7DB12889"/>
    <w:rsid w:val="7DCE51E9"/>
    <w:rsid w:val="7E172785"/>
    <w:rsid w:val="7E431733"/>
    <w:rsid w:val="7EAA63B3"/>
    <w:rsid w:val="7EB22415"/>
    <w:rsid w:val="7F0C5FC9"/>
    <w:rsid w:val="7F224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6" w:lineRule="auto"/>
      <w:jc w:val="both"/>
      <w:textAlignment w:val="baseline"/>
    </w:pPr>
    <w:rPr>
      <w:rFonts w:ascii="Cambria" w:hAnsi="Cambria" w:eastAsia="宋体" w:cs="Times New Roman"/>
      <w:b/>
      <w:bCs/>
      <w:kern w:val="2"/>
      <w:sz w:val="30"/>
      <w:szCs w:val="32"/>
      <w:lang w:val="en-US" w:eastAsia="zh-CN" w:bidi="ar-SA"/>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4443</Words>
  <Characters>4751</Characters>
  <Lines>14</Lines>
  <Paragraphs>4</Paragraphs>
  <TotalTime>22</TotalTime>
  <ScaleCrop>false</ScaleCrop>
  <LinksUpToDate>false</LinksUpToDate>
  <CharactersWithSpaces>4794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WPS_1718587039</cp:lastModifiedBy>
  <dcterms:modified xsi:type="dcterms:W3CDTF">2025-05-19T07:31:51Z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2052-12.1.0.21171</vt:lpwstr>
  </property>
  <property fmtid="{D5CDD505-2E9C-101B-9397-08002B2CF9AE}" pid="5" name="ICV">
    <vt:lpwstr>88DC4E5DA5774A45A9990BB4EE0325F1</vt:lpwstr>
  </property>
  <property fmtid="{D5CDD505-2E9C-101B-9397-08002B2CF9AE}" pid="6" name="KSOTemplateDocerSaveRecord">
    <vt:lpwstr>eyJoZGlkIjoiZmJmM2Y3OTMwOGQwZDRjMjg0NmE5ZWYwZmQ5ZjQxNDgiLCJ1c2VySWQiOiIxNjA3ODQ5NDM5In0=</vt:lpwstr>
  </property>
</Properties>
</file>