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both"/>
        <w:rPr>
          <w:rFonts w:hint="eastAsia" w:ascii="仿宋_GB2312" w:hAnsi="仿宋_GB2312" w:eastAsia="仿宋_GB2312" w:cs="仿宋_GB2312"/>
          <w:b w:val="0"/>
          <w:bCs w:val="0"/>
          <w:sz w:val="32"/>
          <w:szCs w:val="32"/>
          <w:lang w:val="en-US" w:eastAsia="zh-CN"/>
        </w:rPr>
      </w:pPr>
      <w:bookmarkStart w:id="0" w:name="_GoBack"/>
      <w:bookmarkEnd w:id="0"/>
      <w:r>
        <w:rPr>
          <w:rFonts w:hint="eastAsia" w:ascii="仿宋_GB2312" w:hAnsi="仿宋_GB2312" w:eastAsia="仿宋_GB2312" w:cs="仿宋_GB2312"/>
          <w:b w:val="0"/>
          <w:bCs w:val="0"/>
          <w:sz w:val="32"/>
          <w:szCs w:val="32"/>
          <w:lang w:val="en-US" w:eastAsia="zh-CN"/>
        </w:rPr>
        <w:t>附件：</w:t>
      </w:r>
    </w:p>
    <w:p>
      <w:pPr>
        <w:pStyle w:val="13"/>
        <w:pageBreakBefore w:val="0"/>
        <w:widowControl w:val="0"/>
        <w:kinsoku/>
        <w:wordWrap/>
        <w:overflowPunct/>
        <w:topLinePunct w:val="0"/>
        <w:autoSpaceDE/>
        <w:autoSpaceDN/>
        <w:bidi w:val="0"/>
        <w:adjustRightInd/>
        <w:snapToGrid/>
        <w:spacing w:before="0" w:after="0" w:line="560" w:lineRule="exact"/>
        <w:ind w:right="0"/>
        <w:jc w:val="center"/>
        <w:textAlignment w:val="auto"/>
        <w:rPr>
          <w:color w:val="000000"/>
        </w:rPr>
      </w:pPr>
      <w:r>
        <w:rPr>
          <w:rFonts w:hint="eastAsia"/>
          <w:color w:val="000000"/>
          <w:lang w:val="en-US" w:eastAsia="zh-CN"/>
        </w:rPr>
        <w:t>浮梁县</w:t>
      </w:r>
      <w:r>
        <w:rPr>
          <w:rFonts w:hint="eastAsia"/>
          <w:color w:val="000000"/>
        </w:rPr>
        <w:t>保障性租赁住房</w:t>
      </w:r>
    </w:p>
    <w:p>
      <w:pPr>
        <w:pStyle w:val="13"/>
        <w:pageBreakBefore w:val="0"/>
        <w:widowControl w:val="0"/>
        <w:kinsoku/>
        <w:wordWrap/>
        <w:overflowPunct/>
        <w:topLinePunct w:val="0"/>
        <w:autoSpaceDE/>
        <w:autoSpaceDN/>
        <w:bidi w:val="0"/>
        <w:adjustRightInd/>
        <w:snapToGrid/>
        <w:spacing w:before="0" w:after="0" w:line="560" w:lineRule="exact"/>
        <w:ind w:right="0"/>
        <w:jc w:val="center"/>
        <w:textAlignment w:val="auto"/>
        <w:rPr>
          <w:color w:val="000000"/>
        </w:rPr>
      </w:pPr>
      <w:r>
        <w:rPr>
          <w:rFonts w:hint="eastAsia"/>
          <w:color w:val="000000"/>
        </w:rPr>
        <w:t>建设和管理的实施意见</w:t>
      </w:r>
    </w:p>
    <w:p>
      <w:pPr>
        <w:pageBreakBefore w:val="0"/>
        <w:widowControl w:val="0"/>
        <w:kinsoku/>
        <w:wordWrap/>
        <w:overflowPunct/>
        <w:topLinePunct w:val="0"/>
        <w:autoSpaceDE/>
        <w:autoSpaceDN/>
        <w:bidi w:val="0"/>
        <w:adjustRightInd/>
        <w:snapToGrid/>
        <w:spacing w:before="0" w:line="560" w:lineRule="exact"/>
        <w:ind w:left="0" w:leftChars="0" w:right="0" w:firstLine="0" w:firstLineChars="0"/>
        <w:jc w:val="center"/>
        <w:textAlignment w:val="auto"/>
        <w:rPr>
          <w:rFonts w:hint="eastAsia" w:eastAsia="仿宋"/>
          <w:color w:val="000000"/>
          <w:lang w:eastAsia="zh-CN"/>
        </w:rPr>
      </w:pPr>
      <w:r>
        <w:rPr>
          <w:rStyle w:val="16"/>
          <w:rFonts w:hint="eastAsia" w:ascii="仿宋_GB2312" w:hAnsi="仿宋_GB2312" w:eastAsia="仿宋_GB2312" w:cs="仿宋_GB2312"/>
          <w:color w:val="000000"/>
          <w:lang w:eastAsia="zh-CN"/>
        </w:rPr>
        <w:t>（征求意见稿）</w:t>
      </w:r>
    </w:p>
    <w:p>
      <w:pPr>
        <w:pageBreakBefore w:val="0"/>
        <w:widowControl w:val="0"/>
        <w:kinsoku/>
        <w:wordWrap/>
        <w:overflowPunct/>
        <w:topLinePunct w:val="0"/>
        <w:autoSpaceDE/>
        <w:autoSpaceDN/>
        <w:bidi w:val="0"/>
        <w:adjustRightInd/>
        <w:snapToGrid/>
        <w:spacing w:before="0" w:line="560" w:lineRule="exact"/>
        <w:ind w:right="0" w:firstLine="640" w:firstLineChars="200"/>
        <w:textAlignment w:val="auto"/>
        <w:rPr>
          <w:rFonts w:ascii="仿宋_GB2312" w:hAnsi="仿宋_GB2312" w:eastAsia="仿宋_GB2312" w:cs="仿宋_GB2312"/>
          <w:color w:val="000000"/>
        </w:rPr>
      </w:pPr>
      <w:r>
        <w:rPr>
          <w:rFonts w:hint="eastAsia" w:ascii="仿宋_GB2312" w:hAnsi="仿宋_GB2312" w:eastAsia="仿宋_GB2312" w:cs="仿宋_GB2312"/>
          <w:color w:val="000000"/>
        </w:rPr>
        <w:t>为推动建立多主体供给、多渠道保障、租购并举的住房制度，加强住房保障体系建设，完善住房保障方式，扩大保障性租赁住房供给，根据《关于加快发展保障性租赁住房的意见》（国办发〔2021〕22号）</w:t>
      </w:r>
      <w:r>
        <w:rPr>
          <w:rFonts w:hint="eastAsia" w:ascii="仿宋_GB2312" w:hAnsi="仿宋_GB2312" w:eastAsia="仿宋_GB2312" w:cs="仿宋_GB2312"/>
          <w:color w:val="000000"/>
          <w:lang w:val="en-US" w:eastAsia="zh-CN"/>
        </w:rPr>
        <w:t>和《江西省人民政府办公厅关于加快发展保障性租赁住房的实施意见》（赣府厅发</w:t>
      </w:r>
      <w:r>
        <w:rPr>
          <w:rFonts w:hint="eastAsia" w:ascii="仿宋_GB2312" w:hAnsi="仿宋_GB2312" w:eastAsia="仿宋_GB2312" w:cs="仿宋_GB2312"/>
          <w:color w:val="000000"/>
        </w:rPr>
        <w:t>〔2021〕</w:t>
      </w:r>
      <w:r>
        <w:rPr>
          <w:rFonts w:hint="eastAsia" w:ascii="仿宋_GB2312" w:hAnsi="仿宋_GB2312" w:eastAsia="仿宋_GB2312" w:cs="仿宋_GB2312"/>
          <w:color w:val="000000"/>
          <w:lang w:val="en-US" w:eastAsia="zh-CN"/>
        </w:rPr>
        <w:t>46</w:t>
      </w:r>
      <w:r>
        <w:rPr>
          <w:rFonts w:hint="eastAsia" w:ascii="仿宋_GB2312" w:hAnsi="仿宋_GB2312" w:eastAsia="仿宋_GB2312" w:cs="仿宋_GB2312"/>
          <w:color w:val="000000"/>
        </w:rPr>
        <w:t>号</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lang w:val="en-US" w:eastAsia="zh-CN"/>
        </w:rPr>
        <w:t>文件精神，</w:t>
      </w:r>
      <w:r>
        <w:rPr>
          <w:rFonts w:hint="eastAsia" w:ascii="仿宋_GB2312" w:hAnsi="仿宋_GB2312" w:eastAsia="仿宋_GB2312" w:cs="仿宋_GB2312"/>
          <w:color w:val="000000"/>
        </w:rPr>
        <w:t>结合我</w:t>
      </w:r>
      <w:r>
        <w:rPr>
          <w:rFonts w:hint="eastAsia" w:ascii="仿宋_GB2312" w:hAnsi="仿宋_GB2312" w:eastAsia="仿宋_GB2312" w:cs="仿宋_GB2312"/>
          <w:color w:val="000000"/>
          <w:lang w:val="en-US" w:eastAsia="zh-CN"/>
        </w:rPr>
        <w:t>县</w:t>
      </w:r>
      <w:r>
        <w:rPr>
          <w:rFonts w:hint="eastAsia" w:ascii="仿宋_GB2312" w:hAnsi="仿宋_GB2312" w:eastAsia="仿宋_GB2312" w:cs="仿宋_GB2312"/>
          <w:color w:val="000000"/>
        </w:rPr>
        <w:t>实际，提出如下实施意见。</w:t>
      </w:r>
    </w:p>
    <w:p>
      <w:pPr>
        <w:pStyle w:val="2"/>
        <w:pageBreakBefore w:val="0"/>
        <w:widowControl w:val="0"/>
        <w:kinsoku/>
        <w:wordWrap/>
        <w:overflowPunct/>
        <w:topLinePunct w:val="0"/>
        <w:autoSpaceDE/>
        <w:autoSpaceDN/>
        <w:bidi w:val="0"/>
        <w:adjustRightInd/>
        <w:snapToGrid/>
        <w:spacing w:before="0" w:line="560" w:lineRule="exact"/>
        <w:ind w:right="0" w:firstLine="640" w:firstLineChars="200"/>
        <w:textAlignment w:val="auto"/>
        <w:rPr>
          <w:b w:val="0"/>
          <w:bCs w:val="0"/>
          <w:color w:val="000000"/>
        </w:rPr>
      </w:pPr>
      <w:r>
        <w:rPr>
          <w:rFonts w:hint="eastAsia"/>
          <w:b w:val="0"/>
          <w:bCs w:val="0"/>
          <w:color w:val="000000"/>
        </w:rPr>
        <w:t>一、总体要求</w:t>
      </w:r>
    </w:p>
    <w:p>
      <w:pPr>
        <w:pStyle w:val="3"/>
        <w:pageBreakBefore w:val="0"/>
        <w:widowControl w:val="0"/>
        <w:kinsoku/>
        <w:wordWrap/>
        <w:overflowPunct/>
        <w:topLinePunct w:val="0"/>
        <w:autoSpaceDE/>
        <w:autoSpaceDN/>
        <w:bidi w:val="0"/>
        <w:adjustRightInd/>
        <w:snapToGrid/>
        <w:spacing w:before="0" w:line="560" w:lineRule="exact"/>
        <w:ind w:right="0" w:firstLine="643" w:firstLineChars="200"/>
        <w:textAlignment w:val="auto"/>
        <w:rPr>
          <w:color w:val="000000"/>
        </w:rPr>
      </w:pPr>
      <w:r>
        <w:rPr>
          <w:rFonts w:hint="eastAsia"/>
          <w:color w:val="000000"/>
        </w:rPr>
        <w:t>（一）指导思想</w:t>
      </w:r>
    </w:p>
    <w:p>
      <w:pPr>
        <w:pageBreakBefore w:val="0"/>
        <w:widowControl w:val="0"/>
        <w:kinsoku/>
        <w:wordWrap/>
        <w:overflowPunct/>
        <w:topLinePunct w:val="0"/>
        <w:autoSpaceDE/>
        <w:autoSpaceDN/>
        <w:bidi w:val="0"/>
        <w:adjustRightInd/>
        <w:snapToGrid/>
        <w:spacing w:before="0" w:line="560" w:lineRule="exact"/>
        <w:ind w:right="0" w:firstLine="640" w:firstLineChars="200"/>
        <w:textAlignment w:val="auto"/>
        <w:rPr>
          <w:rFonts w:ascii="仿宋_GB2312" w:hAnsi="仿宋_GB2312" w:eastAsia="仿宋_GB2312" w:cs="仿宋_GB2312"/>
          <w:color w:val="000000"/>
        </w:rPr>
      </w:pPr>
      <w:r>
        <w:rPr>
          <w:rFonts w:hint="eastAsia" w:ascii="仿宋_GB2312" w:hAnsi="仿宋_GB2312" w:eastAsia="仿宋_GB2312" w:cs="仿宋_GB2312"/>
          <w:color w:val="000000"/>
        </w:rPr>
        <w:t>以习近平新时代中国特色社会主义思想为指导，全面贯彻落实党的十九大和十九届二中、三中、四中、五中</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lang w:val="en-US" w:eastAsia="zh-CN"/>
        </w:rPr>
        <w:t>六中</w:t>
      </w:r>
      <w:r>
        <w:rPr>
          <w:rFonts w:hint="eastAsia" w:ascii="仿宋_GB2312" w:hAnsi="仿宋_GB2312" w:eastAsia="仿宋_GB2312" w:cs="仿宋_GB2312"/>
          <w:color w:val="000000"/>
        </w:rPr>
        <w:t>全会精神，坚持以人民为中心，坚持房子是用来住的、不是用来炒的定位，突出住房的民生属性，坚持因城施策，进城务工人员</w:t>
      </w:r>
      <w:r>
        <w:rPr>
          <w:rFonts w:hint="eastAsia" w:ascii="仿宋_GB2312" w:hAnsi="仿宋_GB2312" w:eastAsia="仿宋_GB2312" w:cs="仿宋_GB2312"/>
          <w:color w:val="000000"/>
          <w:lang w:val="en-US" w:eastAsia="zh-CN"/>
        </w:rPr>
        <w:t>等新市民</w:t>
      </w:r>
      <w:r>
        <w:rPr>
          <w:rFonts w:hint="eastAsia" w:ascii="仿宋_GB2312" w:hAnsi="仿宋_GB2312" w:eastAsia="仿宋_GB2312" w:cs="仿宋_GB2312"/>
          <w:color w:val="000000"/>
        </w:rPr>
        <w:t>、新就业大学生</w:t>
      </w:r>
      <w:r>
        <w:rPr>
          <w:rFonts w:hint="eastAsia" w:ascii="仿宋_GB2312" w:hAnsi="仿宋_GB2312" w:eastAsia="仿宋_GB2312" w:cs="仿宋_GB2312"/>
          <w:color w:val="000000"/>
          <w:lang w:val="en-US" w:eastAsia="zh-CN"/>
        </w:rPr>
        <w:t>等青年人</w:t>
      </w:r>
      <w:r>
        <w:rPr>
          <w:rFonts w:hint="eastAsia" w:ascii="仿宋_GB2312" w:hAnsi="仿宋_GB2312" w:eastAsia="仿宋_GB2312" w:cs="仿宋_GB2312"/>
          <w:color w:val="000000"/>
        </w:rPr>
        <w:t>的住房需求，突出发展重点，有效扩大保障性租赁住房供给，促进实现全体人民住有所居，通过多主体供给、多渠道保障，为国家试验区建设提供有力支撑。</w:t>
      </w:r>
    </w:p>
    <w:p>
      <w:pPr>
        <w:pStyle w:val="3"/>
        <w:pageBreakBefore w:val="0"/>
        <w:widowControl w:val="0"/>
        <w:kinsoku/>
        <w:wordWrap/>
        <w:overflowPunct/>
        <w:topLinePunct w:val="0"/>
        <w:autoSpaceDE/>
        <w:autoSpaceDN/>
        <w:bidi w:val="0"/>
        <w:adjustRightInd/>
        <w:snapToGrid/>
        <w:spacing w:before="0" w:line="560" w:lineRule="exact"/>
        <w:ind w:right="0" w:firstLine="643" w:firstLineChars="200"/>
        <w:textAlignment w:val="auto"/>
        <w:rPr>
          <w:color w:val="000000"/>
        </w:rPr>
      </w:pPr>
      <w:r>
        <w:rPr>
          <w:rFonts w:hint="eastAsia"/>
          <w:color w:val="000000"/>
        </w:rPr>
        <w:t>（二）基本原则</w:t>
      </w:r>
    </w:p>
    <w:p>
      <w:pPr>
        <w:pageBreakBefore w:val="0"/>
        <w:widowControl w:val="0"/>
        <w:kinsoku/>
        <w:wordWrap/>
        <w:overflowPunct/>
        <w:topLinePunct w:val="0"/>
        <w:autoSpaceDE/>
        <w:autoSpaceDN/>
        <w:bidi w:val="0"/>
        <w:adjustRightInd/>
        <w:snapToGrid/>
        <w:spacing w:before="0" w:line="560" w:lineRule="exact"/>
        <w:ind w:right="0" w:firstLine="643" w:firstLineChars="200"/>
        <w:textAlignment w:val="auto"/>
        <w:rPr>
          <w:rFonts w:ascii="仿宋_GB2312" w:hAnsi="仿宋_GB2312" w:eastAsia="仿宋_GB2312" w:cs="仿宋_GB2312"/>
          <w:color w:val="000000"/>
        </w:rPr>
      </w:pPr>
      <w:r>
        <w:rPr>
          <w:rFonts w:hint="eastAsia" w:ascii="仿宋_GB2312" w:hAnsi="仿宋_GB2312" w:eastAsia="仿宋_GB2312" w:cs="仿宋_GB2312"/>
          <w:b/>
          <w:color w:val="000000"/>
        </w:rPr>
        <w:t>1.政府支持，市场运作。</w:t>
      </w:r>
      <w:r>
        <w:rPr>
          <w:rFonts w:hint="eastAsia" w:ascii="仿宋_GB2312" w:hAnsi="仿宋_GB2312" w:eastAsia="仿宋_GB2312" w:cs="仿宋_GB2312"/>
          <w:color w:val="000000"/>
        </w:rPr>
        <w:t>保障性租赁住房按照“谁投资、谁所有、谁受益”的原则，政府主导制度建设、政策支持，鼓励国有企业等市场主体开展保障性租赁住房的筹建和运营，提高市场资源配置效率。</w:t>
      </w:r>
    </w:p>
    <w:p>
      <w:pPr>
        <w:pageBreakBefore w:val="0"/>
        <w:widowControl w:val="0"/>
        <w:kinsoku/>
        <w:wordWrap/>
        <w:overflowPunct/>
        <w:topLinePunct w:val="0"/>
        <w:autoSpaceDE/>
        <w:autoSpaceDN/>
        <w:bidi w:val="0"/>
        <w:adjustRightInd/>
        <w:snapToGrid/>
        <w:spacing w:before="0" w:line="560" w:lineRule="exact"/>
        <w:ind w:right="0" w:firstLine="643" w:firstLineChars="200"/>
        <w:textAlignment w:val="auto"/>
        <w:rPr>
          <w:rFonts w:ascii="仿宋_GB2312" w:hAnsi="仿宋_GB2312" w:eastAsia="仿宋_GB2312" w:cs="仿宋_GB2312"/>
          <w:color w:val="000000"/>
        </w:rPr>
      </w:pPr>
      <w:r>
        <w:rPr>
          <w:rFonts w:hint="eastAsia" w:ascii="仿宋_GB2312" w:hAnsi="仿宋_GB2312" w:eastAsia="仿宋_GB2312" w:cs="仿宋_GB2312"/>
          <w:b/>
          <w:color w:val="000000"/>
        </w:rPr>
        <w:t>2.政策统筹，统一监管。</w:t>
      </w:r>
      <w:r>
        <w:rPr>
          <w:rFonts w:hint="eastAsia" w:ascii="仿宋_GB2312" w:hAnsi="仿宋_GB2312" w:eastAsia="仿宋_GB2312" w:cs="仿宋_GB2312"/>
          <w:color w:val="000000"/>
        </w:rPr>
        <w:t>政府对保障性租赁住房的房源筹集、配租对象、租赁价格、分配管理等予以明确，由</w:t>
      </w:r>
      <w:r>
        <w:rPr>
          <w:rFonts w:hint="eastAsia" w:ascii="仿宋_GB2312" w:hAnsi="仿宋_GB2312" w:eastAsia="仿宋_GB2312" w:cs="仿宋_GB2312"/>
          <w:color w:val="000000"/>
          <w:lang w:val="en-US" w:eastAsia="zh-CN"/>
        </w:rPr>
        <w:t>县</w:t>
      </w:r>
      <w:r>
        <w:rPr>
          <w:rFonts w:hint="eastAsia" w:ascii="仿宋_GB2312" w:hAnsi="仿宋_GB2312" w:eastAsia="仿宋_GB2312" w:cs="仿宋_GB2312"/>
          <w:color w:val="000000"/>
        </w:rPr>
        <w:t>住房和城乡建设局统一实施和监管。</w:t>
      </w:r>
    </w:p>
    <w:p>
      <w:pPr>
        <w:pageBreakBefore w:val="0"/>
        <w:widowControl w:val="0"/>
        <w:kinsoku/>
        <w:wordWrap/>
        <w:overflowPunct/>
        <w:topLinePunct w:val="0"/>
        <w:autoSpaceDE/>
        <w:autoSpaceDN/>
        <w:bidi w:val="0"/>
        <w:adjustRightInd/>
        <w:snapToGrid/>
        <w:spacing w:before="0" w:line="560" w:lineRule="exact"/>
        <w:ind w:right="0" w:firstLine="643" w:firstLineChars="200"/>
        <w:textAlignment w:val="auto"/>
        <w:rPr>
          <w:rFonts w:ascii="仿宋_GB2312" w:hAnsi="仿宋_GB2312" w:eastAsia="仿宋_GB2312" w:cs="仿宋_GB2312"/>
          <w:color w:val="000000"/>
        </w:rPr>
      </w:pPr>
      <w:r>
        <w:rPr>
          <w:rFonts w:hint="eastAsia" w:ascii="仿宋_GB2312" w:hAnsi="仿宋_GB2312" w:eastAsia="仿宋_GB2312" w:cs="仿宋_GB2312"/>
          <w:b/>
          <w:color w:val="000000"/>
        </w:rPr>
        <w:t>3.布局合理，交通便利。</w:t>
      </w:r>
      <w:r>
        <w:rPr>
          <w:rFonts w:hint="eastAsia" w:ascii="仿宋_GB2312" w:hAnsi="仿宋_GB2312" w:eastAsia="仿宋_GB2312" w:cs="仿宋_GB2312"/>
          <w:color w:val="000000"/>
        </w:rPr>
        <w:t>保障性租赁住房应根据国土空间规划，选址在公共交通便利和产业集聚度较高、公共基础设施配套齐全的地块，</w:t>
      </w:r>
      <w:r>
        <w:rPr>
          <w:rFonts w:hint="eastAsia" w:ascii="仿宋_GB2312" w:hAnsi="仿宋_GB2312" w:eastAsia="仿宋_GB2312" w:cs="仿宋_GB2312"/>
          <w:color w:val="000000"/>
          <w:lang w:val="en-US" w:eastAsia="zh-CN"/>
        </w:rPr>
        <w:t>促进产城融合、职住平衡</w:t>
      </w:r>
      <w:r>
        <w:rPr>
          <w:rFonts w:hint="eastAsia" w:ascii="仿宋_GB2312" w:hAnsi="仿宋_GB2312" w:eastAsia="仿宋_GB2312" w:cs="仿宋_GB2312"/>
          <w:color w:val="000000"/>
        </w:rPr>
        <w:t>。</w:t>
      </w:r>
    </w:p>
    <w:p>
      <w:pPr>
        <w:pStyle w:val="2"/>
        <w:pageBreakBefore w:val="0"/>
        <w:widowControl w:val="0"/>
        <w:kinsoku/>
        <w:wordWrap/>
        <w:overflowPunct/>
        <w:topLinePunct w:val="0"/>
        <w:autoSpaceDE/>
        <w:autoSpaceDN/>
        <w:bidi w:val="0"/>
        <w:adjustRightInd/>
        <w:snapToGrid/>
        <w:spacing w:before="0" w:line="560" w:lineRule="exact"/>
        <w:ind w:right="0" w:firstLine="640" w:firstLineChars="200"/>
        <w:textAlignment w:val="auto"/>
        <w:rPr>
          <w:b w:val="0"/>
          <w:bCs w:val="0"/>
          <w:color w:val="000000"/>
        </w:rPr>
      </w:pPr>
      <w:r>
        <w:rPr>
          <w:rFonts w:hint="eastAsia"/>
          <w:b w:val="0"/>
          <w:bCs w:val="0"/>
          <w:color w:val="000000"/>
        </w:rPr>
        <w:t>二、加快发展保障性租赁住房</w:t>
      </w:r>
    </w:p>
    <w:p>
      <w:pPr>
        <w:pStyle w:val="3"/>
        <w:pageBreakBefore w:val="0"/>
        <w:widowControl w:val="0"/>
        <w:kinsoku/>
        <w:wordWrap/>
        <w:overflowPunct/>
        <w:topLinePunct w:val="0"/>
        <w:autoSpaceDE/>
        <w:autoSpaceDN/>
        <w:bidi w:val="0"/>
        <w:adjustRightInd/>
        <w:snapToGrid/>
        <w:spacing w:before="0" w:line="560" w:lineRule="exact"/>
        <w:ind w:right="0" w:firstLine="643" w:firstLineChars="200"/>
        <w:textAlignment w:val="auto"/>
        <w:rPr>
          <w:color w:val="000000"/>
        </w:rPr>
      </w:pPr>
      <w:r>
        <w:rPr>
          <w:rFonts w:hint="eastAsia"/>
          <w:color w:val="000000"/>
        </w:rPr>
        <w:t>（一）房源筹集</w:t>
      </w:r>
    </w:p>
    <w:p>
      <w:pPr>
        <w:pageBreakBefore w:val="0"/>
        <w:widowControl w:val="0"/>
        <w:kinsoku/>
        <w:wordWrap/>
        <w:overflowPunct/>
        <w:topLinePunct w:val="0"/>
        <w:autoSpaceDE/>
        <w:autoSpaceDN/>
        <w:bidi w:val="0"/>
        <w:adjustRightInd/>
        <w:snapToGrid/>
        <w:spacing w:before="0" w:line="560" w:lineRule="exact"/>
        <w:ind w:right="0" w:firstLine="64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保障性租赁住房采取新建、改建和闲置盘活等多种方式，切实增加供给，房源主要从以下几个渠道筹集：</w:t>
      </w:r>
    </w:p>
    <w:p>
      <w:pPr>
        <w:pageBreakBefore w:val="0"/>
        <w:widowControl w:val="0"/>
        <w:kinsoku/>
        <w:wordWrap/>
        <w:overflowPunct/>
        <w:topLinePunct w:val="0"/>
        <w:autoSpaceDE/>
        <w:autoSpaceDN/>
        <w:bidi w:val="0"/>
        <w:adjustRightInd/>
        <w:snapToGrid/>
        <w:spacing w:before="0" w:line="560" w:lineRule="exact"/>
        <w:ind w:right="0" w:firstLine="64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一是利用</w:t>
      </w:r>
      <w:r>
        <w:rPr>
          <w:rFonts w:hint="eastAsia" w:ascii="仿宋_GB2312" w:hAnsi="仿宋_GB2312" w:eastAsia="仿宋_GB2312" w:cs="仿宋_GB2312"/>
          <w:color w:val="000000"/>
          <w:lang w:val="en-US" w:eastAsia="zh-CN"/>
        </w:rPr>
        <w:t>县</w:t>
      </w:r>
      <w:r>
        <w:rPr>
          <w:rFonts w:hint="eastAsia" w:ascii="仿宋_GB2312" w:hAnsi="仿宋_GB2312" w:eastAsia="仿宋_GB2312" w:cs="仿宋_GB2312"/>
          <w:color w:val="000000"/>
        </w:rPr>
        <w:t>国有企业的自有存量土地建设；</w:t>
      </w:r>
    </w:p>
    <w:p>
      <w:pPr>
        <w:pageBreakBefore w:val="0"/>
        <w:widowControl w:val="0"/>
        <w:kinsoku/>
        <w:wordWrap/>
        <w:overflowPunct/>
        <w:topLinePunct w:val="0"/>
        <w:autoSpaceDE/>
        <w:autoSpaceDN/>
        <w:bidi w:val="0"/>
        <w:adjustRightInd/>
        <w:snapToGrid/>
        <w:spacing w:before="0" w:line="560" w:lineRule="exact"/>
        <w:ind w:right="0" w:firstLine="640" w:firstLineChars="200"/>
        <w:textAlignment w:val="auto"/>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rPr>
        <w:t>二是新增租赁住房用地集中建设</w:t>
      </w:r>
      <w:r>
        <w:rPr>
          <w:rFonts w:hint="eastAsia" w:ascii="仿宋_GB2312" w:hAnsi="仿宋_GB2312" w:eastAsia="仿宋_GB2312" w:cs="仿宋_GB2312"/>
          <w:color w:val="000000"/>
          <w:lang w:eastAsia="zh-CN"/>
        </w:rPr>
        <w:t>；</w:t>
      </w:r>
    </w:p>
    <w:p>
      <w:pPr>
        <w:pageBreakBefore w:val="0"/>
        <w:widowControl w:val="0"/>
        <w:kinsoku/>
        <w:wordWrap/>
        <w:overflowPunct/>
        <w:topLinePunct w:val="0"/>
        <w:autoSpaceDE/>
        <w:autoSpaceDN/>
        <w:bidi w:val="0"/>
        <w:adjustRightInd/>
        <w:snapToGrid/>
        <w:spacing w:before="0" w:line="560" w:lineRule="exact"/>
        <w:ind w:right="0" w:firstLine="64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lang w:val="en-US" w:eastAsia="zh-CN"/>
        </w:rPr>
        <w:t>三是</w:t>
      </w:r>
      <w:r>
        <w:rPr>
          <w:rFonts w:hint="eastAsia" w:ascii="仿宋_GB2312" w:hAnsi="仿宋_GB2312" w:eastAsia="仿宋_GB2312" w:cs="仿宋_GB2312"/>
          <w:color w:val="000000"/>
        </w:rPr>
        <w:t>新建普通商品住房项目中配建；</w:t>
      </w:r>
    </w:p>
    <w:p>
      <w:pPr>
        <w:pageBreakBefore w:val="0"/>
        <w:widowControl w:val="0"/>
        <w:kinsoku/>
        <w:wordWrap/>
        <w:overflowPunct/>
        <w:topLinePunct w:val="0"/>
        <w:autoSpaceDE/>
        <w:autoSpaceDN/>
        <w:bidi w:val="0"/>
        <w:adjustRightInd/>
        <w:snapToGrid/>
        <w:spacing w:before="0" w:line="560" w:lineRule="exact"/>
        <w:ind w:right="0" w:firstLine="64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lang w:val="en-US" w:eastAsia="zh-CN"/>
        </w:rPr>
        <w:t>四</w:t>
      </w:r>
      <w:r>
        <w:rPr>
          <w:rFonts w:hint="eastAsia" w:ascii="仿宋_GB2312" w:hAnsi="仿宋_GB2312" w:eastAsia="仿宋_GB2312" w:cs="仿宋_GB2312"/>
          <w:color w:val="000000"/>
        </w:rPr>
        <w:t>是园区企业配建员工宿舍、人才公寓等；</w:t>
      </w:r>
    </w:p>
    <w:p>
      <w:pPr>
        <w:ind w:left="640" w:leftChars="200" w:firstLine="0" w:firstLineChars="0"/>
        <w:rPr>
          <w:rFonts w:hint="eastAsia"/>
          <w:color w:val="000000"/>
        </w:rPr>
      </w:pPr>
      <w:r>
        <w:rPr>
          <w:rFonts w:hint="eastAsia" w:ascii="仿宋_GB2312" w:hAnsi="仿宋_GB2312" w:eastAsia="仿宋_GB2312" w:cs="仿宋_GB2312"/>
          <w:color w:val="000000"/>
          <w:lang w:val="en-US" w:eastAsia="zh-CN"/>
        </w:rPr>
        <w:t>五</w:t>
      </w:r>
      <w:r>
        <w:rPr>
          <w:rFonts w:hint="eastAsia" w:ascii="仿宋_GB2312" w:hAnsi="仿宋_GB2312" w:eastAsia="仿宋_GB2312" w:cs="仿宋_GB2312"/>
          <w:color w:val="000000"/>
        </w:rPr>
        <w:t>是利用城区、靠近园区的集体经营性建设用地新建；</w:t>
      </w:r>
      <w:r>
        <w:rPr>
          <w:rFonts w:hint="eastAsia"/>
          <w:color w:val="000000"/>
          <w:lang w:val="en-US" w:eastAsia="zh-CN"/>
        </w:rPr>
        <w:t>六</w:t>
      </w:r>
      <w:r>
        <w:rPr>
          <w:rFonts w:hint="eastAsia"/>
          <w:color w:val="000000"/>
        </w:rPr>
        <w:t>是对闲置和低效利用的商业办公、工业厂房等非住宅经批准改建；</w:t>
      </w:r>
    </w:p>
    <w:p>
      <w:pPr>
        <w:rPr>
          <w:rFonts w:hint="eastAsia"/>
          <w:color w:val="000000"/>
          <w:lang w:eastAsia="zh-CN"/>
        </w:rPr>
      </w:pPr>
      <w:r>
        <w:rPr>
          <w:rFonts w:hint="eastAsia"/>
          <w:color w:val="000000"/>
          <w:lang w:val="en-US" w:eastAsia="zh-CN"/>
        </w:rPr>
        <w:t>七</w:t>
      </w:r>
      <w:r>
        <w:rPr>
          <w:rFonts w:hint="eastAsia"/>
          <w:color w:val="000000"/>
        </w:rPr>
        <w:t>是利用政府闲置的住房改造</w:t>
      </w:r>
      <w:r>
        <w:rPr>
          <w:rFonts w:hint="eastAsia"/>
          <w:color w:val="000000"/>
          <w:lang w:eastAsia="zh-CN"/>
        </w:rPr>
        <w:t>；</w:t>
      </w:r>
    </w:p>
    <w:p>
      <w:pPr>
        <w:rPr>
          <w:rFonts w:hint="default"/>
          <w:color w:val="000000"/>
          <w:lang w:val="en-US" w:eastAsia="zh-CN"/>
        </w:rPr>
      </w:pPr>
      <w:r>
        <w:rPr>
          <w:rFonts w:hint="eastAsia"/>
          <w:color w:val="000000"/>
          <w:lang w:val="en-US" w:eastAsia="zh-CN"/>
        </w:rPr>
        <w:t>八是利用闲置的直管公房改造。</w:t>
      </w:r>
    </w:p>
    <w:p>
      <w:pPr>
        <w:pStyle w:val="3"/>
        <w:pageBreakBefore w:val="0"/>
        <w:widowControl w:val="0"/>
        <w:kinsoku/>
        <w:wordWrap/>
        <w:overflowPunct/>
        <w:topLinePunct w:val="0"/>
        <w:autoSpaceDE/>
        <w:autoSpaceDN/>
        <w:bidi w:val="0"/>
        <w:adjustRightInd/>
        <w:snapToGrid/>
        <w:spacing w:before="0" w:line="560" w:lineRule="exact"/>
        <w:ind w:right="0" w:firstLine="643" w:firstLineChars="200"/>
        <w:textAlignment w:val="auto"/>
        <w:rPr>
          <w:color w:val="000000"/>
        </w:rPr>
      </w:pPr>
      <w:r>
        <w:rPr>
          <w:rFonts w:hint="eastAsia"/>
          <w:color w:val="000000"/>
        </w:rPr>
        <w:t>（二）建设标准</w:t>
      </w:r>
    </w:p>
    <w:p>
      <w:pPr>
        <w:pageBreakBefore w:val="0"/>
        <w:widowControl w:val="0"/>
        <w:kinsoku/>
        <w:wordWrap/>
        <w:overflowPunct/>
        <w:topLinePunct w:val="0"/>
        <w:autoSpaceDE/>
        <w:autoSpaceDN/>
        <w:bidi w:val="0"/>
        <w:adjustRightInd/>
        <w:snapToGrid/>
        <w:spacing w:before="0" w:line="560" w:lineRule="exact"/>
        <w:ind w:right="0" w:firstLine="64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保障性租赁住房以建筑面积不超过70平方米的小户型为主，</w:t>
      </w:r>
      <w:r>
        <w:rPr>
          <w:rFonts w:hint="eastAsia" w:ascii="仿宋_GB2312" w:hAnsi="仿宋_GB2312" w:eastAsia="仿宋_GB2312" w:cs="仿宋_GB2312"/>
          <w:color w:val="000000"/>
          <w:lang w:val="en-US" w:eastAsia="zh-CN"/>
        </w:rPr>
        <w:t>最高不超过90平方米，70平方米（不含）至90平方米的户型面积不超过保障性住房总规模的15%。</w:t>
      </w:r>
      <w:r>
        <w:rPr>
          <w:rFonts w:hint="eastAsia" w:ascii="仿宋_GB2312" w:hAnsi="仿宋_GB2312" w:eastAsia="仿宋_GB2312" w:cs="仿宋_GB2312"/>
          <w:color w:val="000000"/>
        </w:rPr>
        <w:t>其中园区配建的宿舍型保障性租赁住房的人均居住面积不超过30平方米。</w:t>
      </w:r>
      <w:r>
        <w:rPr>
          <w:rFonts w:hint="eastAsia" w:ascii="仿宋_GB2312" w:hAnsi="仿宋_GB2312" w:eastAsia="仿宋_GB2312" w:cs="仿宋_GB2312"/>
          <w:color w:val="000000"/>
          <w:lang w:val="en-US" w:eastAsia="zh-CN"/>
        </w:rPr>
        <w:t>应提供简约、环保的基本装修，具备入住条件</w:t>
      </w:r>
      <w:r>
        <w:rPr>
          <w:rFonts w:hint="eastAsia" w:ascii="仿宋_GB2312" w:hAnsi="仿宋_GB2312" w:eastAsia="仿宋_GB2312" w:cs="仿宋_GB2312"/>
          <w:color w:val="000000"/>
        </w:rPr>
        <w:t>。</w:t>
      </w:r>
    </w:p>
    <w:p>
      <w:pPr>
        <w:pStyle w:val="3"/>
        <w:pageBreakBefore w:val="0"/>
        <w:widowControl w:val="0"/>
        <w:kinsoku/>
        <w:wordWrap/>
        <w:overflowPunct/>
        <w:topLinePunct w:val="0"/>
        <w:autoSpaceDE/>
        <w:autoSpaceDN/>
        <w:bidi w:val="0"/>
        <w:adjustRightInd/>
        <w:snapToGrid/>
        <w:spacing w:before="0" w:line="560" w:lineRule="exact"/>
        <w:ind w:right="0" w:firstLine="643" w:firstLineChars="200"/>
        <w:textAlignment w:val="auto"/>
        <w:rPr>
          <w:color w:val="000000"/>
        </w:rPr>
      </w:pPr>
      <w:r>
        <w:rPr>
          <w:rFonts w:hint="eastAsia"/>
          <w:color w:val="000000"/>
        </w:rPr>
        <w:t>（三）配租对象</w:t>
      </w:r>
    </w:p>
    <w:p>
      <w:pPr>
        <w:pageBreakBefore w:val="0"/>
        <w:widowControl w:val="0"/>
        <w:kinsoku/>
        <w:wordWrap/>
        <w:overflowPunct/>
        <w:topLinePunct w:val="0"/>
        <w:autoSpaceDE/>
        <w:autoSpaceDN/>
        <w:bidi w:val="0"/>
        <w:adjustRightInd/>
        <w:snapToGrid/>
        <w:spacing w:before="0" w:line="560" w:lineRule="exact"/>
        <w:ind w:right="0" w:firstLine="64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保障性租赁住房</w:t>
      </w:r>
      <w:r>
        <w:rPr>
          <w:rFonts w:hint="eastAsia" w:ascii="仿宋_GB2312" w:hAnsi="仿宋_GB2312" w:eastAsia="仿宋_GB2312" w:cs="仿宋_GB2312"/>
          <w:color w:val="000000"/>
          <w:lang w:val="en-US" w:eastAsia="zh-CN"/>
        </w:rPr>
        <w:t>不设收入线门槛，</w:t>
      </w:r>
      <w:r>
        <w:rPr>
          <w:rFonts w:hint="eastAsia" w:ascii="仿宋_GB2312" w:hAnsi="仿宋_GB2312" w:eastAsia="仿宋_GB2312" w:cs="仿宋_GB2312"/>
          <w:color w:val="000000"/>
        </w:rPr>
        <w:t>主要面向本</w:t>
      </w:r>
      <w:r>
        <w:rPr>
          <w:rFonts w:hint="eastAsia" w:ascii="仿宋_GB2312" w:hAnsi="仿宋_GB2312" w:eastAsia="仿宋_GB2312" w:cs="仿宋_GB2312"/>
          <w:color w:val="000000"/>
          <w:lang w:val="en-US" w:eastAsia="zh-CN"/>
        </w:rPr>
        <w:t>县</w:t>
      </w:r>
      <w:r>
        <w:rPr>
          <w:rFonts w:hint="eastAsia" w:ascii="仿宋_GB2312" w:hAnsi="仿宋_GB2312" w:eastAsia="仿宋_GB2312" w:cs="仿宋_GB2312"/>
          <w:color w:val="000000"/>
        </w:rPr>
        <w:t>城镇无房常住人口供应，</w:t>
      </w:r>
      <w:r>
        <w:rPr>
          <w:rFonts w:hint="eastAsia" w:ascii="仿宋_GB2312" w:hAnsi="仿宋_GB2312" w:eastAsia="仿宋_GB2312" w:cs="仿宋_GB2312"/>
          <w:color w:val="000000"/>
          <w:lang w:val="en-US" w:eastAsia="zh-CN"/>
        </w:rPr>
        <w:t>配租对象主要为以下人群：</w:t>
      </w:r>
    </w:p>
    <w:p>
      <w:pPr>
        <w:pageBreakBefore w:val="0"/>
        <w:widowControl w:val="0"/>
        <w:numPr>
          <w:ilvl w:val="0"/>
          <w:numId w:val="1"/>
        </w:numPr>
        <w:kinsoku/>
        <w:wordWrap/>
        <w:overflowPunct/>
        <w:topLinePunct w:val="0"/>
        <w:autoSpaceDE/>
        <w:autoSpaceDN/>
        <w:bidi w:val="0"/>
        <w:adjustRightInd/>
        <w:snapToGrid/>
        <w:spacing w:before="0" w:line="560" w:lineRule="exact"/>
        <w:ind w:right="0" w:firstLine="64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lang w:val="en-US" w:eastAsia="zh-CN"/>
        </w:rPr>
        <w:t>新市民：</w:t>
      </w:r>
      <w:r>
        <w:rPr>
          <w:rFonts w:hint="eastAsia" w:ascii="仿宋_GB2312" w:hAnsi="仿宋_GB2312" w:eastAsia="仿宋_GB2312" w:cs="仿宋_GB2312"/>
          <w:color w:val="000000"/>
        </w:rPr>
        <w:t>进城务工人员</w:t>
      </w:r>
      <w:r>
        <w:rPr>
          <w:rFonts w:hint="eastAsia" w:ascii="仿宋_GB2312" w:hAnsi="仿宋_GB2312" w:eastAsia="仿宋_GB2312" w:cs="仿宋_GB2312"/>
          <w:color w:val="000000"/>
          <w:lang w:val="en-US" w:eastAsia="zh-CN"/>
        </w:rPr>
        <w:t>等</w:t>
      </w:r>
      <w:r>
        <w:rPr>
          <w:rFonts w:hint="eastAsia" w:ascii="仿宋_GB2312" w:hAnsi="仿宋_GB2312" w:eastAsia="仿宋_GB2312" w:cs="仿宋_GB2312"/>
          <w:color w:val="000000"/>
          <w:lang w:eastAsia="zh-CN"/>
        </w:rPr>
        <w:t>；</w:t>
      </w:r>
    </w:p>
    <w:p>
      <w:pPr>
        <w:pageBreakBefore w:val="0"/>
        <w:widowControl w:val="0"/>
        <w:numPr>
          <w:ilvl w:val="0"/>
          <w:numId w:val="1"/>
        </w:numPr>
        <w:kinsoku/>
        <w:wordWrap/>
        <w:overflowPunct/>
        <w:topLinePunct w:val="0"/>
        <w:autoSpaceDE/>
        <w:autoSpaceDN/>
        <w:bidi w:val="0"/>
        <w:adjustRightInd/>
        <w:snapToGrid/>
        <w:spacing w:before="0" w:line="560" w:lineRule="exact"/>
        <w:ind w:right="0" w:firstLine="640" w:firstLineChars="200"/>
        <w:textAlignment w:val="auto"/>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青年人：</w:t>
      </w:r>
      <w:r>
        <w:rPr>
          <w:rFonts w:hint="eastAsia" w:ascii="仿宋_GB2312" w:hAnsi="仿宋_GB2312" w:eastAsia="仿宋_GB2312" w:cs="仿宋_GB2312"/>
          <w:color w:val="000000"/>
        </w:rPr>
        <w:t>新就业大学生</w:t>
      </w:r>
      <w:r>
        <w:rPr>
          <w:rFonts w:hint="eastAsia" w:ascii="仿宋_GB2312" w:hAnsi="仿宋_GB2312" w:eastAsia="仿宋_GB2312" w:cs="仿宋_GB2312"/>
          <w:color w:val="000000"/>
          <w:lang w:val="en-US" w:eastAsia="zh-CN"/>
        </w:rPr>
        <w:t>等；</w:t>
      </w:r>
    </w:p>
    <w:p>
      <w:pPr>
        <w:pageBreakBefore w:val="0"/>
        <w:widowControl w:val="0"/>
        <w:numPr>
          <w:ilvl w:val="0"/>
          <w:numId w:val="1"/>
        </w:numPr>
        <w:kinsoku/>
        <w:wordWrap/>
        <w:overflowPunct/>
        <w:topLinePunct w:val="0"/>
        <w:autoSpaceDE/>
        <w:autoSpaceDN/>
        <w:bidi w:val="0"/>
        <w:adjustRightInd/>
        <w:snapToGrid/>
        <w:spacing w:before="0" w:line="560" w:lineRule="exact"/>
        <w:ind w:right="0" w:firstLine="640" w:firstLineChars="200"/>
        <w:textAlignment w:val="auto"/>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rPr>
        <w:t>符合公租房准入条件的中低收入住房困难家庭</w:t>
      </w:r>
    </w:p>
    <w:p>
      <w:pPr>
        <w:pStyle w:val="3"/>
        <w:pageBreakBefore w:val="0"/>
        <w:widowControl w:val="0"/>
        <w:kinsoku/>
        <w:wordWrap/>
        <w:overflowPunct/>
        <w:topLinePunct w:val="0"/>
        <w:autoSpaceDE/>
        <w:autoSpaceDN/>
        <w:bidi w:val="0"/>
        <w:adjustRightInd/>
        <w:snapToGrid/>
        <w:spacing w:before="0" w:line="560" w:lineRule="exact"/>
        <w:ind w:right="0" w:firstLine="643" w:firstLineChars="200"/>
        <w:textAlignment w:val="auto"/>
        <w:rPr>
          <w:color w:val="000000"/>
        </w:rPr>
      </w:pPr>
      <w:r>
        <w:rPr>
          <w:rFonts w:hint="eastAsia"/>
          <w:color w:val="000000"/>
        </w:rPr>
        <w:t>（四）租金价格</w:t>
      </w:r>
    </w:p>
    <w:p>
      <w:pPr>
        <w:pageBreakBefore w:val="0"/>
        <w:widowControl w:val="0"/>
        <w:kinsoku/>
        <w:wordWrap/>
        <w:overflowPunct/>
        <w:topLinePunct w:val="0"/>
        <w:autoSpaceDE/>
        <w:autoSpaceDN/>
        <w:bidi w:val="0"/>
        <w:adjustRightInd/>
        <w:snapToGrid/>
        <w:spacing w:before="0" w:line="560" w:lineRule="exact"/>
        <w:ind w:right="0" w:firstLine="64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租金价格统筹考虑市场租金水平、供应对象支付能力、维修管理成本、建设投资回收、房屋类别及所处地段等因素确定，租金价格按照同区域市场平均租金给予一定的优惠，</w:t>
      </w:r>
      <w:r>
        <w:rPr>
          <w:rFonts w:hint="eastAsia" w:ascii="仿宋_GB2312" w:hAnsi="仿宋_GB2312" w:eastAsia="仿宋_GB2312" w:cs="仿宋_GB2312"/>
          <w:color w:val="000000"/>
          <w:lang w:val="en-US" w:eastAsia="zh-CN"/>
        </w:rPr>
        <w:t>租金低于同地段同品质市场租赁住房租金</w:t>
      </w:r>
      <w:r>
        <w:rPr>
          <w:rFonts w:hint="eastAsia" w:ascii="仿宋_GB2312" w:hAnsi="仿宋_GB2312" w:eastAsia="仿宋_GB2312" w:cs="仿宋_GB2312"/>
          <w:color w:val="000000"/>
        </w:rPr>
        <w:t>。租金价格由产权人报</w:t>
      </w:r>
      <w:r>
        <w:rPr>
          <w:rFonts w:hint="eastAsia" w:ascii="仿宋_GB2312" w:hAnsi="仿宋_GB2312" w:eastAsia="仿宋_GB2312" w:cs="仿宋_GB2312"/>
          <w:color w:val="000000"/>
          <w:lang w:val="en-US" w:eastAsia="zh-CN"/>
        </w:rPr>
        <w:t>县</w:t>
      </w:r>
      <w:r>
        <w:rPr>
          <w:rFonts w:hint="eastAsia" w:ascii="仿宋_GB2312" w:hAnsi="仿宋_GB2312" w:eastAsia="仿宋_GB2312" w:cs="仿宋_GB2312"/>
          <w:color w:val="000000"/>
        </w:rPr>
        <w:t>住房和城乡建设局和</w:t>
      </w:r>
      <w:r>
        <w:rPr>
          <w:rFonts w:hint="eastAsia" w:ascii="仿宋_GB2312" w:hAnsi="仿宋_GB2312" w:eastAsia="仿宋_GB2312" w:cs="仿宋_GB2312"/>
          <w:color w:val="000000"/>
          <w:lang w:val="en-US" w:eastAsia="zh-CN"/>
        </w:rPr>
        <w:t>县</w:t>
      </w:r>
      <w:r>
        <w:rPr>
          <w:rFonts w:hint="eastAsia" w:ascii="仿宋_GB2312" w:hAnsi="仿宋_GB2312" w:eastAsia="仿宋_GB2312" w:cs="仿宋_GB2312"/>
          <w:color w:val="000000"/>
        </w:rPr>
        <w:t>发展改革委备案后实施，并实行动态调整，原则上每两年调整一次，并向社会公布。市场平均租金水平，每年由</w:t>
      </w:r>
      <w:r>
        <w:rPr>
          <w:rFonts w:hint="eastAsia" w:ascii="仿宋_GB2312" w:hAnsi="仿宋_GB2312" w:eastAsia="仿宋_GB2312" w:cs="仿宋_GB2312"/>
          <w:color w:val="000000"/>
          <w:lang w:val="en-US" w:eastAsia="zh-CN"/>
        </w:rPr>
        <w:t>县</w:t>
      </w:r>
      <w:r>
        <w:rPr>
          <w:rFonts w:hint="eastAsia" w:ascii="仿宋_GB2312" w:hAnsi="仿宋_GB2312" w:eastAsia="仿宋_GB2312" w:cs="仿宋_GB2312"/>
          <w:color w:val="000000"/>
        </w:rPr>
        <w:t>住房和城乡建设局委托第三方经市场调查和综合测算后发布。</w:t>
      </w:r>
    </w:p>
    <w:p>
      <w:pPr>
        <w:pStyle w:val="3"/>
        <w:pageBreakBefore w:val="0"/>
        <w:widowControl w:val="0"/>
        <w:kinsoku/>
        <w:wordWrap/>
        <w:overflowPunct/>
        <w:topLinePunct w:val="0"/>
        <w:autoSpaceDE/>
        <w:autoSpaceDN/>
        <w:bidi w:val="0"/>
        <w:adjustRightInd/>
        <w:snapToGrid/>
        <w:spacing w:before="0" w:line="560" w:lineRule="exact"/>
        <w:ind w:right="0" w:firstLine="643" w:firstLineChars="200"/>
        <w:textAlignment w:val="auto"/>
        <w:rPr>
          <w:color w:val="000000"/>
        </w:rPr>
      </w:pPr>
      <w:r>
        <w:rPr>
          <w:rFonts w:hint="eastAsia"/>
          <w:color w:val="000000"/>
        </w:rPr>
        <w:t>（五）运营管理</w:t>
      </w:r>
    </w:p>
    <w:p>
      <w:pPr>
        <w:pageBreakBefore w:val="0"/>
        <w:widowControl w:val="0"/>
        <w:kinsoku/>
        <w:wordWrap/>
        <w:overflowPunct/>
        <w:topLinePunct w:val="0"/>
        <w:autoSpaceDE/>
        <w:autoSpaceDN/>
        <w:bidi w:val="0"/>
        <w:adjustRightInd/>
        <w:snapToGrid/>
        <w:spacing w:before="0" w:line="560" w:lineRule="exact"/>
        <w:ind w:right="0" w:firstLine="64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保障性租赁住房应整体确权，仅限租赁或整体转让，不得分拆转让、抵押或销售。保障性租赁住房按照谁投资、谁运营的原则，由产权人或其委托的企事业单位（机构）运营管理。保障性租赁住房不得上市销售或变相销售，严禁以保障性租赁住房为名违规经营或骗取优惠政策。运营主体应将持有房源纳入政府住房租赁管理服务平台管理，并进行租赁合同网签备案。</w:t>
      </w:r>
    </w:p>
    <w:p>
      <w:pPr>
        <w:pStyle w:val="2"/>
        <w:pageBreakBefore w:val="0"/>
        <w:widowControl w:val="0"/>
        <w:kinsoku/>
        <w:wordWrap/>
        <w:overflowPunct/>
        <w:topLinePunct w:val="0"/>
        <w:autoSpaceDE/>
        <w:autoSpaceDN/>
        <w:bidi w:val="0"/>
        <w:adjustRightInd/>
        <w:snapToGrid/>
        <w:spacing w:before="0" w:line="560" w:lineRule="exact"/>
        <w:ind w:right="0" w:firstLine="640" w:firstLineChars="200"/>
        <w:textAlignment w:val="auto"/>
        <w:rPr>
          <w:rFonts w:cs="仿宋"/>
          <w:b w:val="0"/>
          <w:bCs w:val="0"/>
          <w:color w:val="000000"/>
        </w:rPr>
      </w:pPr>
      <w:r>
        <w:rPr>
          <w:rFonts w:hint="eastAsia"/>
          <w:b w:val="0"/>
          <w:bCs w:val="0"/>
          <w:color w:val="000000"/>
        </w:rPr>
        <w:t>三、规范申请流程和使用管理</w:t>
      </w:r>
    </w:p>
    <w:p>
      <w:pPr>
        <w:pStyle w:val="3"/>
        <w:pageBreakBefore w:val="0"/>
        <w:widowControl w:val="0"/>
        <w:kinsoku/>
        <w:wordWrap/>
        <w:overflowPunct/>
        <w:topLinePunct w:val="0"/>
        <w:autoSpaceDE/>
        <w:autoSpaceDN/>
        <w:bidi w:val="0"/>
        <w:adjustRightInd/>
        <w:snapToGrid/>
        <w:spacing w:before="0" w:line="560" w:lineRule="exact"/>
        <w:ind w:right="0" w:firstLine="643" w:firstLineChars="200"/>
        <w:textAlignment w:val="auto"/>
        <w:rPr>
          <w:color w:val="000000"/>
        </w:rPr>
      </w:pPr>
      <w:r>
        <w:rPr>
          <w:rFonts w:hint="eastAsia"/>
          <w:color w:val="000000"/>
        </w:rPr>
        <w:t>（一）申请</w:t>
      </w:r>
    </w:p>
    <w:p>
      <w:pPr>
        <w:pageBreakBefore w:val="0"/>
        <w:widowControl w:val="0"/>
        <w:kinsoku/>
        <w:wordWrap/>
        <w:overflowPunct/>
        <w:topLinePunct w:val="0"/>
        <w:autoSpaceDE/>
        <w:autoSpaceDN/>
        <w:bidi w:val="0"/>
        <w:adjustRightInd/>
        <w:snapToGrid/>
        <w:spacing w:before="0" w:line="560" w:lineRule="exact"/>
        <w:ind w:right="0" w:firstLine="64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lang w:val="en-US" w:eastAsia="zh-CN"/>
        </w:rPr>
        <w:t>1、</w:t>
      </w:r>
      <w:r>
        <w:rPr>
          <w:rFonts w:hint="eastAsia" w:ascii="仿宋_GB2312" w:hAnsi="仿宋_GB2312" w:eastAsia="仿宋_GB2312" w:cs="仿宋_GB2312"/>
          <w:color w:val="000000"/>
        </w:rPr>
        <w:t>保障性租赁住房的申请条件，由</w:t>
      </w:r>
      <w:r>
        <w:rPr>
          <w:rFonts w:hint="eastAsia" w:ascii="仿宋_GB2312" w:hAnsi="仿宋_GB2312" w:eastAsia="仿宋_GB2312" w:cs="仿宋_GB2312"/>
          <w:color w:val="000000"/>
          <w:lang w:val="en-US" w:eastAsia="zh-CN"/>
        </w:rPr>
        <w:t>县</w:t>
      </w:r>
      <w:r>
        <w:rPr>
          <w:rFonts w:hint="eastAsia" w:ascii="仿宋_GB2312" w:hAnsi="仿宋_GB2312" w:eastAsia="仿宋_GB2312" w:cs="仿宋_GB2312"/>
          <w:color w:val="000000"/>
        </w:rPr>
        <w:t>住房保障管理部门会同人力资源和社会保障等部门提出，报同级人民政府确定后组织实施。</w:t>
      </w:r>
    </w:p>
    <w:p>
      <w:pPr>
        <w:pageBreakBefore w:val="0"/>
        <w:widowControl w:val="0"/>
        <w:kinsoku/>
        <w:wordWrap/>
        <w:overflowPunct/>
        <w:topLinePunct w:val="0"/>
        <w:autoSpaceDE/>
        <w:autoSpaceDN/>
        <w:bidi w:val="0"/>
        <w:adjustRightInd/>
        <w:snapToGrid/>
        <w:spacing w:before="0" w:line="560" w:lineRule="exact"/>
        <w:ind w:right="0" w:firstLine="640" w:firstLineChars="200"/>
        <w:textAlignment w:val="auto"/>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val="en-US" w:eastAsia="zh-CN"/>
        </w:rPr>
        <w:t>2、</w:t>
      </w:r>
      <w:r>
        <w:rPr>
          <w:rFonts w:hint="eastAsia" w:ascii="仿宋_GB2312" w:hAnsi="仿宋_GB2312" w:eastAsia="仿宋_GB2312" w:cs="仿宋_GB2312"/>
          <w:color w:val="000000"/>
        </w:rPr>
        <w:t>符合条件的人员向产权人（或运营单位）提报申请</w:t>
      </w:r>
      <w:r>
        <w:rPr>
          <w:rFonts w:hint="eastAsia" w:ascii="仿宋_GB2312" w:hAnsi="仿宋_GB2312" w:eastAsia="仿宋_GB2312" w:cs="仿宋_GB2312"/>
          <w:color w:val="000000"/>
          <w:lang w:eastAsia="zh-CN"/>
        </w:rPr>
        <w:t>。</w:t>
      </w:r>
    </w:p>
    <w:p>
      <w:pPr>
        <w:pageBreakBefore w:val="0"/>
        <w:widowControl w:val="0"/>
        <w:kinsoku/>
        <w:wordWrap/>
        <w:overflowPunct/>
        <w:topLinePunct w:val="0"/>
        <w:autoSpaceDE/>
        <w:autoSpaceDN/>
        <w:bidi w:val="0"/>
        <w:adjustRightInd/>
        <w:snapToGrid/>
        <w:spacing w:before="0" w:line="560" w:lineRule="exact"/>
        <w:ind w:right="0" w:firstLine="64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lang w:val="en-US" w:eastAsia="zh-CN"/>
        </w:rPr>
        <w:t>3、</w:t>
      </w:r>
      <w:r>
        <w:rPr>
          <w:rFonts w:hint="eastAsia" w:ascii="仿宋_GB2312" w:hAnsi="仿宋_GB2312" w:eastAsia="仿宋_GB2312" w:cs="仿宋_GB2312"/>
          <w:color w:val="000000"/>
        </w:rPr>
        <w:t>推行申请人承诺书制度，申请人对其提供的住房、收入、财产等信息的真实性负责。</w:t>
      </w:r>
    </w:p>
    <w:p>
      <w:pPr>
        <w:pStyle w:val="3"/>
        <w:pageBreakBefore w:val="0"/>
        <w:widowControl w:val="0"/>
        <w:kinsoku/>
        <w:wordWrap/>
        <w:overflowPunct/>
        <w:topLinePunct w:val="0"/>
        <w:autoSpaceDE/>
        <w:autoSpaceDN/>
        <w:bidi w:val="0"/>
        <w:adjustRightInd/>
        <w:snapToGrid/>
        <w:spacing w:before="0" w:line="560" w:lineRule="exact"/>
        <w:ind w:right="0" w:firstLine="643" w:firstLineChars="200"/>
        <w:textAlignment w:val="auto"/>
        <w:rPr>
          <w:color w:val="000000"/>
        </w:rPr>
      </w:pPr>
      <w:r>
        <w:rPr>
          <w:rFonts w:hint="eastAsia"/>
          <w:color w:val="000000"/>
        </w:rPr>
        <w:t>（二）房源分配</w:t>
      </w:r>
    </w:p>
    <w:p>
      <w:pPr>
        <w:pageBreakBefore w:val="0"/>
        <w:widowControl w:val="0"/>
        <w:kinsoku/>
        <w:wordWrap/>
        <w:overflowPunct/>
        <w:topLinePunct w:val="0"/>
        <w:autoSpaceDE/>
        <w:autoSpaceDN/>
        <w:bidi w:val="0"/>
        <w:adjustRightInd/>
        <w:snapToGrid/>
        <w:spacing w:before="0" w:line="560" w:lineRule="exact"/>
        <w:ind w:right="0" w:firstLine="64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保障性租赁住房</w:t>
      </w:r>
      <w:r>
        <w:rPr>
          <w:rFonts w:hint="eastAsia" w:ascii="仿宋_GB2312" w:hAnsi="仿宋_GB2312" w:eastAsia="仿宋_GB2312" w:cs="仿宋_GB2312"/>
          <w:color w:val="000000"/>
          <w:lang w:val="en-US" w:eastAsia="zh-CN"/>
        </w:rPr>
        <w:t>的房源要全部录入县住房租赁管理服务平台，</w:t>
      </w:r>
      <w:r>
        <w:rPr>
          <w:rFonts w:hint="eastAsia" w:ascii="仿宋_GB2312" w:hAnsi="仿宋_GB2312" w:eastAsia="仿宋_GB2312" w:cs="仿宋_GB2312"/>
          <w:color w:val="000000"/>
        </w:rPr>
        <w:t>保障性租赁住房的分配，由产权人（或运营单位）拟定分配方案，对符合条件的申请人进行分配，确定分配方案和名单（房号）后，报</w:t>
      </w:r>
      <w:r>
        <w:rPr>
          <w:rFonts w:hint="eastAsia" w:ascii="仿宋_GB2312" w:hAnsi="仿宋_GB2312" w:eastAsia="仿宋_GB2312" w:cs="仿宋_GB2312"/>
          <w:color w:val="000000"/>
          <w:lang w:val="en-US" w:eastAsia="zh-CN"/>
        </w:rPr>
        <w:t>县</w:t>
      </w:r>
      <w:r>
        <w:rPr>
          <w:rFonts w:hint="eastAsia" w:ascii="仿宋_GB2312" w:hAnsi="仿宋_GB2312" w:eastAsia="仿宋_GB2312" w:cs="仿宋_GB2312"/>
          <w:color w:val="000000"/>
        </w:rPr>
        <w:t>住房保障管理部门审核</w:t>
      </w:r>
      <w:r>
        <w:rPr>
          <w:rFonts w:hint="eastAsia" w:ascii="仿宋_GB2312" w:hAnsi="仿宋_GB2312" w:eastAsia="仿宋_GB2312" w:cs="仿宋_GB2312"/>
          <w:color w:val="000000"/>
          <w:lang w:val="en-US" w:eastAsia="zh-CN"/>
        </w:rPr>
        <w:t>同意</w:t>
      </w:r>
      <w:r>
        <w:rPr>
          <w:rFonts w:hint="eastAsia" w:ascii="仿宋_GB2312" w:hAnsi="仿宋_GB2312" w:eastAsia="仿宋_GB2312" w:cs="仿宋_GB2312"/>
          <w:color w:val="000000"/>
        </w:rPr>
        <w:t>后组织实施。</w:t>
      </w:r>
    </w:p>
    <w:p>
      <w:pPr>
        <w:pStyle w:val="3"/>
        <w:pageBreakBefore w:val="0"/>
        <w:widowControl w:val="0"/>
        <w:kinsoku/>
        <w:wordWrap/>
        <w:overflowPunct/>
        <w:topLinePunct w:val="0"/>
        <w:autoSpaceDE/>
        <w:autoSpaceDN/>
        <w:bidi w:val="0"/>
        <w:adjustRightInd/>
        <w:snapToGrid/>
        <w:spacing w:before="0" w:line="560" w:lineRule="exact"/>
        <w:ind w:right="0" w:firstLine="643" w:firstLineChars="200"/>
        <w:textAlignment w:val="auto"/>
        <w:rPr>
          <w:color w:val="000000"/>
        </w:rPr>
      </w:pPr>
      <w:r>
        <w:rPr>
          <w:rFonts w:hint="eastAsia"/>
          <w:color w:val="000000"/>
        </w:rPr>
        <w:t>（三）签订合同</w:t>
      </w:r>
    </w:p>
    <w:p>
      <w:pPr>
        <w:pageBreakBefore w:val="0"/>
        <w:widowControl w:val="0"/>
        <w:kinsoku/>
        <w:wordWrap/>
        <w:overflowPunct/>
        <w:topLinePunct w:val="0"/>
        <w:autoSpaceDE/>
        <w:autoSpaceDN/>
        <w:bidi w:val="0"/>
        <w:adjustRightInd/>
        <w:snapToGrid/>
        <w:spacing w:before="0" w:line="560" w:lineRule="exact"/>
        <w:ind w:right="0" w:firstLine="640" w:firstLineChars="200"/>
        <w:textAlignment w:val="auto"/>
        <w:rPr>
          <w:rFonts w:ascii="仿宋_GB2312" w:hAnsi="仿宋_GB2312" w:eastAsia="仿宋_GB2312" w:cs="仿宋_GB2312"/>
          <w:color w:val="000000"/>
        </w:rPr>
      </w:pPr>
      <w:r>
        <w:rPr>
          <w:rFonts w:hint="eastAsia" w:ascii="仿宋_GB2312" w:hAnsi="仿宋_GB2312" w:eastAsia="仿宋_GB2312" w:cs="仿宋_GB2312"/>
          <w:color w:val="000000"/>
        </w:rPr>
        <w:t>产权人（或运营单位）与入围人员签订租赁合同，租赁合同一年一签。承租人不再符合保障条件时，合同期满后不再续签。分配结束后,要</w:t>
      </w:r>
      <w:r>
        <w:rPr>
          <w:rFonts w:ascii="仿宋_GB2312" w:hAnsi="仿宋_GB2312" w:eastAsia="仿宋_GB2312" w:cs="仿宋_GB2312"/>
          <w:color w:val="000000"/>
        </w:rPr>
        <w:t>将合同签订情况</w:t>
      </w:r>
      <w:r>
        <w:rPr>
          <w:rFonts w:hint="eastAsia" w:ascii="仿宋_GB2312" w:hAnsi="仿宋_GB2312" w:eastAsia="仿宋_GB2312" w:cs="仿宋_GB2312"/>
          <w:color w:val="000000"/>
          <w:lang w:val="en-US" w:eastAsia="zh-CN"/>
        </w:rPr>
        <w:t>报县</w:t>
      </w:r>
      <w:r>
        <w:rPr>
          <w:rFonts w:ascii="仿宋_GB2312" w:hAnsi="仿宋_GB2312" w:eastAsia="仿宋_GB2312" w:cs="仿宋_GB2312"/>
          <w:color w:val="000000"/>
        </w:rPr>
        <w:t>住房</w:t>
      </w:r>
      <w:r>
        <w:rPr>
          <w:rFonts w:hint="eastAsia" w:ascii="仿宋_GB2312" w:hAnsi="仿宋_GB2312" w:eastAsia="仿宋_GB2312" w:cs="仿宋_GB2312"/>
          <w:color w:val="000000"/>
        </w:rPr>
        <w:t>保障管理部门</w:t>
      </w:r>
      <w:r>
        <w:rPr>
          <w:rFonts w:ascii="仿宋_GB2312" w:hAnsi="仿宋_GB2312" w:eastAsia="仿宋_GB2312" w:cs="仿宋_GB2312"/>
          <w:color w:val="000000"/>
        </w:rPr>
        <w:t>备案,</w:t>
      </w:r>
      <w:r>
        <w:rPr>
          <w:rFonts w:hint="eastAsia" w:ascii="仿宋_GB2312" w:hAnsi="仿宋_GB2312" w:eastAsia="仿宋_GB2312" w:cs="仿宋_GB2312"/>
          <w:color w:val="000000"/>
          <w:lang w:val="en-US" w:eastAsia="zh-CN"/>
        </w:rPr>
        <w:t>并全部</w:t>
      </w:r>
      <w:r>
        <w:rPr>
          <w:rFonts w:ascii="仿宋_GB2312" w:hAnsi="仿宋_GB2312" w:eastAsia="仿宋_GB2312" w:cs="仿宋_GB2312"/>
          <w:color w:val="000000"/>
        </w:rPr>
        <w:t>录入</w:t>
      </w:r>
      <w:r>
        <w:rPr>
          <w:rFonts w:hint="eastAsia" w:ascii="仿宋_GB2312" w:hAnsi="仿宋_GB2312" w:eastAsia="仿宋_GB2312" w:cs="仿宋_GB2312"/>
          <w:color w:val="000000"/>
        </w:rPr>
        <w:t>住房租赁管理服务平台</w:t>
      </w:r>
      <w:r>
        <w:rPr>
          <w:rFonts w:ascii="仿宋_GB2312" w:hAnsi="仿宋_GB2312" w:eastAsia="仿宋_GB2312" w:cs="仿宋_GB2312"/>
          <w:color w:val="000000"/>
        </w:rPr>
        <w:t>。</w:t>
      </w:r>
    </w:p>
    <w:p>
      <w:pPr>
        <w:pStyle w:val="3"/>
        <w:pageBreakBefore w:val="0"/>
        <w:widowControl w:val="0"/>
        <w:kinsoku/>
        <w:wordWrap/>
        <w:overflowPunct/>
        <w:topLinePunct w:val="0"/>
        <w:autoSpaceDE/>
        <w:autoSpaceDN/>
        <w:bidi w:val="0"/>
        <w:adjustRightInd/>
        <w:snapToGrid/>
        <w:spacing w:before="0" w:line="560" w:lineRule="exact"/>
        <w:ind w:right="0" w:firstLine="643" w:firstLineChars="200"/>
        <w:textAlignment w:val="auto"/>
        <w:rPr>
          <w:color w:val="000000"/>
        </w:rPr>
      </w:pPr>
      <w:r>
        <w:rPr>
          <w:rFonts w:hint="eastAsia"/>
          <w:color w:val="000000"/>
        </w:rPr>
        <w:t>（四）使用管理</w:t>
      </w:r>
    </w:p>
    <w:p>
      <w:pPr>
        <w:pageBreakBefore w:val="0"/>
        <w:widowControl w:val="0"/>
        <w:kinsoku/>
        <w:wordWrap/>
        <w:overflowPunct/>
        <w:topLinePunct w:val="0"/>
        <w:autoSpaceDE/>
        <w:autoSpaceDN/>
        <w:bidi w:val="0"/>
        <w:adjustRightInd/>
        <w:snapToGrid/>
        <w:spacing w:before="0" w:line="560" w:lineRule="exact"/>
        <w:ind w:right="0" w:firstLine="640" w:firstLineChars="200"/>
        <w:textAlignment w:val="auto"/>
        <w:rPr>
          <w:rFonts w:ascii="仿宋_GB2312" w:hAnsi="仿宋_GB2312" w:eastAsia="仿宋_GB2312" w:cs="仿宋_GB2312"/>
          <w:color w:val="000000"/>
        </w:rPr>
      </w:pPr>
      <w:r>
        <w:rPr>
          <w:rFonts w:hint="eastAsia" w:ascii="仿宋_GB2312" w:hAnsi="仿宋_GB2312" w:eastAsia="仿宋_GB2312" w:cs="仿宋_GB2312"/>
          <w:color w:val="000000"/>
        </w:rPr>
        <w:t>定期检查使用情况，对违反规定将保障性租赁住房出售、转借、出租（转租）、闲置、改变用途且拒不整改的，按照合同约定，终止租赁合同收回租赁住房。对中介机构违规代理出售、出租保障性租赁住房的，应当依法给予处罚。保障性租赁住房的使用人要按有关规定和合同约定使用住房，不得擅自改变房屋结构，影响房屋质量安全和使用功能。</w:t>
      </w:r>
    </w:p>
    <w:p>
      <w:pPr>
        <w:pStyle w:val="2"/>
        <w:pageBreakBefore w:val="0"/>
        <w:widowControl w:val="0"/>
        <w:kinsoku/>
        <w:wordWrap/>
        <w:overflowPunct/>
        <w:topLinePunct w:val="0"/>
        <w:autoSpaceDE/>
        <w:autoSpaceDN/>
        <w:bidi w:val="0"/>
        <w:adjustRightInd/>
        <w:snapToGrid/>
        <w:spacing w:before="0" w:line="560" w:lineRule="exact"/>
        <w:ind w:right="0" w:firstLine="640" w:firstLineChars="200"/>
        <w:textAlignment w:val="auto"/>
        <w:rPr>
          <w:b w:val="0"/>
          <w:bCs w:val="0"/>
          <w:color w:val="000000"/>
        </w:rPr>
      </w:pPr>
      <w:r>
        <w:rPr>
          <w:rFonts w:hint="eastAsia"/>
          <w:b w:val="0"/>
          <w:bCs w:val="0"/>
          <w:color w:val="000000"/>
        </w:rPr>
        <w:t>四、落实相关配套支持措施</w:t>
      </w:r>
    </w:p>
    <w:p>
      <w:pPr>
        <w:pStyle w:val="3"/>
        <w:pageBreakBefore w:val="0"/>
        <w:widowControl w:val="0"/>
        <w:kinsoku/>
        <w:wordWrap/>
        <w:overflowPunct/>
        <w:topLinePunct w:val="0"/>
        <w:autoSpaceDE/>
        <w:autoSpaceDN/>
        <w:bidi w:val="0"/>
        <w:adjustRightInd/>
        <w:snapToGrid/>
        <w:spacing w:before="0" w:line="560" w:lineRule="exact"/>
        <w:ind w:right="0" w:firstLine="643" w:firstLineChars="200"/>
        <w:textAlignment w:val="auto"/>
        <w:rPr>
          <w:color w:val="000000"/>
        </w:rPr>
      </w:pPr>
      <w:r>
        <w:rPr>
          <w:rFonts w:hint="eastAsia"/>
          <w:color w:val="000000"/>
        </w:rPr>
        <w:t>（一）完善土地供应管理</w:t>
      </w:r>
    </w:p>
    <w:p>
      <w:pPr>
        <w:pageBreakBefore w:val="0"/>
        <w:widowControl w:val="0"/>
        <w:kinsoku/>
        <w:wordWrap/>
        <w:overflowPunct/>
        <w:topLinePunct w:val="0"/>
        <w:autoSpaceDE/>
        <w:autoSpaceDN/>
        <w:bidi w:val="0"/>
        <w:adjustRightInd/>
        <w:snapToGrid/>
        <w:spacing w:before="0" w:line="560" w:lineRule="exact"/>
        <w:ind w:right="0" w:firstLine="64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利用国有企业自有存量土地建设保障性租赁住房，经</w:t>
      </w:r>
      <w:r>
        <w:rPr>
          <w:rFonts w:hint="eastAsia" w:ascii="仿宋_GB2312" w:hAnsi="仿宋_GB2312" w:eastAsia="仿宋_GB2312" w:cs="仿宋_GB2312"/>
          <w:color w:val="000000"/>
          <w:lang w:val="en-US" w:eastAsia="zh-CN"/>
        </w:rPr>
        <w:t>县</w:t>
      </w:r>
      <w:r>
        <w:rPr>
          <w:rFonts w:hint="eastAsia" w:ascii="仿宋_GB2312" w:hAnsi="仿宋_GB2312" w:eastAsia="仿宋_GB2312" w:cs="仿宋_GB2312"/>
          <w:color w:val="000000"/>
        </w:rPr>
        <w:t>人民政府同意，变更土地用途，不补缴土地价款，原划拨的土地可继续保留划拨方式。</w:t>
      </w:r>
    </w:p>
    <w:p>
      <w:pPr>
        <w:pageBreakBefore w:val="0"/>
        <w:widowControl w:val="0"/>
        <w:kinsoku/>
        <w:wordWrap/>
        <w:overflowPunct/>
        <w:topLinePunct w:val="0"/>
        <w:autoSpaceDE/>
        <w:autoSpaceDN/>
        <w:bidi w:val="0"/>
        <w:adjustRightInd/>
        <w:snapToGrid/>
        <w:spacing w:before="0" w:line="560" w:lineRule="exact"/>
        <w:ind w:right="0" w:firstLine="64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新建保障性租赁住房项目，以保障性租赁住房项目立项。租赁住房用地通过划拨或出让的方式供应，并在建设用地计划中优先保障。土地出让金在扣除失地农民社保资金和应上缴中央、省级统筹部分等后由</w:t>
      </w:r>
      <w:r>
        <w:rPr>
          <w:rFonts w:hint="eastAsia" w:ascii="仿宋_GB2312" w:hAnsi="仿宋_GB2312" w:eastAsia="仿宋_GB2312" w:cs="仿宋_GB2312"/>
          <w:color w:val="000000"/>
          <w:lang w:val="en-US" w:eastAsia="zh-CN"/>
        </w:rPr>
        <w:t>县</w:t>
      </w:r>
      <w:r>
        <w:rPr>
          <w:rFonts w:hint="eastAsia" w:ascii="仿宋_GB2312" w:hAnsi="仿宋_GB2312" w:eastAsia="仿宋_GB2312" w:cs="仿宋_GB2312"/>
          <w:color w:val="000000"/>
        </w:rPr>
        <w:t>财政等额安排企业。新建普通商品住房项目配建一定比例的保障性租赁住房，政府采取土地出让金优惠、分期支付等方式，充分调动市场主体参与租赁住房建设。</w:t>
      </w:r>
    </w:p>
    <w:p>
      <w:pPr>
        <w:pageBreakBefore w:val="0"/>
        <w:widowControl w:val="0"/>
        <w:kinsoku/>
        <w:wordWrap/>
        <w:overflowPunct/>
        <w:topLinePunct w:val="0"/>
        <w:autoSpaceDE/>
        <w:autoSpaceDN/>
        <w:bidi w:val="0"/>
        <w:adjustRightInd/>
        <w:snapToGrid/>
        <w:spacing w:before="0" w:line="560" w:lineRule="exact"/>
        <w:ind w:right="0" w:firstLine="64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产业园区中工业项目配套建设行政办公及生活服务设施的用地面积占项目总用地面积的比例上限由7%提高到15%，建筑面积占比上限相应提高，提高部分主要用于建设宿舍型保障性租赁住房，严禁建设成套商品住宅。</w:t>
      </w:r>
    </w:p>
    <w:p>
      <w:pPr>
        <w:pageBreakBefore w:val="0"/>
        <w:widowControl w:val="0"/>
        <w:kinsoku/>
        <w:wordWrap/>
        <w:overflowPunct/>
        <w:topLinePunct w:val="0"/>
        <w:autoSpaceDE/>
        <w:autoSpaceDN/>
        <w:bidi w:val="0"/>
        <w:adjustRightInd/>
        <w:snapToGrid/>
        <w:spacing w:before="0" w:line="560" w:lineRule="exact"/>
        <w:ind w:right="0" w:firstLine="64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允许利用集体经营性建设用地新建保障性租赁住房，农村集体经济组织可通过自建或联营、入股等方式参与建设运营。</w:t>
      </w:r>
    </w:p>
    <w:p>
      <w:pPr>
        <w:pageBreakBefore w:val="0"/>
        <w:widowControl w:val="0"/>
        <w:kinsoku/>
        <w:wordWrap/>
        <w:overflowPunct/>
        <w:topLinePunct w:val="0"/>
        <w:autoSpaceDE/>
        <w:autoSpaceDN/>
        <w:bidi w:val="0"/>
        <w:adjustRightInd/>
        <w:snapToGrid/>
        <w:spacing w:before="0" w:line="560" w:lineRule="exact"/>
        <w:ind w:right="0" w:firstLine="64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闲置和低效利用的商业办公、工业厂房等非住宅经批准改建为保障性租赁住房，用作保障性租赁住房期间，不变更土地使用性质，不补缴土地价款。</w:t>
      </w:r>
    </w:p>
    <w:p>
      <w:pPr>
        <w:pageBreakBefore w:val="0"/>
        <w:widowControl w:val="0"/>
        <w:kinsoku/>
        <w:wordWrap/>
        <w:overflowPunct/>
        <w:topLinePunct w:val="0"/>
        <w:autoSpaceDE/>
        <w:autoSpaceDN/>
        <w:bidi w:val="0"/>
        <w:adjustRightInd/>
        <w:snapToGrid/>
        <w:spacing w:before="0" w:line="560" w:lineRule="exact"/>
        <w:ind w:right="0" w:firstLine="640" w:firstLineChars="200"/>
        <w:textAlignment w:val="auto"/>
        <w:rPr>
          <w:rFonts w:hint="default"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利用直管公房危旧房改造应遵循“政府主导、市场运作、群众参与”的原则，按照统一规划、集中连片、分步推进的要求，按照棚改的原则或置换安置的办法，做到危旧房改造与城市拓展相结合、与城市规划改造要求相结合、与城市基础设施建设相结合，通过量体裁衣式的设计，在原有建筑改造升级或改建的基础上对空间功能进行重新配置。</w:t>
      </w:r>
    </w:p>
    <w:p>
      <w:pPr>
        <w:pStyle w:val="3"/>
        <w:pageBreakBefore w:val="0"/>
        <w:widowControl w:val="0"/>
        <w:kinsoku/>
        <w:wordWrap/>
        <w:overflowPunct/>
        <w:topLinePunct w:val="0"/>
        <w:autoSpaceDE/>
        <w:autoSpaceDN/>
        <w:bidi w:val="0"/>
        <w:adjustRightInd/>
        <w:snapToGrid/>
        <w:spacing w:before="0" w:line="560" w:lineRule="exact"/>
        <w:ind w:right="0" w:firstLine="643" w:firstLineChars="200"/>
        <w:textAlignment w:val="auto"/>
        <w:rPr>
          <w:color w:val="000000"/>
        </w:rPr>
      </w:pPr>
      <w:r>
        <w:rPr>
          <w:rFonts w:hint="eastAsia"/>
          <w:color w:val="000000"/>
        </w:rPr>
        <w:t>（二）简化项目审批流程</w:t>
      </w:r>
    </w:p>
    <w:p>
      <w:pPr>
        <w:pageBreakBefore w:val="0"/>
        <w:widowControl w:val="0"/>
        <w:kinsoku/>
        <w:wordWrap/>
        <w:overflowPunct/>
        <w:topLinePunct w:val="0"/>
        <w:autoSpaceDE/>
        <w:autoSpaceDN/>
        <w:bidi w:val="0"/>
        <w:adjustRightInd/>
        <w:snapToGrid/>
        <w:spacing w:before="0" w:line="560" w:lineRule="exact"/>
        <w:ind w:right="0" w:firstLine="64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精简保障性租赁住房项目审批事项和环节，构建快速审批流程，提高项目审批效率。</w:t>
      </w:r>
      <w:r>
        <w:rPr>
          <w:rFonts w:hint="eastAsia" w:ascii="仿宋_GB2312" w:hAnsi="仿宋_GB2312" w:eastAsia="仿宋_GB2312" w:cs="仿宋_GB2312"/>
          <w:color w:val="000000"/>
          <w:lang w:val="en-US" w:eastAsia="zh-CN"/>
        </w:rPr>
        <w:t>按照“放管服”改革和“五型”政府建设要求，建立保障性租赁住房联合审批机制。</w:t>
      </w:r>
      <w:r>
        <w:rPr>
          <w:rFonts w:hint="eastAsia" w:ascii="仿宋_GB2312" w:hAnsi="仿宋_GB2312" w:eastAsia="仿宋_GB2312" w:cs="仿宋_GB2312"/>
          <w:color w:val="000000"/>
        </w:rPr>
        <w:t>利用非居住存量土地和非居住存量房屋建设保障性租赁住房，由</w:t>
      </w:r>
      <w:r>
        <w:rPr>
          <w:rFonts w:hint="eastAsia" w:ascii="仿宋_GB2312" w:hAnsi="仿宋_GB2312" w:eastAsia="仿宋_GB2312" w:cs="仿宋_GB2312"/>
          <w:color w:val="000000"/>
          <w:lang w:val="en-US" w:eastAsia="zh-CN"/>
        </w:rPr>
        <w:t>县</w:t>
      </w:r>
      <w:r>
        <w:rPr>
          <w:rFonts w:hint="eastAsia" w:ascii="仿宋_GB2312" w:hAnsi="仿宋_GB2312" w:eastAsia="仿宋_GB2312" w:cs="仿宋_GB2312"/>
          <w:color w:val="000000"/>
        </w:rPr>
        <w:t>政府组织相关部门联合审查建设方案，由住房保障管理部门出具保障性租赁住房项目认定书，</w:t>
      </w:r>
      <w:r>
        <w:rPr>
          <w:rFonts w:hint="eastAsia" w:ascii="仿宋_GB2312" w:hAnsi="仿宋_GB2312" w:eastAsia="仿宋_GB2312" w:cs="仿宋_GB2312"/>
          <w:color w:val="000000"/>
          <w:lang w:val="en-US" w:eastAsia="zh-CN"/>
        </w:rPr>
        <w:t>从项目申请到完成认定原则上不超过10个工作日。</w:t>
      </w:r>
      <w:r>
        <w:rPr>
          <w:rFonts w:hint="eastAsia" w:ascii="仿宋_GB2312" w:hAnsi="仿宋_GB2312" w:eastAsia="仿宋_GB2312" w:cs="仿宋_GB2312"/>
          <w:color w:val="000000"/>
        </w:rPr>
        <w:t>相关部门</w:t>
      </w:r>
      <w:r>
        <w:rPr>
          <w:rFonts w:hint="eastAsia" w:ascii="仿宋_GB2312" w:hAnsi="仿宋_GB2312" w:eastAsia="仿宋_GB2312" w:cs="仿宋_GB2312"/>
          <w:color w:val="000000"/>
          <w:lang w:val="en-US" w:eastAsia="zh-CN"/>
        </w:rPr>
        <w:t>根据认定书</w:t>
      </w:r>
      <w:r>
        <w:rPr>
          <w:rFonts w:hint="eastAsia" w:ascii="仿宋_GB2312" w:hAnsi="仿宋_GB2312" w:eastAsia="仿宋_GB2312" w:cs="仿宋_GB2312"/>
          <w:color w:val="000000"/>
        </w:rPr>
        <w:t>办理立项、用地、规划、施工、消防等手续。不涉及土地权属变化的项目，可用已有用地手续等材料作为土地证明文件，不再办理用地手续。将工程建设许可和施工许可合并为一个阶段，实行相关各方联合验收。</w:t>
      </w:r>
    </w:p>
    <w:p>
      <w:pPr>
        <w:pStyle w:val="3"/>
        <w:pageBreakBefore w:val="0"/>
        <w:widowControl w:val="0"/>
        <w:kinsoku/>
        <w:wordWrap/>
        <w:overflowPunct/>
        <w:topLinePunct w:val="0"/>
        <w:autoSpaceDE/>
        <w:autoSpaceDN/>
        <w:bidi w:val="0"/>
        <w:adjustRightInd/>
        <w:snapToGrid/>
        <w:spacing w:before="0" w:line="560" w:lineRule="exact"/>
        <w:ind w:right="0" w:firstLine="643" w:firstLineChars="200"/>
        <w:textAlignment w:val="auto"/>
        <w:rPr>
          <w:color w:val="000000"/>
        </w:rPr>
      </w:pPr>
      <w:r>
        <w:rPr>
          <w:rFonts w:hint="eastAsia"/>
          <w:color w:val="000000"/>
        </w:rPr>
        <w:t>（三）强化金融支持政策</w:t>
      </w:r>
    </w:p>
    <w:p>
      <w:pPr>
        <w:pageBreakBefore w:val="0"/>
        <w:widowControl w:val="0"/>
        <w:kinsoku/>
        <w:wordWrap/>
        <w:overflowPunct/>
        <w:topLinePunct w:val="0"/>
        <w:autoSpaceDE/>
        <w:autoSpaceDN/>
        <w:bidi w:val="0"/>
        <w:adjustRightInd/>
        <w:snapToGrid/>
        <w:spacing w:before="0" w:line="560" w:lineRule="exact"/>
        <w:ind w:right="0" w:firstLine="64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政府应积极协调金融机构通过开发新的金融产品等多种方式，支持国有企业等投资主体拓宽融资渠道，加大对保障性租赁住房的资金支持。</w:t>
      </w:r>
    </w:p>
    <w:p>
      <w:pPr>
        <w:pageBreakBefore w:val="0"/>
        <w:widowControl w:val="0"/>
        <w:kinsoku/>
        <w:wordWrap/>
        <w:overflowPunct/>
        <w:topLinePunct w:val="0"/>
        <w:autoSpaceDE/>
        <w:autoSpaceDN/>
        <w:bidi w:val="0"/>
        <w:adjustRightInd/>
        <w:snapToGrid/>
        <w:spacing w:before="0" w:line="560" w:lineRule="exact"/>
        <w:ind w:right="0" w:firstLine="64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加大对保障性租赁住房建设运营的信贷支持力度，支持银行业金融机构以市场化方式向保障性租赁住房自持主体提供长期贷款，建设保障性租赁住房的集体经营性建设用地使用权可以办理抵押贷款；按照依法合规、风险可控、商业可持续原则，向改建、改造存量房屋形成非自有产权保障性租赁住房的住房租赁企业提供贷款。完善与保障性租赁住房相适应的贷款统计，</w:t>
      </w:r>
      <w:r>
        <w:rPr>
          <w:rFonts w:hint="eastAsia" w:ascii="仿宋_GB2312" w:hAnsi="仿宋_GB2312" w:eastAsia="仿宋_GB2312" w:cs="仿宋_GB2312"/>
          <w:color w:val="000000"/>
          <w:lang w:val="en-US" w:eastAsia="zh-CN"/>
        </w:rPr>
        <w:t>保障性租赁住房有关贷款暂不纳入房地产贷款占比计算，</w:t>
      </w:r>
      <w:r>
        <w:rPr>
          <w:rFonts w:hint="eastAsia" w:ascii="仿宋_GB2312" w:hAnsi="仿宋_GB2312" w:eastAsia="仿宋_GB2312" w:cs="仿宋_GB2312"/>
          <w:color w:val="000000"/>
        </w:rPr>
        <w:t>在实施房地产信贷管理时予以差别化对待。</w:t>
      </w:r>
    </w:p>
    <w:p>
      <w:pPr>
        <w:pageBreakBefore w:val="0"/>
        <w:widowControl w:val="0"/>
        <w:kinsoku/>
        <w:wordWrap/>
        <w:overflowPunct/>
        <w:topLinePunct w:val="0"/>
        <w:autoSpaceDE/>
        <w:autoSpaceDN/>
        <w:bidi w:val="0"/>
        <w:adjustRightInd/>
        <w:snapToGrid/>
        <w:spacing w:before="0" w:line="560" w:lineRule="exact"/>
        <w:ind w:right="0" w:firstLine="640" w:firstLineChars="200"/>
        <w:textAlignment w:val="auto"/>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rPr>
        <w:t>支持银行业金融机构发行金融债券，募集资金用于保障性租赁住房贷款投放。支持企业发行企业债券、公司债券、非金融企业债务融资工具等公司信用类债券，用于保障性租赁住房建设运营。企业持有运营的保障性租赁住房具有持续稳定现金流的，可将物业抵押作为信用增进，发行住房租赁担保债券。支持商业保险资金按照市场化原则参与保障性租赁住房建设。</w:t>
      </w:r>
      <w:r>
        <w:rPr>
          <w:rFonts w:hint="eastAsia" w:ascii="仿宋_GB2312" w:hAnsi="仿宋_GB2312" w:eastAsia="仿宋_GB2312" w:cs="仿宋_GB2312"/>
          <w:color w:val="000000"/>
          <w:lang w:val="en-US" w:eastAsia="zh-CN"/>
        </w:rPr>
        <w:t>鼓励保障性租赁住房项目申报基础设施领域不动产投资信托基金和房地产投资信托基金（REITs)试点。</w:t>
      </w:r>
    </w:p>
    <w:p>
      <w:pPr>
        <w:pageBreakBefore w:val="0"/>
        <w:widowControl w:val="0"/>
        <w:numPr>
          <w:ilvl w:val="0"/>
          <w:numId w:val="2"/>
        </w:numPr>
        <w:kinsoku/>
        <w:wordWrap/>
        <w:overflowPunct/>
        <w:topLinePunct w:val="0"/>
        <w:autoSpaceDE/>
        <w:autoSpaceDN/>
        <w:bidi w:val="0"/>
        <w:adjustRightInd/>
        <w:snapToGrid/>
        <w:spacing w:before="0" w:line="560" w:lineRule="exact"/>
        <w:ind w:right="0" w:firstLine="640" w:firstLineChars="200"/>
        <w:textAlignment w:val="auto"/>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保证住房品质。将保障性租赁住房纳入工程质量安全监管，对质量结构安全、消防安全等进行重点监管。保障性租赁住房建设应符合集中式租赁住房建设使用标准。</w:t>
      </w:r>
    </w:p>
    <w:p>
      <w:pPr>
        <w:pageBreakBefore w:val="0"/>
        <w:widowControl w:val="0"/>
        <w:numPr>
          <w:ilvl w:val="0"/>
          <w:numId w:val="2"/>
        </w:numPr>
        <w:kinsoku/>
        <w:wordWrap/>
        <w:overflowPunct/>
        <w:topLinePunct w:val="0"/>
        <w:autoSpaceDE/>
        <w:autoSpaceDN/>
        <w:bidi w:val="0"/>
        <w:adjustRightInd/>
        <w:snapToGrid/>
        <w:spacing w:before="0" w:line="560" w:lineRule="exact"/>
        <w:ind w:right="0" w:firstLine="640" w:firstLineChars="200"/>
        <w:textAlignment w:val="auto"/>
        <w:rPr>
          <w:rFonts w:hint="default"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培育租赁企业。支持专业化、规模化住房租赁企业建设和运营管理保障性租赁住房。鼓励房地产开发企业、经纪机构、物业服务企业等各类市场主体设立子公司拓展保障性租赁住房业务，提高住房租赁企业规模化、集约化、专业化水平。支持相关国有企业转型为住房租赁企业，发挥国有企业的引领和带动作用。对开展保障性租赁住房业务的国有租赁企业，适当放宽经营业绩考核要求。</w:t>
      </w:r>
    </w:p>
    <w:p>
      <w:pPr>
        <w:pStyle w:val="3"/>
        <w:pageBreakBefore w:val="0"/>
        <w:widowControl w:val="0"/>
        <w:kinsoku/>
        <w:wordWrap/>
        <w:overflowPunct/>
        <w:topLinePunct w:val="0"/>
        <w:autoSpaceDE/>
        <w:autoSpaceDN/>
        <w:bidi w:val="0"/>
        <w:adjustRightInd/>
        <w:snapToGrid/>
        <w:spacing w:before="0" w:line="560" w:lineRule="exact"/>
        <w:ind w:right="0" w:firstLine="643" w:firstLineChars="200"/>
        <w:textAlignment w:val="auto"/>
        <w:rPr>
          <w:color w:val="000000"/>
        </w:rPr>
      </w:pPr>
      <w:r>
        <w:rPr>
          <w:rFonts w:hint="eastAsia"/>
          <w:color w:val="000000"/>
        </w:rPr>
        <w:t>（</w:t>
      </w:r>
      <w:r>
        <w:rPr>
          <w:rFonts w:hint="eastAsia"/>
          <w:color w:val="000000"/>
          <w:lang w:val="en-US" w:eastAsia="zh-CN"/>
        </w:rPr>
        <w:t>六</w:t>
      </w:r>
      <w:r>
        <w:rPr>
          <w:rFonts w:hint="eastAsia"/>
          <w:color w:val="000000"/>
        </w:rPr>
        <w:t>）落实税费优惠政策</w:t>
      </w:r>
    </w:p>
    <w:p>
      <w:pPr>
        <w:pageBreakBefore w:val="0"/>
        <w:widowControl w:val="0"/>
        <w:kinsoku/>
        <w:wordWrap/>
        <w:overflowPunct/>
        <w:topLinePunct w:val="0"/>
        <w:autoSpaceDE/>
        <w:autoSpaceDN/>
        <w:bidi w:val="0"/>
        <w:adjustRightInd/>
        <w:snapToGrid/>
        <w:spacing w:before="0" w:line="560" w:lineRule="exact"/>
        <w:ind w:right="0" w:firstLine="640" w:firstLineChars="200"/>
        <w:textAlignment w:val="auto"/>
        <w:rPr>
          <w:rFonts w:hint="default" w:ascii="仿宋_GB2312" w:hAnsi="仿宋_GB2312" w:eastAsia="仿宋_GB2312" w:cs="仿宋_GB2312"/>
          <w:color w:val="000000"/>
          <w:lang w:val="en-US" w:eastAsia="zh-CN"/>
        </w:rPr>
      </w:pPr>
      <w:r>
        <w:rPr>
          <w:rFonts w:hint="eastAsia" w:ascii="仿宋_GB2312" w:hAnsi="仿宋_GB2312" w:eastAsia="仿宋_GB2312" w:cs="仿宋_GB2312"/>
          <w:color w:val="000000"/>
        </w:rPr>
        <w:t>综合利用税费手段，加大对发展保障性租赁住房的支持力度。利用非居住存量土地和非居住存量房屋建设保障性租赁住房，取得保障性租赁住房项目认定书后，比照适用住房租赁增值税、房产税等税收优惠政策。对保障性租赁住房项目免收城市基础设施配套费等各种行政事业性收费和政府性基金，经营服务性收费按低限减半收取。</w:t>
      </w:r>
      <w:r>
        <w:rPr>
          <w:rFonts w:hint="eastAsia" w:ascii="仿宋_GB2312" w:hAnsi="仿宋_GB2312" w:eastAsia="仿宋_GB2312" w:cs="仿宋_GB2312"/>
          <w:color w:val="000000"/>
          <w:lang w:val="en-US" w:eastAsia="zh-CN"/>
        </w:rPr>
        <w:t>由财政部门、发改部门负责对口申请中央、省有关补助资金，并按国家有关规定使用、管理。</w:t>
      </w:r>
    </w:p>
    <w:p>
      <w:pPr>
        <w:pageBreakBefore w:val="0"/>
        <w:widowControl w:val="0"/>
        <w:kinsoku/>
        <w:wordWrap/>
        <w:overflowPunct/>
        <w:topLinePunct w:val="0"/>
        <w:autoSpaceDE/>
        <w:autoSpaceDN/>
        <w:bidi w:val="0"/>
        <w:adjustRightInd/>
        <w:snapToGrid/>
        <w:spacing w:before="0" w:line="560" w:lineRule="exact"/>
        <w:ind w:right="0" w:firstLine="643" w:firstLineChars="200"/>
        <w:textAlignment w:val="auto"/>
        <w:rPr>
          <w:rFonts w:hint="default" w:ascii="仿宋_GB2312" w:hAnsi="仿宋_GB2312" w:eastAsia="仿宋_GB2312" w:cs="仿宋_GB2312"/>
          <w:color w:val="000000"/>
          <w:lang w:val="en-US" w:eastAsia="zh-CN"/>
        </w:rPr>
      </w:pPr>
      <w:r>
        <w:rPr>
          <w:rFonts w:hint="eastAsia" w:ascii="楷体" w:hAnsi="楷体" w:eastAsia="楷体" w:cs="楷体"/>
          <w:b/>
          <w:bCs w:val="0"/>
          <w:color w:val="000000"/>
          <w:lang w:val="en-US" w:eastAsia="zh-CN"/>
        </w:rPr>
        <w:t>（七）执行民用水电气价格。</w:t>
      </w:r>
      <w:r>
        <w:rPr>
          <w:rFonts w:hint="eastAsia" w:ascii="仿宋_GB2312" w:hAnsi="仿宋_GB2312" w:eastAsia="仿宋_GB2312" w:cs="仿宋_GB2312"/>
          <w:color w:val="000000"/>
          <w:lang w:val="en-US" w:eastAsia="zh-CN"/>
        </w:rPr>
        <w:t>利用非居住存量土地和非居住存量房屋建设保障性租赁住房，取得保障性租赁住房项目认定书后，用水、用电、用气价格按照居民标准执行。</w:t>
      </w:r>
    </w:p>
    <w:p>
      <w:pPr>
        <w:pStyle w:val="3"/>
        <w:pageBreakBefore w:val="0"/>
        <w:widowControl w:val="0"/>
        <w:kinsoku/>
        <w:wordWrap/>
        <w:overflowPunct/>
        <w:topLinePunct w:val="0"/>
        <w:autoSpaceDE/>
        <w:autoSpaceDN/>
        <w:bidi w:val="0"/>
        <w:adjustRightInd/>
        <w:snapToGrid/>
        <w:spacing w:before="0" w:line="560" w:lineRule="exact"/>
        <w:ind w:right="0" w:firstLine="643" w:firstLineChars="200"/>
        <w:textAlignment w:val="auto"/>
        <w:rPr>
          <w:color w:val="000000"/>
        </w:rPr>
      </w:pPr>
      <w:r>
        <w:rPr>
          <w:rFonts w:hint="eastAsia"/>
          <w:color w:val="000000"/>
        </w:rPr>
        <w:t>（</w:t>
      </w:r>
      <w:r>
        <w:rPr>
          <w:rFonts w:hint="eastAsia"/>
          <w:color w:val="000000"/>
          <w:lang w:val="en-US" w:eastAsia="zh-CN"/>
        </w:rPr>
        <w:t>八</w:t>
      </w:r>
      <w:r>
        <w:rPr>
          <w:rFonts w:hint="eastAsia"/>
          <w:color w:val="000000"/>
        </w:rPr>
        <w:t>）其他相关优惠措施</w:t>
      </w:r>
    </w:p>
    <w:p>
      <w:pPr>
        <w:pageBreakBefore w:val="0"/>
        <w:widowControl w:val="0"/>
        <w:kinsoku/>
        <w:wordWrap/>
        <w:overflowPunct/>
        <w:topLinePunct w:val="0"/>
        <w:autoSpaceDE/>
        <w:autoSpaceDN/>
        <w:bidi w:val="0"/>
        <w:adjustRightInd/>
        <w:snapToGrid/>
        <w:spacing w:before="0" w:line="560" w:lineRule="exact"/>
        <w:ind w:right="0" w:firstLine="64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1.符合公租房租赁补贴发放条件的家庭，承租保障性租赁住房的,可以申请享受公租房租赁补贴。原则上已享受租赁补贴的对象不再重复享受租金优惠，租金按同区域市场平均租金水平收取。</w:t>
      </w:r>
    </w:p>
    <w:p>
      <w:pPr>
        <w:pageBreakBefore w:val="0"/>
        <w:widowControl w:val="0"/>
        <w:kinsoku/>
        <w:wordWrap/>
        <w:overflowPunct/>
        <w:topLinePunct w:val="0"/>
        <w:autoSpaceDE/>
        <w:autoSpaceDN/>
        <w:bidi w:val="0"/>
        <w:adjustRightInd/>
        <w:snapToGrid/>
        <w:spacing w:before="0" w:line="560" w:lineRule="exact"/>
        <w:ind w:right="0" w:firstLine="64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lang w:val="en-US" w:eastAsia="zh-CN"/>
        </w:rPr>
        <w:t>2</w:t>
      </w:r>
      <w:r>
        <w:rPr>
          <w:rFonts w:hint="eastAsia" w:ascii="仿宋_GB2312" w:hAnsi="仿宋_GB2312" w:eastAsia="仿宋_GB2312" w:cs="仿宋_GB2312"/>
          <w:color w:val="000000"/>
        </w:rPr>
        <w:t>.保障性租赁住房项目按照有关规定享受国家、省财政专项资金补助。</w:t>
      </w:r>
    </w:p>
    <w:p>
      <w:pPr>
        <w:pageBreakBefore w:val="0"/>
        <w:widowControl w:val="0"/>
        <w:kinsoku/>
        <w:wordWrap/>
        <w:overflowPunct/>
        <w:topLinePunct w:val="0"/>
        <w:autoSpaceDE/>
        <w:autoSpaceDN/>
        <w:bidi w:val="0"/>
        <w:adjustRightInd/>
        <w:snapToGrid/>
        <w:spacing w:before="0" w:line="560" w:lineRule="exact"/>
        <w:ind w:right="0" w:firstLine="640" w:firstLineChars="200"/>
        <w:textAlignment w:val="auto"/>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3.强化公共服务支持。保障性租赁住房承租人可以按照规定办理户口迁入或申领居住证，按规定享受义务教育、医疗卫生、养老等基本公共服务。支持承租户提取住房公积金用于支付保障性租赁住房租金。</w:t>
      </w:r>
    </w:p>
    <w:p>
      <w:pPr>
        <w:pageBreakBefore w:val="0"/>
        <w:widowControl w:val="0"/>
        <w:kinsoku/>
        <w:wordWrap/>
        <w:overflowPunct/>
        <w:topLinePunct w:val="0"/>
        <w:autoSpaceDE/>
        <w:autoSpaceDN/>
        <w:bidi w:val="0"/>
        <w:adjustRightInd/>
        <w:snapToGrid/>
        <w:spacing w:before="0" w:line="560" w:lineRule="exact"/>
        <w:ind w:right="0" w:firstLine="640" w:firstLineChars="200"/>
        <w:textAlignment w:val="auto"/>
        <w:rPr>
          <w:rFonts w:hint="eastAsia" w:ascii="黑体" w:hAnsi="黑体" w:eastAsia="黑体" w:cs="黑体"/>
          <w:b w:val="0"/>
          <w:bCs w:val="0"/>
          <w:color w:val="000000"/>
        </w:rPr>
      </w:pPr>
      <w:r>
        <w:rPr>
          <w:rFonts w:hint="eastAsia" w:ascii="黑体" w:hAnsi="黑体" w:eastAsia="黑体" w:cs="黑体"/>
          <w:b w:val="0"/>
          <w:bCs w:val="0"/>
          <w:color w:val="000000"/>
        </w:rPr>
        <w:t>五、强化组织领导与监督管理</w:t>
      </w:r>
    </w:p>
    <w:p>
      <w:pPr>
        <w:pStyle w:val="3"/>
        <w:pageBreakBefore w:val="0"/>
        <w:widowControl w:val="0"/>
        <w:kinsoku/>
        <w:wordWrap/>
        <w:overflowPunct/>
        <w:topLinePunct w:val="0"/>
        <w:autoSpaceDE/>
        <w:autoSpaceDN/>
        <w:bidi w:val="0"/>
        <w:adjustRightInd/>
        <w:snapToGrid/>
        <w:spacing w:before="0" w:line="560" w:lineRule="exact"/>
        <w:ind w:right="0" w:firstLine="643" w:firstLineChars="200"/>
        <w:textAlignment w:val="auto"/>
        <w:rPr>
          <w:color w:val="000000"/>
        </w:rPr>
      </w:pPr>
      <w:r>
        <w:rPr>
          <w:rFonts w:hint="eastAsia"/>
          <w:color w:val="000000"/>
        </w:rPr>
        <w:t>（一）加强组织领导</w:t>
      </w:r>
    </w:p>
    <w:p>
      <w:pPr>
        <w:pageBreakBefore w:val="0"/>
        <w:widowControl w:val="0"/>
        <w:kinsoku/>
        <w:wordWrap/>
        <w:overflowPunct/>
        <w:topLinePunct w:val="0"/>
        <w:autoSpaceDE/>
        <w:autoSpaceDN/>
        <w:bidi w:val="0"/>
        <w:adjustRightInd/>
        <w:snapToGrid/>
        <w:spacing w:before="0" w:line="560" w:lineRule="exact"/>
        <w:ind w:right="0" w:firstLine="64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成立由</w:t>
      </w:r>
      <w:r>
        <w:rPr>
          <w:rFonts w:hint="eastAsia" w:ascii="仿宋_GB2312" w:hAnsi="仿宋_GB2312" w:eastAsia="仿宋_GB2312" w:cs="仿宋_GB2312"/>
          <w:color w:val="000000"/>
          <w:lang w:val="en-US" w:eastAsia="zh-CN"/>
        </w:rPr>
        <w:t>县</w:t>
      </w:r>
      <w:r>
        <w:rPr>
          <w:rFonts w:hint="eastAsia" w:ascii="仿宋_GB2312" w:hAnsi="仿宋_GB2312" w:eastAsia="仿宋_GB2312" w:cs="仿宋_GB2312"/>
          <w:color w:val="000000"/>
        </w:rPr>
        <w:t>长任组长，分管副</w:t>
      </w:r>
      <w:r>
        <w:rPr>
          <w:rFonts w:hint="eastAsia" w:ascii="仿宋_GB2312" w:hAnsi="仿宋_GB2312" w:eastAsia="仿宋_GB2312" w:cs="仿宋_GB2312"/>
          <w:color w:val="000000"/>
          <w:lang w:val="en-US" w:eastAsia="zh-CN"/>
        </w:rPr>
        <w:t>县</w:t>
      </w:r>
      <w:r>
        <w:rPr>
          <w:rFonts w:hint="eastAsia" w:ascii="仿宋_GB2312" w:hAnsi="仿宋_GB2312" w:eastAsia="仿宋_GB2312" w:cs="仿宋_GB2312"/>
          <w:color w:val="000000"/>
        </w:rPr>
        <w:t>长任副组长，以及</w:t>
      </w:r>
      <w:r>
        <w:rPr>
          <w:rFonts w:hint="eastAsia" w:ascii="仿宋_GB2312" w:hAnsi="仿宋_GB2312" w:eastAsia="仿宋_GB2312" w:cs="仿宋_GB2312"/>
          <w:color w:val="000000"/>
          <w:lang w:val="en-US" w:eastAsia="zh-CN"/>
        </w:rPr>
        <w:t>县各</w:t>
      </w:r>
      <w:r>
        <w:rPr>
          <w:rFonts w:hint="eastAsia" w:ascii="仿宋_GB2312" w:hAnsi="仿宋_GB2312" w:eastAsia="仿宋_GB2312" w:cs="仿宋_GB2312"/>
          <w:color w:val="000000"/>
        </w:rPr>
        <w:t>有关部门主要领导为成员的保障性租赁住房工作领导小组，领导小组办公室设在</w:t>
      </w:r>
      <w:r>
        <w:rPr>
          <w:rFonts w:hint="eastAsia" w:ascii="仿宋_GB2312" w:hAnsi="仿宋_GB2312" w:eastAsia="仿宋_GB2312" w:cs="仿宋_GB2312"/>
          <w:color w:val="000000"/>
          <w:lang w:val="en-US" w:eastAsia="zh-CN"/>
        </w:rPr>
        <w:t>县</w:t>
      </w:r>
      <w:r>
        <w:rPr>
          <w:rFonts w:hint="eastAsia" w:ascii="仿宋_GB2312" w:hAnsi="仿宋_GB2312" w:eastAsia="仿宋_GB2312" w:cs="仿宋_GB2312"/>
          <w:color w:val="000000"/>
        </w:rPr>
        <w:t>住房城乡建设局。日常工作由</w:t>
      </w:r>
      <w:r>
        <w:rPr>
          <w:rFonts w:hint="eastAsia" w:ascii="仿宋_GB2312" w:hAnsi="仿宋_GB2312" w:eastAsia="仿宋_GB2312" w:cs="仿宋_GB2312"/>
          <w:color w:val="000000"/>
          <w:lang w:val="en-US" w:eastAsia="zh-CN"/>
        </w:rPr>
        <w:t>县</w:t>
      </w:r>
      <w:r>
        <w:rPr>
          <w:rFonts w:hint="eastAsia" w:ascii="仿宋_GB2312" w:hAnsi="仿宋_GB2312" w:eastAsia="仿宋_GB2312" w:cs="仿宋_GB2312"/>
          <w:color w:val="000000"/>
        </w:rPr>
        <w:t>住房和城乡建设局牵头，</w:t>
      </w:r>
      <w:r>
        <w:rPr>
          <w:rFonts w:hint="eastAsia" w:ascii="仿宋_GB2312" w:hAnsi="仿宋_GB2312" w:eastAsia="仿宋_GB2312" w:cs="仿宋_GB2312"/>
          <w:color w:val="000000"/>
          <w:lang w:val="en-US" w:eastAsia="zh-CN"/>
        </w:rPr>
        <w:t>县</w:t>
      </w:r>
      <w:r>
        <w:rPr>
          <w:rFonts w:hint="eastAsia" w:ascii="仿宋_GB2312" w:hAnsi="仿宋_GB2312" w:eastAsia="仿宋_GB2312" w:cs="仿宋_GB2312"/>
          <w:color w:val="000000"/>
        </w:rPr>
        <w:t>发展改革委、</w:t>
      </w:r>
      <w:r>
        <w:rPr>
          <w:rFonts w:hint="eastAsia" w:ascii="仿宋_GB2312" w:hAnsi="仿宋_GB2312" w:eastAsia="仿宋_GB2312" w:cs="仿宋_GB2312"/>
          <w:color w:val="000000"/>
          <w:lang w:val="en-US" w:eastAsia="zh-CN"/>
        </w:rPr>
        <w:t>县</w:t>
      </w:r>
      <w:r>
        <w:rPr>
          <w:rFonts w:hint="eastAsia" w:ascii="仿宋_GB2312" w:hAnsi="仿宋_GB2312" w:eastAsia="仿宋_GB2312" w:cs="仿宋_GB2312"/>
          <w:color w:val="000000"/>
        </w:rPr>
        <w:t>财政局、</w:t>
      </w:r>
      <w:r>
        <w:rPr>
          <w:rFonts w:hint="eastAsia" w:ascii="仿宋_GB2312" w:hAnsi="仿宋_GB2312" w:eastAsia="仿宋_GB2312" w:cs="仿宋_GB2312"/>
          <w:color w:val="000000"/>
          <w:lang w:val="en-US" w:eastAsia="zh-CN"/>
        </w:rPr>
        <w:t>县</w:t>
      </w:r>
      <w:r>
        <w:rPr>
          <w:rFonts w:hint="eastAsia" w:ascii="仿宋_GB2312" w:hAnsi="仿宋_GB2312" w:eastAsia="仿宋_GB2312" w:cs="仿宋_GB2312"/>
          <w:color w:val="000000"/>
        </w:rPr>
        <w:t>自然资源和规划局、</w:t>
      </w:r>
      <w:r>
        <w:rPr>
          <w:rFonts w:hint="eastAsia" w:ascii="仿宋_GB2312" w:hAnsi="仿宋_GB2312" w:eastAsia="仿宋_GB2312" w:cs="仿宋_GB2312"/>
          <w:color w:val="000000"/>
          <w:lang w:val="en-US" w:eastAsia="zh-CN"/>
        </w:rPr>
        <w:t>县</w:t>
      </w:r>
      <w:r>
        <w:rPr>
          <w:rFonts w:hint="eastAsia" w:ascii="仿宋_GB2312" w:hAnsi="仿宋_GB2312" w:eastAsia="仿宋_GB2312" w:cs="仿宋_GB2312"/>
          <w:color w:val="000000"/>
        </w:rPr>
        <w:t>人力资源和社会保障局等部门应按照各自职责负责相关工作，加强协作，确保保障性租赁住房工作顺利推进。</w:t>
      </w:r>
    </w:p>
    <w:p>
      <w:pPr>
        <w:pStyle w:val="3"/>
        <w:pageBreakBefore w:val="0"/>
        <w:widowControl w:val="0"/>
        <w:kinsoku/>
        <w:wordWrap/>
        <w:overflowPunct/>
        <w:topLinePunct w:val="0"/>
        <w:autoSpaceDE/>
        <w:autoSpaceDN/>
        <w:bidi w:val="0"/>
        <w:adjustRightInd/>
        <w:snapToGrid/>
        <w:spacing w:before="0" w:line="560" w:lineRule="exact"/>
        <w:ind w:right="0" w:firstLine="643" w:firstLineChars="200"/>
        <w:textAlignment w:val="auto"/>
        <w:rPr>
          <w:color w:val="000000"/>
        </w:rPr>
      </w:pPr>
      <w:r>
        <w:rPr>
          <w:rFonts w:hint="eastAsia"/>
          <w:color w:val="000000"/>
        </w:rPr>
        <w:t>（二）加强监督管理</w:t>
      </w:r>
    </w:p>
    <w:p>
      <w:pPr>
        <w:pageBreakBefore w:val="0"/>
        <w:widowControl w:val="0"/>
        <w:kinsoku/>
        <w:wordWrap/>
        <w:overflowPunct/>
        <w:topLinePunct w:val="0"/>
        <w:autoSpaceDE/>
        <w:autoSpaceDN/>
        <w:bidi w:val="0"/>
        <w:adjustRightInd/>
        <w:snapToGrid/>
        <w:spacing w:before="0" w:line="560" w:lineRule="exact"/>
        <w:ind w:right="0" w:firstLine="64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lang w:val="en-US" w:eastAsia="zh-CN"/>
        </w:rPr>
        <w:t>县</w:t>
      </w:r>
      <w:r>
        <w:rPr>
          <w:rFonts w:hint="eastAsia" w:ascii="仿宋_GB2312" w:hAnsi="仿宋_GB2312" w:eastAsia="仿宋_GB2312" w:cs="仿宋_GB2312"/>
          <w:color w:val="000000"/>
        </w:rPr>
        <w:t>住房保障管理部门摸清需求，科学确定“十四五”保障性租赁住房建设目标和政策措施，制定年度建设计划，并向社会公布。</w:t>
      </w:r>
      <w:r>
        <w:rPr>
          <w:rFonts w:hint="eastAsia" w:ascii="仿宋_GB2312" w:hAnsi="仿宋_GB2312" w:eastAsia="仿宋_GB2312" w:cs="仿宋_GB2312"/>
          <w:color w:val="000000"/>
          <w:lang w:val="en-US" w:eastAsia="zh-CN"/>
        </w:rPr>
        <w:t>县</w:t>
      </w:r>
      <w:r>
        <w:rPr>
          <w:rFonts w:hint="eastAsia" w:ascii="仿宋_GB2312" w:hAnsi="仿宋_GB2312" w:eastAsia="仿宋_GB2312" w:cs="仿宋_GB2312"/>
          <w:color w:val="000000"/>
        </w:rPr>
        <w:t>住房保障管理部门对符合规定的项目核发保障性租赁住房项目认定书，进行统一规范管理。</w:t>
      </w:r>
      <w:r>
        <w:rPr>
          <w:rFonts w:hint="eastAsia" w:ascii="仿宋_GB2312" w:hAnsi="仿宋_GB2312" w:eastAsia="仿宋_GB2312" w:cs="仿宋_GB2312"/>
          <w:color w:val="000000"/>
          <w:lang w:val="en-US" w:eastAsia="zh-CN"/>
        </w:rPr>
        <w:t>县</w:t>
      </w:r>
      <w:r>
        <w:rPr>
          <w:rFonts w:hint="eastAsia" w:ascii="仿宋_GB2312" w:hAnsi="仿宋_GB2312" w:eastAsia="仿宋_GB2312" w:cs="仿宋_GB2312"/>
          <w:color w:val="000000"/>
        </w:rPr>
        <w:t>住房保障管理部门会同有关部门组织做好发展保障性租赁住房情况监测评价，及时总结宣传经验做法。</w:t>
      </w:r>
    </w:p>
    <w:p>
      <w:pPr>
        <w:pageBreakBefore w:val="0"/>
        <w:widowControl w:val="0"/>
        <w:kinsoku/>
        <w:wordWrap/>
        <w:overflowPunct/>
        <w:topLinePunct w:val="0"/>
        <w:autoSpaceDE/>
        <w:autoSpaceDN/>
        <w:bidi w:val="0"/>
        <w:adjustRightInd/>
        <w:snapToGrid/>
        <w:spacing w:before="0" w:line="560" w:lineRule="exact"/>
        <w:ind w:right="0" w:firstLine="64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lang w:val="en-US" w:eastAsia="zh-CN"/>
        </w:rPr>
        <w:t>县</w:t>
      </w:r>
      <w:r>
        <w:rPr>
          <w:rFonts w:hint="eastAsia" w:ascii="仿宋_GB2312" w:hAnsi="仿宋_GB2312" w:eastAsia="仿宋_GB2312" w:cs="仿宋_GB2312"/>
          <w:color w:val="000000"/>
        </w:rPr>
        <w:t>住房保障管理部门要进一步完善保障性租赁住房的申请、审核、公示、轮候、配租等管理制度，做到公开透明、公平公正。要健全退出机制，确保保障性租赁住房正常腾退、流转。对在保障性租赁住房建设管理过程中滥用职权、玩忽职守、徇私舞弊的相关工作人员，依法依纪追究责任。加强社会监督，畅通群众举报机制，对骗租保障性租赁住房的，应立即纠正并取消其5年内申请保障性租赁住房的资格。</w:t>
      </w:r>
    </w:p>
    <w:p>
      <w:pPr>
        <w:pageBreakBefore w:val="0"/>
        <w:widowControl w:val="0"/>
        <w:kinsoku/>
        <w:wordWrap/>
        <w:overflowPunct/>
        <w:topLinePunct w:val="0"/>
        <w:autoSpaceDE/>
        <w:autoSpaceDN/>
        <w:bidi w:val="0"/>
        <w:adjustRightInd/>
        <w:snapToGrid/>
        <w:spacing w:before="0" w:line="560" w:lineRule="exact"/>
        <w:ind w:right="0" w:firstLine="64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lang w:val="en-US" w:eastAsia="zh-CN"/>
        </w:rPr>
        <w:t>县</w:t>
      </w:r>
      <w:r>
        <w:rPr>
          <w:rFonts w:hint="eastAsia" w:ascii="仿宋_GB2312" w:hAnsi="仿宋_GB2312" w:eastAsia="仿宋_GB2312" w:cs="仿宋_GB2312"/>
          <w:color w:val="000000"/>
        </w:rPr>
        <w:t>住房保障管理部门要建立住房保障信息公开制度，定期向社会公布本地区保障性租赁住房计划、建设、分配和退出等信息，接受社会监督。</w:t>
      </w:r>
    </w:p>
    <w:p>
      <w:pPr>
        <w:pStyle w:val="3"/>
        <w:pageBreakBefore w:val="0"/>
        <w:widowControl w:val="0"/>
        <w:kinsoku/>
        <w:wordWrap/>
        <w:overflowPunct/>
        <w:topLinePunct w:val="0"/>
        <w:autoSpaceDE/>
        <w:autoSpaceDN/>
        <w:bidi w:val="0"/>
        <w:adjustRightInd/>
        <w:snapToGrid/>
        <w:spacing w:before="0" w:line="560" w:lineRule="exact"/>
        <w:ind w:right="0" w:firstLine="643" w:firstLineChars="200"/>
        <w:textAlignment w:val="auto"/>
        <w:rPr>
          <w:color w:val="000000"/>
        </w:rPr>
      </w:pPr>
      <w:r>
        <w:rPr>
          <w:rFonts w:hint="eastAsia"/>
          <w:color w:val="000000"/>
        </w:rPr>
        <w:t>（三）建立健全住房租赁平台</w:t>
      </w:r>
    </w:p>
    <w:p>
      <w:pPr>
        <w:pageBreakBefore w:val="0"/>
        <w:widowControl w:val="0"/>
        <w:kinsoku/>
        <w:wordWrap/>
        <w:overflowPunct/>
        <w:topLinePunct w:val="0"/>
        <w:autoSpaceDE/>
        <w:autoSpaceDN/>
        <w:bidi w:val="0"/>
        <w:adjustRightInd/>
        <w:snapToGrid/>
        <w:spacing w:before="0" w:line="560" w:lineRule="exact"/>
        <w:ind w:right="0" w:firstLine="640" w:firstLineChars="200"/>
        <w:textAlignment w:val="auto"/>
        <w:rPr>
          <w:rFonts w:hint="default" w:ascii="仿宋_GB2312" w:hAnsi="仿宋_GB2312" w:eastAsia="仿宋_GB2312" w:cs="仿宋_GB2312"/>
          <w:color w:val="000000"/>
          <w:lang w:val="en-US" w:eastAsia="zh-CN"/>
        </w:rPr>
      </w:pPr>
      <w:r>
        <w:rPr>
          <w:rFonts w:hint="eastAsia" w:ascii="仿宋_GB2312" w:hAnsi="仿宋_GB2312" w:eastAsia="仿宋_GB2312" w:cs="仿宋_GB2312"/>
          <w:color w:val="000000"/>
        </w:rPr>
        <w:t>建立健全住房租赁管理服务平台，加强对保障性租赁住房建设、出租和运营管理的全过程监督，强化工程质量安全监管，实行运营主体租赁合同网签备案。</w:t>
      </w:r>
      <w:r>
        <w:rPr>
          <w:rFonts w:hint="eastAsia" w:ascii="仿宋_GB2312" w:hAnsi="仿宋_GB2312" w:eastAsia="仿宋_GB2312" w:cs="仿宋_GB2312"/>
          <w:color w:val="000000"/>
          <w:lang w:val="en-US" w:eastAsia="zh-CN"/>
        </w:rPr>
        <w:t>财政部门负责保障</w:t>
      </w:r>
      <w:r>
        <w:rPr>
          <w:rFonts w:hint="eastAsia" w:ascii="仿宋_GB2312" w:hAnsi="仿宋_GB2312" w:eastAsia="仿宋_GB2312" w:cs="仿宋_GB2312"/>
          <w:color w:val="000000"/>
        </w:rPr>
        <w:t>住房租赁管理服务平台</w:t>
      </w:r>
      <w:r>
        <w:rPr>
          <w:rFonts w:hint="eastAsia" w:ascii="仿宋_GB2312" w:hAnsi="仿宋_GB2312" w:eastAsia="仿宋_GB2312" w:cs="仿宋_GB2312"/>
          <w:color w:val="000000"/>
          <w:lang w:val="en-US" w:eastAsia="zh-CN"/>
        </w:rPr>
        <w:t>的开发建设和维护费用。</w:t>
      </w:r>
    </w:p>
    <w:p>
      <w:pPr>
        <w:pageBreakBefore w:val="0"/>
        <w:widowControl w:val="0"/>
        <w:kinsoku/>
        <w:wordWrap/>
        <w:overflowPunct/>
        <w:topLinePunct w:val="0"/>
        <w:autoSpaceDE/>
        <w:autoSpaceDN/>
        <w:bidi w:val="0"/>
        <w:adjustRightInd/>
        <w:snapToGrid/>
        <w:spacing w:before="0" w:line="560" w:lineRule="exact"/>
        <w:ind w:right="0" w:firstLine="640" w:firstLineChars="200"/>
        <w:textAlignment w:val="auto"/>
        <w:rPr>
          <w:rFonts w:ascii="仿宋_GB2312" w:hAnsi="仿宋_GB2312" w:eastAsia="仿宋_GB2312" w:cs="仿宋_GB2312"/>
          <w:color w:val="000000"/>
        </w:rPr>
      </w:pPr>
      <w:r>
        <w:rPr>
          <w:rFonts w:hint="eastAsia" w:ascii="仿宋_GB2312" w:hAnsi="仿宋_GB2312" w:eastAsia="仿宋_GB2312" w:cs="仿宋_GB2312"/>
          <w:color w:val="000000"/>
        </w:rPr>
        <w:t>按照“放管服”改革要求，依托住房租赁管理服务平台，加大移动端应用推广，利用人脸识别、电子签名、APP等技术手段，推进移动端申请、统一受理、统一审核、统一公示、统一分配等“不见面”业务办理模式，真正做到“一次不跑”或“最多跑一次”。</w:t>
      </w:r>
    </w:p>
    <w:p>
      <w:pPr>
        <w:pageBreakBefore w:val="0"/>
        <w:widowControl w:val="0"/>
        <w:kinsoku/>
        <w:wordWrap/>
        <w:overflowPunct/>
        <w:topLinePunct w:val="0"/>
        <w:autoSpaceDE/>
        <w:autoSpaceDN/>
        <w:bidi w:val="0"/>
        <w:adjustRightInd/>
        <w:snapToGrid/>
        <w:spacing w:before="0" w:line="560" w:lineRule="exact"/>
        <w:ind w:right="0" w:firstLine="640" w:firstLineChars="200"/>
        <w:textAlignment w:val="auto"/>
        <w:rPr>
          <w:rFonts w:hint="eastAsia" w:ascii="仿宋_GB2312" w:hAnsi="仿宋_GB2312" w:eastAsia="仿宋_GB2312" w:cs="仿宋_GB2312"/>
          <w:color w:val="000000"/>
        </w:rPr>
      </w:pPr>
    </w:p>
    <w:p>
      <w:pPr>
        <w:jc w:val="right"/>
      </w:pPr>
    </w:p>
    <w:p>
      <w:pPr>
        <w:jc w:val="right"/>
      </w:pPr>
    </w:p>
    <w:p>
      <w:pPr>
        <w:jc w:val="right"/>
      </w:pPr>
    </w:p>
    <w:p>
      <w:pPr>
        <w:ind w:right="1280" w:firstLine="0" w:firstLineChars="0"/>
        <w:rPr>
          <w:rFonts w:hint="eastAsia" w:ascii="仿宋_GB2312" w:hAnsi="仿宋_GB2312" w:eastAsia="仿宋_GB2312" w:cs="仿宋_GB2312"/>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4"/>
        <w:szCs w:val="24"/>
      </w:rPr>
      <w:id w:val="-699862577"/>
      <w:docPartObj>
        <w:docPartGallery w:val="autotext"/>
      </w:docPartObj>
    </w:sdtPr>
    <w:sdtEndPr>
      <w:rPr>
        <w:sz w:val="24"/>
        <w:szCs w:val="24"/>
      </w:rPr>
    </w:sdtEndPr>
    <w:sdtContent>
      <w:p>
        <w:pPr>
          <w:pStyle w:val="9"/>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rPr>
          <w:t>2</w:t>
        </w:r>
        <w:r>
          <w:rPr>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none" w:color="auto" w:sz="0" w:space="0"/>
        <w:left w:val="none" w:color="auto" w:sz="0" w:space="0"/>
        <w:bottom w:val="none" w:color="auto" w:sz="0" w:space="0"/>
        <w:right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none" w:color="auto" w:sz="0" w:space="0"/>
        <w:left w:val="none" w:color="auto" w:sz="0" w:space="0"/>
        <w:bottom w:val="none" w:color="auto" w:sz="0" w:space="0"/>
        <w:right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none" w:color="auto" w:sz="0" w:space="0"/>
        <w:left w:val="none" w:color="auto" w:sz="0" w:space="0"/>
        <w:bottom w:val="none" w:color="auto" w:sz="0" w:space="0"/>
        <w:right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D304D9"/>
    <w:multiLevelType w:val="singleLevel"/>
    <w:tmpl w:val="ADD304D9"/>
    <w:lvl w:ilvl="0" w:tentative="0">
      <w:start w:val="4"/>
      <w:numFmt w:val="chineseCounting"/>
      <w:suff w:val="nothing"/>
      <w:lvlText w:val="（%1）"/>
      <w:lvlJc w:val="left"/>
      <w:rPr>
        <w:rFonts w:hint="eastAsia"/>
      </w:rPr>
    </w:lvl>
  </w:abstractNum>
  <w:abstractNum w:abstractNumId="1">
    <w:nsid w:val="BA565EB7"/>
    <w:multiLevelType w:val="singleLevel"/>
    <w:tmpl w:val="BA565EB7"/>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AA3"/>
    <w:rsid w:val="00042121"/>
    <w:rsid w:val="0004691C"/>
    <w:rsid w:val="00061BEE"/>
    <w:rsid w:val="0007535F"/>
    <w:rsid w:val="00075C6A"/>
    <w:rsid w:val="000A1B69"/>
    <w:rsid w:val="000B2A4E"/>
    <w:rsid w:val="000E50F6"/>
    <w:rsid w:val="000F75BC"/>
    <w:rsid w:val="00104686"/>
    <w:rsid w:val="0010726E"/>
    <w:rsid w:val="00141C5B"/>
    <w:rsid w:val="00160374"/>
    <w:rsid w:val="00160F8C"/>
    <w:rsid w:val="00162DAB"/>
    <w:rsid w:val="00170FC7"/>
    <w:rsid w:val="00191998"/>
    <w:rsid w:val="001A486F"/>
    <w:rsid w:val="001C69D3"/>
    <w:rsid w:val="001C6D72"/>
    <w:rsid w:val="001D4A44"/>
    <w:rsid w:val="001F7693"/>
    <w:rsid w:val="00216147"/>
    <w:rsid w:val="00231D89"/>
    <w:rsid w:val="00250079"/>
    <w:rsid w:val="0029137C"/>
    <w:rsid w:val="00296FC7"/>
    <w:rsid w:val="002C1875"/>
    <w:rsid w:val="002C29F2"/>
    <w:rsid w:val="002C5DAE"/>
    <w:rsid w:val="002D464F"/>
    <w:rsid w:val="002F63D7"/>
    <w:rsid w:val="00324005"/>
    <w:rsid w:val="00362BE8"/>
    <w:rsid w:val="00364251"/>
    <w:rsid w:val="003752BB"/>
    <w:rsid w:val="00380D03"/>
    <w:rsid w:val="003905C9"/>
    <w:rsid w:val="003B20EE"/>
    <w:rsid w:val="003B5380"/>
    <w:rsid w:val="003C23DA"/>
    <w:rsid w:val="003D1536"/>
    <w:rsid w:val="003E444D"/>
    <w:rsid w:val="00420D87"/>
    <w:rsid w:val="00423936"/>
    <w:rsid w:val="0042540E"/>
    <w:rsid w:val="00426CB1"/>
    <w:rsid w:val="0045786A"/>
    <w:rsid w:val="00475E77"/>
    <w:rsid w:val="00494E6E"/>
    <w:rsid w:val="004A6ABC"/>
    <w:rsid w:val="004B3D5D"/>
    <w:rsid w:val="004C1033"/>
    <w:rsid w:val="004C34C1"/>
    <w:rsid w:val="004C396D"/>
    <w:rsid w:val="004C3BE8"/>
    <w:rsid w:val="004D2CA4"/>
    <w:rsid w:val="00500B27"/>
    <w:rsid w:val="00507164"/>
    <w:rsid w:val="00520E95"/>
    <w:rsid w:val="005324BD"/>
    <w:rsid w:val="0053522D"/>
    <w:rsid w:val="00551831"/>
    <w:rsid w:val="00584A2C"/>
    <w:rsid w:val="00595B85"/>
    <w:rsid w:val="005C0824"/>
    <w:rsid w:val="005D2DE0"/>
    <w:rsid w:val="005F7330"/>
    <w:rsid w:val="00600DBB"/>
    <w:rsid w:val="00614182"/>
    <w:rsid w:val="00632051"/>
    <w:rsid w:val="006356F3"/>
    <w:rsid w:val="00663A21"/>
    <w:rsid w:val="0068484B"/>
    <w:rsid w:val="006A7037"/>
    <w:rsid w:val="006B5612"/>
    <w:rsid w:val="006C30B4"/>
    <w:rsid w:val="006C3534"/>
    <w:rsid w:val="006C40F5"/>
    <w:rsid w:val="006D401C"/>
    <w:rsid w:val="006F2D4C"/>
    <w:rsid w:val="00702E4A"/>
    <w:rsid w:val="00703DF4"/>
    <w:rsid w:val="00703FAA"/>
    <w:rsid w:val="00705399"/>
    <w:rsid w:val="00724477"/>
    <w:rsid w:val="00731827"/>
    <w:rsid w:val="00734AE2"/>
    <w:rsid w:val="00740EF8"/>
    <w:rsid w:val="00752B75"/>
    <w:rsid w:val="007578A2"/>
    <w:rsid w:val="007874A3"/>
    <w:rsid w:val="007A2425"/>
    <w:rsid w:val="007A3406"/>
    <w:rsid w:val="007A6040"/>
    <w:rsid w:val="007D1101"/>
    <w:rsid w:val="007D4427"/>
    <w:rsid w:val="007F43CA"/>
    <w:rsid w:val="007F67AE"/>
    <w:rsid w:val="00805345"/>
    <w:rsid w:val="00813C3C"/>
    <w:rsid w:val="00813E4B"/>
    <w:rsid w:val="00825EF6"/>
    <w:rsid w:val="00857E81"/>
    <w:rsid w:val="00863419"/>
    <w:rsid w:val="008822A6"/>
    <w:rsid w:val="00886D95"/>
    <w:rsid w:val="00894620"/>
    <w:rsid w:val="008A049A"/>
    <w:rsid w:val="008C3FBA"/>
    <w:rsid w:val="008C4805"/>
    <w:rsid w:val="00915C23"/>
    <w:rsid w:val="00920CE7"/>
    <w:rsid w:val="009414A4"/>
    <w:rsid w:val="009600A5"/>
    <w:rsid w:val="00961FE1"/>
    <w:rsid w:val="00965608"/>
    <w:rsid w:val="00966DAC"/>
    <w:rsid w:val="00986FAD"/>
    <w:rsid w:val="009929F4"/>
    <w:rsid w:val="0099310D"/>
    <w:rsid w:val="009A3566"/>
    <w:rsid w:val="009C0A71"/>
    <w:rsid w:val="009C154A"/>
    <w:rsid w:val="009D66EE"/>
    <w:rsid w:val="009D7C7A"/>
    <w:rsid w:val="009E1F09"/>
    <w:rsid w:val="009F036A"/>
    <w:rsid w:val="00A2474C"/>
    <w:rsid w:val="00A4571D"/>
    <w:rsid w:val="00A46DF4"/>
    <w:rsid w:val="00A52BCD"/>
    <w:rsid w:val="00A62081"/>
    <w:rsid w:val="00A7543F"/>
    <w:rsid w:val="00A824DB"/>
    <w:rsid w:val="00A83373"/>
    <w:rsid w:val="00A9004E"/>
    <w:rsid w:val="00A946CD"/>
    <w:rsid w:val="00AA1566"/>
    <w:rsid w:val="00AA79AB"/>
    <w:rsid w:val="00AB75BC"/>
    <w:rsid w:val="00AC388C"/>
    <w:rsid w:val="00B1677D"/>
    <w:rsid w:val="00B2628F"/>
    <w:rsid w:val="00B40E38"/>
    <w:rsid w:val="00B43290"/>
    <w:rsid w:val="00B55916"/>
    <w:rsid w:val="00B57826"/>
    <w:rsid w:val="00B62F8A"/>
    <w:rsid w:val="00B81C0F"/>
    <w:rsid w:val="00B84B63"/>
    <w:rsid w:val="00B901C0"/>
    <w:rsid w:val="00BA5C7F"/>
    <w:rsid w:val="00BF2030"/>
    <w:rsid w:val="00C263DA"/>
    <w:rsid w:val="00C32014"/>
    <w:rsid w:val="00C41416"/>
    <w:rsid w:val="00C63FC6"/>
    <w:rsid w:val="00C64642"/>
    <w:rsid w:val="00C8243D"/>
    <w:rsid w:val="00C919B2"/>
    <w:rsid w:val="00CA11EF"/>
    <w:rsid w:val="00CB081D"/>
    <w:rsid w:val="00CB2DAF"/>
    <w:rsid w:val="00CD73CB"/>
    <w:rsid w:val="00D2170D"/>
    <w:rsid w:val="00D30F6D"/>
    <w:rsid w:val="00D332DC"/>
    <w:rsid w:val="00D43169"/>
    <w:rsid w:val="00D52212"/>
    <w:rsid w:val="00D523FD"/>
    <w:rsid w:val="00D57AF4"/>
    <w:rsid w:val="00D8698A"/>
    <w:rsid w:val="00D946A0"/>
    <w:rsid w:val="00D96527"/>
    <w:rsid w:val="00DA148B"/>
    <w:rsid w:val="00DF063F"/>
    <w:rsid w:val="00E03DEB"/>
    <w:rsid w:val="00E12938"/>
    <w:rsid w:val="00E2286A"/>
    <w:rsid w:val="00E34C46"/>
    <w:rsid w:val="00E720EA"/>
    <w:rsid w:val="00E721BE"/>
    <w:rsid w:val="00E77D98"/>
    <w:rsid w:val="00EA315A"/>
    <w:rsid w:val="00EB6FDC"/>
    <w:rsid w:val="00EC4D23"/>
    <w:rsid w:val="00ED2A1F"/>
    <w:rsid w:val="00ED45A6"/>
    <w:rsid w:val="00EE59C4"/>
    <w:rsid w:val="00EF1AA3"/>
    <w:rsid w:val="00F132E5"/>
    <w:rsid w:val="00F256C1"/>
    <w:rsid w:val="00F66CCC"/>
    <w:rsid w:val="00F94F01"/>
    <w:rsid w:val="00FA3C2D"/>
    <w:rsid w:val="00FA75F9"/>
    <w:rsid w:val="00FB1D12"/>
    <w:rsid w:val="00FB58B3"/>
    <w:rsid w:val="00FC21B9"/>
    <w:rsid w:val="00FC524E"/>
    <w:rsid w:val="0105590F"/>
    <w:rsid w:val="016D4D19"/>
    <w:rsid w:val="01BD32C2"/>
    <w:rsid w:val="01D71691"/>
    <w:rsid w:val="020A651C"/>
    <w:rsid w:val="021328E7"/>
    <w:rsid w:val="02165E8C"/>
    <w:rsid w:val="0274569D"/>
    <w:rsid w:val="028D741B"/>
    <w:rsid w:val="030139D9"/>
    <w:rsid w:val="03032904"/>
    <w:rsid w:val="031D37E4"/>
    <w:rsid w:val="03FE08E4"/>
    <w:rsid w:val="04893C47"/>
    <w:rsid w:val="04DC6A00"/>
    <w:rsid w:val="054D352C"/>
    <w:rsid w:val="05830262"/>
    <w:rsid w:val="0583527A"/>
    <w:rsid w:val="058574EB"/>
    <w:rsid w:val="064B5884"/>
    <w:rsid w:val="064C75F3"/>
    <w:rsid w:val="064D4D23"/>
    <w:rsid w:val="06623D71"/>
    <w:rsid w:val="067E7C1A"/>
    <w:rsid w:val="06E547D8"/>
    <w:rsid w:val="06FF1361"/>
    <w:rsid w:val="07227E9D"/>
    <w:rsid w:val="07A936A3"/>
    <w:rsid w:val="07C664C0"/>
    <w:rsid w:val="08F11A35"/>
    <w:rsid w:val="0930157F"/>
    <w:rsid w:val="09413C33"/>
    <w:rsid w:val="095260C6"/>
    <w:rsid w:val="095B7334"/>
    <w:rsid w:val="09602E34"/>
    <w:rsid w:val="09782974"/>
    <w:rsid w:val="097E2BF7"/>
    <w:rsid w:val="09B57D0E"/>
    <w:rsid w:val="09D14A30"/>
    <w:rsid w:val="09D40C29"/>
    <w:rsid w:val="09DC5682"/>
    <w:rsid w:val="09EB3CB4"/>
    <w:rsid w:val="09F010BD"/>
    <w:rsid w:val="0A012024"/>
    <w:rsid w:val="0A2717E5"/>
    <w:rsid w:val="0A300D37"/>
    <w:rsid w:val="0A6C7800"/>
    <w:rsid w:val="0B0F4737"/>
    <w:rsid w:val="0B131194"/>
    <w:rsid w:val="0B311F8C"/>
    <w:rsid w:val="0B5A0F04"/>
    <w:rsid w:val="0BB50DAD"/>
    <w:rsid w:val="0BD35599"/>
    <w:rsid w:val="0C8103BF"/>
    <w:rsid w:val="0D3D7984"/>
    <w:rsid w:val="0D940351"/>
    <w:rsid w:val="0DBE7EF4"/>
    <w:rsid w:val="0E1F1001"/>
    <w:rsid w:val="0E29438E"/>
    <w:rsid w:val="0E2C0729"/>
    <w:rsid w:val="0F264A35"/>
    <w:rsid w:val="0F3711C5"/>
    <w:rsid w:val="0F376C11"/>
    <w:rsid w:val="0FB022AB"/>
    <w:rsid w:val="0FB0704F"/>
    <w:rsid w:val="0FC14548"/>
    <w:rsid w:val="101B09EA"/>
    <w:rsid w:val="101B16F3"/>
    <w:rsid w:val="10446C47"/>
    <w:rsid w:val="1078484A"/>
    <w:rsid w:val="11581E48"/>
    <w:rsid w:val="11BB6C1C"/>
    <w:rsid w:val="11C93122"/>
    <w:rsid w:val="123923C6"/>
    <w:rsid w:val="123C06A4"/>
    <w:rsid w:val="12451409"/>
    <w:rsid w:val="13CF1DFD"/>
    <w:rsid w:val="14033331"/>
    <w:rsid w:val="14802ADD"/>
    <w:rsid w:val="14D4184D"/>
    <w:rsid w:val="150761E2"/>
    <w:rsid w:val="153E56FE"/>
    <w:rsid w:val="15636D82"/>
    <w:rsid w:val="1568193F"/>
    <w:rsid w:val="15741A33"/>
    <w:rsid w:val="15973943"/>
    <w:rsid w:val="159A628F"/>
    <w:rsid w:val="15EC3F46"/>
    <w:rsid w:val="16F274C0"/>
    <w:rsid w:val="17412AC0"/>
    <w:rsid w:val="176375F9"/>
    <w:rsid w:val="177B7075"/>
    <w:rsid w:val="18351095"/>
    <w:rsid w:val="1858688E"/>
    <w:rsid w:val="18867809"/>
    <w:rsid w:val="18CB013E"/>
    <w:rsid w:val="19704E01"/>
    <w:rsid w:val="1A1E5638"/>
    <w:rsid w:val="1A8506D7"/>
    <w:rsid w:val="1AD60395"/>
    <w:rsid w:val="1AFF687C"/>
    <w:rsid w:val="1B094FE6"/>
    <w:rsid w:val="1BA12A06"/>
    <w:rsid w:val="1BD158FE"/>
    <w:rsid w:val="1D0A2707"/>
    <w:rsid w:val="1D9343E8"/>
    <w:rsid w:val="1DDF7899"/>
    <w:rsid w:val="1DF35E1E"/>
    <w:rsid w:val="1E940580"/>
    <w:rsid w:val="1EEC47BC"/>
    <w:rsid w:val="201707A6"/>
    <w:rsid w:val="20E26096"/>
    <w:rsid w:val="219D742C"/>
    <w:rsid w:val="21A3778C"/>
    <w:rsid w:val="21C5502C"/>
    <w:rsid w:val="221F0641"/>
    <w:rsid w:val="225752CA"/>
    <w:rsid w:val="230F3A13"/>
    <w:rsid w:val="236C1A86"/>
    <w:rsid w:val="237A10C8"/>
    <w:rsid w:val="23E34018"/>
    <w:rsid w:val="2410342F"/>
    <w:rsid w:val="24333064"/>
    <w:rsid w:val="24562E1F"/>
    <w:rsid w:val="24C17FD4"/>
    <w:rsid w:val="24D702C1"/>
    <w:rsid w:val="25026326"/>
    <w:rsid w:val="25125FDE"/>
    <w:rsid w:val="256D3012"/>
    <w:rsid w:val="258D3465"/>
    <w:rsid w:val="25C56C88"/>
    <w:rsid w:val="25CB7999"/>
    <w:rsid w:val="25EE6AD9"/>
    <w:rsid w:val="268833E7"/>
    <w:rsid w:val="269B4C97"/>
    <w:rsid w:val="27075144"/>
    <w:rsid w:val="28030154"/>
    <w:rsid w:val="28102853"/>
    <w:rsid w:val="283409E5"/>
    <w:rsid w:val="28A97216"/>
    <w:rsid w:val="28CD0E61"/>
    <w:rsid w:val="2A1C4F93"/>
    <w:rsid w:val="2A55275D"/>
    <w:rsid w:val="2AA93879"/>
    <w:rsid w:val="2AE029E1"/>
    <w:rsid w:val="2B07136E"/>
    <w:rsid w:val="2B0C19BB"/>
    <w:rsid w:val="2BBD39AF"/>
    <w:rsid w:val="2BFB3779"/>
    <w:rsid w:val="2C310029"/>
    <w:rsid w:val="2C6D1D70"/>
    <w:rsid w:val="2CCD279C"/>
    <w:rsid w:val="2D1274CA"/>
    <w:rsid w:val="2D377477"/>
    <w:rsid w:val="2D7E7522"/>
    <w:rsid w:val="2E470A2B"/>
    <w:rsid w:val="2E5F37BB"/>
    <w:rsid w:val="2E602311"/>
    <w:rsid w:val="2E8D5CD1"/>
    <w:rsid w:val="2F1203CD"/>
    <w:rsid w:val="2F946CD5"/>
    <w:rsid w:val="2F984AEE"/>
    <w:rsid w:val="2FC758BE"/>
    <w:rsid w:val="2FCC1150"/>
    <w:rsid w:val="2FCD5BF5"/>
    <w:rsid w:val="2FEC7017"/>
    <w:rsid w:val="30AC2BBE"/>
    <w:rsid w:val="3116378D"/>
    <w:rsid w:val="311644CB"/>
    <w:rsid w:val="317235DF"/>
    <w:rsid w:val="324C352A"/>
    <w:rsid w:val="32BB67BB"/>
    <w:rsid w:val="32F01D72"/>
    <w:rsid w:val="32F02343"/>
    <w:rsid w:val="331716FA"/>
    <w:rsid w:val="33660CC5"/>
    <w:rsid w:val="33A605FA"/>
    <w:rsid w:val="34002F3F"/>
    <w:rsid w:val="34387428"/>
    <w:rsid w:val="349F1276"/>
    <w:rsid w:val="34AF2467"/>
    <w:rsid w:val="34B019B1"/>
    <w:rsid w:val="35792EB6"/>
    <w:rsid w:val="35E11D88"/>
    <w:rsid w:val="35F57F0A"/>
    <w:rsid w:val="36384710"/>
    <w:rsid w:val="366F7FFE"/>
    <w:rsid w:val="368412B3"/>
    <w:rsid w:val="36844FC1"/>
    <w:rsid w:val="36B166E2"/>
    <w:rsid w:val="36C70F51"/>
    <w:rsid w:val="36DD530D"/>
    <w:rsid w:val="36E16544"/>
    <w:rsid w:val="37850B1A"/>
    <w:rsid w:val="37B52755"/>
    <w:rsid w:val="37EF2F02"/>
    <w:rsid w:val="383A7A84"/>
    <w:rsid w:val="38546F2E"/>
    <w:rsid w:val="38CB7FE5"/>
    <w:rsid w:val="390710E5"/>
    <w:rsid w:val="394C5ADD"/>
    <w:rsid w:val="395757C5"/>
    <w:rsid w:val="39580ADE"/>
    <w:rsid w:val="39A235D7"/>
    <w:rsid w:val="39B14301"/>
    <w:rsid w:val="3A0F5CDC"/>
    <w:rsid w:val="3A1E28D5"/>
    <w:rsid w:val="3A62502A"/>
    <w:rsid w:val="3A946449"/>
    <w:rsid w:val="3AAA1889"/>
    <w:rsid w:val="3B651A60"/>
    <w:rsid w:val="3B6644C7"/>
    <w:rsid w:val="3B697FE7"/>
    <w:rsid w:val="3B8171D8"/>
    <w:rsid w:val="3B8A63E9"/>
    <w:rsid w:val="3B9A658D"/>
    <w:rsid w:val="3C081418"/>
    <w:rsid w:val="3C5475F5"/>
    <w:rsid w:val="3C664E3C"/>
    <w:rsid w:val="3CF37042"/>
    <w:rsid w:val="3D057E35"/>
    <w:rsid w:val="3D8404E1"/>
    <w:rsid w:val="3DCA106F"/>
    <w:rsid w:val="3E892C35"/>
    <w:rsid w:val="3E8E36C1"/>
    <w:rsid w:val="3EDC1110"/>
    <w:rsid w:val="3F431569"/>
    <w:rsid w:val="3F5C0A24"/>
    <w:rsid w:val="3F801834"/>
    <w:rsid w:val="40725842"/>
    <w:rsid w:val="40E33344"/>
    <w:rsid w:val="40EE363F"/>
    <w:rsid w:val="40F75EEF"/>
    <w:rsid w:val="415F11DB"/>
    <w:rsid w:val="4185547E"/>
    <w:rsid w:val="419F1C0C"/>
    <w:rsid w:val="41A324D8"/>
    <w:rsid w:val="41C42536"/>
    <w:rsid w:val="424A175D"/>
    <w:rsid w:val="42646FBD"/>
    <w:rsid w:val="429A6D57"/>
    <w:rsid w:val="436225A5"/>
    <w:rsid w:val="43C65021"/>
    <w:rsid w:val="43D0243F"/>
    <w:rsid w:val="4434352D"/>
    <w:rsid w:val="445047E7"/>
    <w:rsid w:val="445A2F9D"/>
    <w:rsid w:val="447E3643"/>
    <w:rsid w:val="45170505"/>
    <w:rsid w:val="45D1705E"/>
    <w:rsid w:val="46225247"/>
    <w:rsid w:val="463A7377"/>
    <w:rsid w:val="469E0210"/>
    <w:rsid w:val="46AC7BFF"/>
    <w:rsid w:val="470E50CE"/>
    <w:rsid w:val="47B709CA"/>
    <w:rsid w:val="47FA71B0"/>
    <w:rsid w:val="48E1082D"/>
    <w:rsid w:val="48F500B6"/>
    <w:rsid w:val="490E2824"/>
    <w:rsid w:val="495F5ADC"/>
    <w:rsid w:val="496F6352"/>
    <w:rsid w:val="4ACC04FB"/>
    <w:rsid w:val="4AE1550F"/>
    <w:rsid w:val="4B207891"/>
    <w:rsid w:val="4B607894"/>
    <w:rsid w:val="4B6968FF"/>
    <w:rsid w:val="4B806205"/>
    <w:rsid w:val="4B9A1518"/>
    <w:rsid w:val="4BA96743"/>
    <w:rsid w:val="4C3D553D"/>
    <w:rsid w:val="4CCD6351"/>
    <w:rsid w:val="4D26529C"/>
    <w:rsid w:val="4DE71A5E"/>
    <w:rsid w:val="4DEE77A5"/>
    <w:rsid w:val="4DF65A89"/>
    <w:rsid w:val="4E145B60"/>
    <w:rsid w:val="4F4A3571"/>
    <w:rsid w:val="4F4E0EF6"/>
    <w:rsid w:val="4FA22A18"/>
    <w:rsid w:val="4FA633E6"/>
    <w:rsid w:val="4FBC686D"/>
    <w:rsid w:val="4FC13384"/>
    <w:rsid w:val="4FC330DC"/>
    <w:rsid w:val="505008FB"/>
    <w:rsid w:val="506237FB"/>
    <w:rsid w:val="50732D0C"/>
    <w:rsid w:val="50B14B65"/>
    <w:rsid w:val="50DE3584"/>
    <w:rsid w:val="513404EA"/>
    <w:rsid w:val="5151103B"/>
    <w:rsid w:val="51A13C52"/>
    <w:rsid w:val="51BD056A"/>
    <w:rsid w:val="51EC36AF"/>
    <w:rsid w:val="52332AD8"/>
    <w:rsid w:val="528410BC"/>
    <w:rsid w:val="52852169"/>
    <w:rsid w:val="52CC37A0"/>
    <w:rsid w:val="531739DC"/>
    <w:rsid w:val="532B2C3D"/>
    <w:rsid w:val="53316E8B"/>
    <w:rsid w:val="533A4A71"/>
    <w:rsid w:val="53A234B9"/>
    <w:rsid w:val="53A5002E"/>
    <w:rsid w:val="53AE347C"/>
    <w:rsid w:val="53E62448"/>
    <w:rsid w:val="53F33DC2"/>
    <w:rsid w:val="53FC5DD6"/>
    <w:rsid w:val="543D7570"/>
    <w:rsid w:val="54564FFB"/>
    <w:rsid w:val="54A40E1B"/>
    <w:rsid w:val="551D0D5D"/>
    <w:rsid w:val="560F7EC1"/>
    <w:rsid w:val="567D0FF8"/>
    <w:rsid w:val="568227A4"/>
    <w:rsid w:val="569F25EC"/>
    <w:rsid w:val="57415F26"/>
    <w:rsid w:val="574A3373"/>
    <w:rsid w:val="57B74EC9"/>
    <w:rsid w:val="57B953F1"/>
    <w:rsid w:val="57E07EC4"/>
    <w:rsid w:val="582D7FBC"/>
    <w:rsid w:val="586326D1"/>
    <w:rsid w:val="58DE1AD2"/>
    <w:rsid w:val="58FF1F19"/>
    <w:rsid w:val="59005948"/>
    <w:rsid w:val="59106D35"/>
    <w:rsid w:val="593A45BE"/>
    <w:rsid w:val="599A0A10"/>
    <w:rsid w:val="5A52191C"/>
    <w:rsid w:val="5AD042C3"/>
    <w:rsid w:val="5B263D35"/>
    <w:rsid w:val="5B780957"/>
    <w:rsid w:val="5BA00A75"/>
    <w:rsid w:val="5BF41DA3"/>
    <w:rsid w:val="5C07059C"/>
    <w:rsid w:val="5C546BEE"/>
    <w:rsid w:val="5C9913FA"/>
    <w:rsid w:val="5CAA1511"/>
    <w:rsid w:val="5D146AA5"/>
    <w:rsid w:val="5D2D19B2"/>
    <w:rsid w:val="5E2C70F4"/>
    <w:rsid w:val="5E824789"/>
    <w:rsid w:val="5E853663"/>
    <w:rsid w:val="5F614F08"/>
    <w:rsid w:val="5F746155"/>
    <w:rsid w:val="5FF71E8E"/>
    <w:rsid w:val="60670848"/>
    <w:rsid w:val="60855755"/>
    <w:rsid w:val="609F2CC1"/>
    <w:rsid w:val="60A15F2C"/>
    <w:rsid w:val="60B21BBE"/>
    <w:rsid w:val="60FE03BF"/>
    <w:rsid w:val="6126591B"/>
    <w:rsid w:val="61980CC9"/>
    <w:rsid w:val="61AD6574"/>
    <w:rsid w:val="61C5726D"/>
    <w:rsid w:val="61E83849"/>
    <w:rsid w:val="620E33B8"/>
    <w:rsid w:val="625C2389"/>
    <w:rsid w:val="628A0E54"/>
    <w:rsid w:val="628C0429"/>
    <w:rsid w:val="629B6335"/>
    <w:rsid w:val="62BD6607"/>
    <w:rsid w:val="62F27A71"/>
    <w:rsid w:val="63BB490E"/>
    <w:rsid w:val="63E13714"/>
    <w:rsid w:val="64191C0C"/>
    <w:rsid w:val="64327080"/>
    <w:rsid w:val="646150F1"/>
    <w:rsid w:val="65742300"/>
    <w:rsid w:val="65A74C8A"/>
    <w:rsid w:val="65B91273"/>
    <w:rsid w:val="661D0136"/>
    <w:rsid w:val="67103CAA"/>
    <w:rsid w:val="6763025F"/>
    <w:rsid w:val="67B37CAC"/>
    <w:rsid w:val="67C36B04"/>
    <w:rsid w:val="67D04246"/>
    <w:rsid w:val="68031D20"/>
    <w:rsid w:val="68705070"/>
    <w:rsid w:val="6874794B"/>
    <w:rsid w:val="68902772"/>
    <w:rsid w:val="68936BE1"/>
    <w:rsid w:val="68B56CD1"/>
    <w:rsid w:val="69102D5A"/>
    <w:rsid w:val="692B0622"/>
    <w:rsid w:val="69447B3D"/>
    <w:rsid w:val="69E4149B"/>
    <w:rsid w:val="6A2A7345"/>
    <w:rsid w:val="6A4D01E9"/>
    <w:rsid w:val="6A7F5794"/>
    <w:rsid w:val="6AB5480D"/>
    <w:rsid w:val="6B013A74"/>
    <w:rsid w:val="6B335C37"/>
    <w:rsid w:val="6B3C1124"/>
    <w:rsid w:val="6BA2605E"/>
    <w:rsid w:val="6BFD3278"/>
    <w:rsid w:val="6C045932"/>
    <w:rsid w:val="6C3753DE"/>
    <w:rsid w:val="6C631BC8"/>
    <w:rsid w:val="6C8F2A75"/>
    <w:rsid w:val="6CCA0182"/>
    <w:rsid w:val="6CDF3322"/>
    <w:rsid w:val="6D5A4654"/>
    <w:rsid w:val="6D5B1625"/>
    <w:rsid w:val="6D78085F"/>
    <w:rsid w:val="6E3037AF"/>
    <w:rsid w:val="6E442898"/>
    <w:rsid w:val="6E724370"/>
    <w:rsid w:val="6E9F124B"/>
    <w:rsid w:val="6EB37A83"/>
    <w:rsid w:val="6EBE288E"/>
    <w:rsid w:val="6FA706C1"/>
    <w:rsid w:val="6FA74C6F"/>
    <w:rsid w:val="6FDA5A62"/>
    <w:rsid w:val="707F4C79"/>
    <w:rsid w:val="70A95D82"/>
    <w:rsid w:val="70BA004E"/>
    <w:rsid w:val="71866805"/>
    <w:rsid w:val="72915FBA"/>
    <w:rsid w:val="73467BF1"/>
    <w:rsid w:val="740A2C0A"/>
    <w:rsid w:val="746D27D0"/>
    <w:rsid w:val="746E7630"/>
    <w:rsid w:val="756C34B2"/>
    <w:rsid w:val="75717CBE"/>
    <w:rsid w:val="75A13367"/>
    <w:rsid w:val="76332BE1"/>
    <w:rsid w:val="76863B3D"/>
    <w:rsid w:val="769030A5"/>
    <w:rsid w:val="769570B8"/>
    <w:rsid w:val="76C848AD"/>
    <w:rsid w:val="76D33257"/>
    <w:rsid w:val="77127290"/>
    <w:rsid w:val="77BF64A6"/>
    <w:rsid w:val="78162F6D"/>
    <w:rsid w:val="78782DC0"/>
    <w:rsid w:val="79C42205"/>
    <w:rsid w:val="79E343C4"/>
    <w:rsid w:val="79F3174E"/>
    <w:rsid w:val="7AD35FBA"/>
    <w:rsid w:val="7AE107C0"/>
    <w:rsid w:val="7AED7849"/>
    <w:rsid w:val="7B1E496F"/>
    <w:rsid w:val="7B383CC7"/>
    <w:rsid w:val="7B413020"/>
    <w:rsid w:val="7B467B32"/>
    <w:rsid w:val="7B781385"/>
    <w:rsid w:val="7B930941"/>
    <w:rsid w:val="7BB1023E"/>
    <w:rsid w:val="7BE225DF"/>
    <w:rsid w:val="7C364B59"/>
    <w:rsid w:val="7D6D65CD"/>
    <w:rsid w:val="7DED504E"/>
    <w:rsid w:val="7E4641FE"/>
    <w:rsid w:val="7E4D4D56"/>
    <w:rsid w:val="7E9D5091"/>
    <w:rsid w:val="7E9E1681"/>
    <w:rsid w:val="7ECA3D9B"/>
    <w:rsid w:val="7EDD0AB0"/>
    <w:rsid w:val="7F3669DF"/>
    <w:rsid w:val="7F6156A9"/>
    <w:rsid w:val="7F8217BF"/>
    <w:rsid w:val="7F8E7E06"/>
    <w:rsid w:val="7FCB0A77"/>
    <w:rsid w:val="7FFEB27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ocked="1"/>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qFormat="1" w:unhideWhenUsed="0" w:uiPriority="99" w:name="footnote text"/>
    <w:lsdException w:uiPriority="99" w:name="annotation text" w:locked="1"/>
    <w:lsdException w:qFormat="1" w:unhideWhenUsed="0" w:uiPriority="99"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qFormat="1" w:unhideWhenUsed="0" w:uiPriority="99" w:name="footnote reference"/>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ocked="1"/>
    <w:lsdException w:uiPriority="99" w:name="Closing" w:locked="1"/>
    <w:lsdException w:uiPriority="99" w:name="Signature" w:locked="1"/>
    <w:lsdException w:qFormat="1" w:uiPriority="1" w:semiHidden="0"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semiHidden="0" w:name="Hyperlink" w:locked="1"/>
    <w:lsdException w:uiPriority="99" w:name="FollowedHyperlink" w:locked="1"/>
    <w:lsdException w:qFormat="1" w:unhideWhenUsed="0" w:uiPriority="99"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20" w:line="560" w:lineRule="exact"/>
      <w:ind w:firstLine="640" w:firstLineChars="200"/>
      <w:jc w:val="both"/>
    </w:pPr>
    <w:rPr>
      <w:rFonts w:ascii="仿宋" w:hAnsi="仿宋" w:eastAsia="仿宋" w:cs="Times New Roman"/>
      <w:bCs/>
      <w:kern w:val="2"/>
      <w:sz w:val="32"/>
      <w:szCs w:val="32"/>
      <w:lang w:val="en-US" w:eastAsia="zh-CN" w:bidi="ar-SA"/>
    </w:rPr>
  </w:style>
  <w:style w:type="paragraph" w:styleId="2">
    <w:name w:val="heading 1"/>
    <w:basedOn w:val="1"/>
    <w:next w:val="1"/>
    <w:link w:val="19"/>
    <w:qFormat/>
    <w:uiPriority w:val="99"/>
    <w:pPr>
      <w:keepNext/>
      <w:keepLines/>
      <w:spacing w:before="156"/>
      <w:outlineLvl w:val="0"/>
    </w:pPr>
    <w:rPr>
      <w:rFonts w:ascii="黑体" w:hAnsi="黑体" w:eastAsia="黑体"/>
      <w:b/>
      <w:kern w:val="44"/>
      <w:szCs w:val="44"/>
    </w:rPr>
  </w:style>
  <w:style w:type="paragraph" w:styleId="3">
    <w:name w:val="heading 2"/>
    <w:basedOn w:val="1"/>
    <w:next w:val="1"/>
    <w:link w:val="20"/>
    <w:qFormat/>
    <w:locked/>
    <w:uiPriority w:val="99"/>
    <w:pPr>
      <w:keepNext/>
      <w:keepLines/>
      <w:ind w:firstLine="643"/>
      <w:outlineLvl w:val="1"/>
    </w:pPr>
    <w:rPr>
      <w:rFonts w:ascii="楷体" w:hAnsi="楷体" w:eastAsia="楷体"/>
      <w:b/>
      <w:bCs w:val="0"/>
    </w:rPr>
  </w:style>
  <w:style w:type="paragraph" w:styleId="4">
    <w:name w:val="heading 3"/>
    <w:basedOn w:val="1"/>
    <w:next w:val="1"/>
    <w:link w:val="21"/>
    <w:qFormat/>
    <w:uiPriority w:val="99"/>
    <w:pPr>
      <w:keepNext/>
      <w:keepLines/>
      <w:outlineLvl w:val="2"/>
    </w:pPr>
    <w:rPr>
      <w:b/>
      <w:bCs w:val="0"/>
      <w:kern w:val="0"/>
      <w:szCs w:val="20"/>
    </w:rPr>
  </w:style>
  <w:style w:type="character" w:default="1" w:styleId="15">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qFormat/>
    <w:uiPriority w:val="99"/>
    <w:rPr>
      <w:bCs w:val="0"/>
      <w:kern w:val="0"/>
      <w:szCs w:val="20"/>
    </w:rPr>
  </w:style>
  <w:style w:type="paragraph" w:styleId="6">
    <w:name w:val="Plain Text"/>
    <w:basedOn w:val="1"/>
    <w:link w:val="23"/>
    <w:qFormat/>
    <w:uiPriority w:val="99"/>
    <w:pPr>
      <w:spacing w:before="0" w:line="240" w:lineRule="auto"/>
      <w:ind w:firstLine="0" w:firstLineChars="0"/>
    </w:pPr>
    <w:rPr>
      <w:rFonts w:ascii="宋体" w:hAnsi="Courier New" w:eastAsia="宋体"/>
      <w:bCs w:val="0"/>
      <w:kern w:val="0"/>
      <w:sz w:val="21"/>
      <w:szCs w:val="20"/>
    </w:rPr>
  </w:style>
  <w:style w:type="paragraph" w:styleId="7">
    <w:name w:val="Date"/>
    <w:basedOn w:val="1"/>
    <w:next w:val="1"/>
    <w:link w:val="30"/>
    <w:semiHidden/>
    <w:unhideWhenUsed/>
    <w:qFormat/>
    <w:locked/>
    <w:uiPriority w:val="99"/>
    <w:pPr>
      <w:ind w:left="100" w:leftChars="2500"/>
    </w:pPr>
  </w:style>
  <w:style w:type="paragraph" w:styleId="8">
    <w:name w:val="Balloon Text"/>
    <w:basedOn w:val="1"/>
    <w:link w:val="24"/>
    <w:semiHidden/>
    <w:qFormat/>
    <w:uiPriority w:val="99"/>
    <w:pPr>
      <w:spacing w:line="240" w:lineRule="auto"/>
    </w:pPr>
    <w:rPr>
      <w:sz w:val="18"/>
      <w:szCs w:val="18"/>
    </w:rPr>
  </w:style>
  <w:style w:type="paragraph" w:styleId="9">
    <w:name w:val="footer"/>
    <w:basedOn w:val="1"/>
    <w:link w:val="25"/>
    <w:qFormat/>
    <w:uiPriority w:val="99"/>
    <w:pPr>
      <w:tabs>
        <w:tab w:val="center" w:pos="4153"/>
        <w:tab w:val="right" w:pos="8306"/>
      </w:tabs>
      <w:snapToGrid w:val="0"/>
      <w:spacing w:before="0" w:line="240" w:lineRule="auto"/>
      <w:ind w:firstLine="0" w:firstLineChars="0"/>
      <w:jc w:val="center"/>
    </w:pPr>
    <w:rPr>
      <w:bCs w:val="0"/>
      <w:kern w:val="0"/>
      <w:sz w:val="18"/>
      <w:szCs w:val="20"/>
    </w:rPr>
  </w:style>
  <w:style w:type="paragraph" w:styleId="10">
    <w:name w:val="header"/>
    <w:basedOn w:val="1"/>
    <w:link w:val="26"/>
    <w:semiHidden/>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bCs w:val="0"/>
      <w:kern w:val="0"/>
      <w:sz w:val="18"/>
      <w:szCs w:val="20"/>
    </w:rPr>
  </w:style>
  <w:style w:type="paragraph" w:styleId="11">
    <w:name w:val="footnote text"/>
    <w:basedOn w:val="1"/>
    <w:link w:val="27"/>
    <w:semiHidden/>
    <w:qFormat/>
    <w:uiPriority w:val="99"/>
    <w:pPr>
      <w:snapToGrid w:val="0"/>
      <w:jc w:val="left"/>
    </w:pPr>
    <w:rPr>
      <w:bCs w:val="0"/>
      <w:kern w:val="0"/>
      <w:sz w:val="18"/>
      <w:szCs w:val="18"/>
    </w:rPr>
  </w:style>
  <w:style w:type="paragraph" w:styleId="12">
    <w:name w:val="Normal (Web)"/>
    <w:basedOn w:val="1"/>
    <w:semiHidden/>
    <w:unhideWhenUsed/>
    <w:qFormat/>
    <w:locked/>
    <w:uiPriority w:val="99"/>
    <w:pPr>
      <w:widowControl/>
      <w:spacing w:before="100" w:beforeAutospacing="1" w:after="100" w:afterAutospacing="1" w:line="240" w:lineRule="auto"/>
      <w:ind w:firstLine="0" w:firstLineChars="0"/>
      <w:jc w:val="left"/>
    </w:pPr>
    <w:rPr>
      <w:rFonts w:ascii="宋体" w:hAnsi="宋体" w:eastAsia="宋体" w:cs="宋体"/>
      <w:bCs w:val="0"/>
      <w:kern w:val="0"/>
      <w:sz w:val="24"/>
      <w:szCs w:val="24"/>
    </w:rPr>
  </w:style>
  <w:style w:type="paragraph" w:styleId="13">
    <w:name w:val="Title"/>
    <w:basedOn w:val="1"/>
    <w:next w:val="1"/>
    <w:link w:val="28"/>
    <w:qFormat/>
    <w:locked/>
    <w:uiPriority w:val="99"/>
    <w:pPr>
      <w:spacing w:before="156" w:after="60" w:line="240" w:lineRule="auto"/>
      <w:ind w:firstLine="0" w:firstLineChars="0"/>
      <w:jc w:val="center"/>
      <w:outlineLvl w:val="0"/>
    </w:pPr>
    <w:rPr>
      <w:rFonts w:ascii="Cambria" w:hAnsi="Cambria" w:eastAsia="宋体"/>
      <w:b/>
      <w:bCs w:val="0"/>
      <w:sz w:val="44"/>
    </w:rPr>
  </w:style>
  <w:style w:type="character" w:styleId="16">
    <w:name w:val="Strong"/>
    <w:basedOn w:val="15"/>
    <w:qFormat/>
    <w:locked/>
    <w:uiPriority w:val="99"/>
    <w:rPr>
      <w:rFonts w:cs="Times New Roman"/>
    </w:rPr>
  </w:style>
  <w:style w:type="character" w:styleId="17">
    <w:name w:val="Hyperlink"/>
    <w:basedOn w:val="15"/>
    <w:unhideWhenUsed/>
    <w:qFormat/>
    <w:locked/>
    <w:uiPriority w:val="99"/>
    <w:rPr>
      <w:color w:val="0000FF"/>
      <w:u w:val="single"/>
    </w:rPr>
  </w:style>
  <w:style w:type="character" w:styleId="18">
    <w:name w:val="footnote reference"/>
    <w:basedOn w:val="15"/>
    <w:semiHidden/>
    <w:qFormat/>
    <w:uiPriority w:val="99"/>
    <w:rPr>
      <w:rFonts w:cs="Times New Roman"/>
      <w:vertAlign w:val="superscript"/>
    </w:rPr>
  </w:style>
  <w:style w:type="character" w:customStyle="1" w:styleId="19">
    <w:name w:val="标题 1 字符"/>
    <w:basedOn w:val="15"/>
    <w:link w:val="2"/>
    <w:qFormat/>
    <w:locked/>
    <w:uiPriority w:val="99"/>
    <w:rPr>
      <w:rFonts w:ascii="黑体" w:hAnsi="黑体" w:eastAsia="黑体" w:cs="Times New Roman"/>
      <w:b/>
      <w:kern w:val="44"/>
      <w:sz w:val="44"/>
    </w:rPr>
  </w:style>
  <w:style w:type="character" w:customStyle="1" w:styleId="20">
    <w:name w:val="标题 2 字符"/>
    <w:basedOn w:val="15"/>
    <w:link w:val="3"/>
    <w:qFormat/>
    <w:locked/>
    <w:uiPriority w:val="99"/>
    <w:rPr>
      <w:rFonts w:ascii="楷体" w:hAnsi="楷体" w:eastAsia="楷体" w:cs="Times New Roman"/>
      <w:b/>
      <w:bCs/>
      <w:kern w:val="2"/>
      <w:sz w:val="32"/>
      <w:szCs w:val="32"/>
    </w:rPr>
  </w:style>
  <w:style w:type="character" w:customStyle="1" w:styleId="21">
    <w:name w:val="标题 3 字符"/>
    <w:basedOn w:val="15"/>
    <w:link w:val="4"/>
    <w:semiHidden/>
    <w:qFormat/>
    <w:locked/>
    <w:uiPriority w:val="99"/>
    <w:rPr>
      <w:rFonts w:ascii="仿宋" w:hAnsi="仿宋" w:eastAsia="仿宋" w:cs="Times New Roman"/>
      <w:b/>
      <w:sz w:val="32"/>
    </w:rPr>
  </w:style>
  <w:style w:type="character" w:customStyle="1" w:styleId="22">
    <w:name w:val="正文文本 字符"/>
    <w:basedOn w:val="15"/>
    <w:link w:val="5"/>
    <w:semiHidden/>
    <w:qFormat/>
    <w:locked/>
    <w:uiPriority w:val="99"/>
    <w:rPr>
      <w:rFonts w:ascii="仿宋" w:hAnsi="仿宋" w:eastAsia="仿宋" w:cs="Times New Roman"/>
      <w:sz w:val="32"/>
    </w:rPr>
  </w:style>
  <w:style w:type="character" w:customStyle="1" w:styleId="23">
    <w:name w:val="纯文本 字符"/>
    <w:basedOn w:val="15"/>
    <w:link w:val="6"/>
    <w:qFormat/>
    <w:locked/>
    <w:uiPriority w:val="99"/>
    <w:rPr>
      <w:rFonts w:ascii="宋体" w:hAnsi="Courier New"/>
      <w:sz w:val="21"/>
    </w:rPr>
  </w:style>
  <w:style w:type="character" w:customStyle="1" w:styleId="24">
    <w:name w:val="批注框文本 字符"/>
    <w:basedOn w:val="15"/>
    <w:link w:val="8"/>
    <w:semiHidden/>
    <w:qFormat/>
    <w:locked/>
    <w:uiPriority w:val="99"/>
    <w:rPr>
      <w:rFonts w:ascii="仿宋" w:hAnsi="仿宋" w:eastAsia="仿宋" w:cs="Times New Roman"/>
      <w:kern w:val="2"/>
      <w:sz w:val="18"/>
      <w:szCs w:val="18"/>
    </w:rPr>
  </w:style>
  <w:style w:type="character" w:customStyle="1" w:styleId="25">
    <w:name w:val="页脚 字符"/>
    <w:basedOn w:val="15"/>
    <w:link w:val="9"/>
    <w:qFormat/>
    <w:locked/>
    <w:uiPriority w:val="99"/>
    <w:rPr>
      <w:rFonts w:ascii="仿宋" w:hAnsi="仿宋" w:eastAsia="仿宋"/>
      <w:sz w:val="18"/>
    </w:rPr>
  </w:style>
  <w:style w:type="character" w:customStyle="1" w:styleId="26">
    <w:name w:val="页眉 字符"/>
    <w:basedOn w:val="15"/>
    <w:link w:val="10"/>
    <w:semiHidden/>
    <w:qFormat/>
    <w:locked/>
    <w:uiPriority w:val="99"/>
    <w:rPr>
      <w:rFonts w:ascii="仿宋" w:hAnsi="仿宋" w:eastAsia="仿宋" w:cs="Times New Roman"/>
      <w:sz w:val="18"/>
    </w:rPr>
  </w:style>
  <w:style w:type="character" w:customStyle="1" w:styleId="27">
    <w:name w:val="脚注文本 字符"/>
    <w:basedOn w:val="15"/>
    <w:link w:val="11"/>
    <w:semiHidden/>
    <w:qFormat/>
    <w:locked/>
    <w:uiPriority w:val="99"/>
    <w:rPr>
      <w:rFonts w:ascii="仿宋" w:hAnsi="仿宋" w:eastAsia="仿宋" w:cs="Times New Roman"/>
      <w:sz w:val="18"/>
    </w:rPr>
  </w:style>
  <w:style w:type="character" w:customStyle="1" w:styleId="28">
    <w:name w:val="标题 字符"/>
    <w:basedOn w:val="15"/>
    <w:link w:val="13"/>
    <w:qFormat/>
    <w:locked/>
    <w:uiPriority w:val="99"/>
    <w:rPr>
      <w:rFonts w:ascii="Cambria" w:hAnsi="Cambria" w:eastAsia="宋体" w:cs="Times New Roman"/>
      <w:b/>
      <w:bCs/>
      <w:kern w:val="2"/>
      <w:sz w:val="32"/>
      <w:szCs w:val="32"/>
    </w:rPr>
  </w:style>
  <w:style w:type="paragraph" w:customStyle="1" w:styleId="29">
    <w:name w:val="Default"/>
    <w:qFormat/>
    <w:uiPriority w:val="99"/>
    <w:pPr>
      <w:widowControl w:val="0"/>
      <w:autoSpaceDE w:val="0"/>
      <w:autoSpaceDN w:val="0"/>
      <w:adjustRightInd w:val="0"/>
    </w:pPr>
    <w:rPr>
      <w:rFonts w:ascii="楷体" w:hAnsi="等线" w:eastAsia="楷体" w:cs="楷体"/>
      <w:color w:val="000000"/>
      <w:sz w:val="24"/>
      <w:szCs w:val="24"/>
      <w:lang w:val="en-US" w:eastAsia="zh-CN" w:bidi="ar-SA"/>
    </w:rPr>
  </w:style>
  <w:style w:type="character" w:customStyle="1" w:styleId="30">
    <w:name w:val="日期 字符"/>
    <w:basedOn w:val="15"/>
    <w:link w:val="7"/>
    <w:semiHidden/>
    <w:qFormat/>
    <w:uiPriority w:val="99"/>
    <w:rPr>
      <w:rFonts w:ascii="仿宋" w:hAnsi="仿宋" w:eastAsia="仿宋"/>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685</Words>
  <Characters>3907</Characters>
  <Lines>32</Lines>
  <Paragraphs>9</Paragraphs>
  <TotalTime>27</TotalTime>
  <ScaleCrop>false</ScaleCrop>
  <LinksUpToDate>false</LinksUpToDate>
  <CharactersWithSpaces>4583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2021-07-26T16:22:00Z</dcterms:created>
  <dc:creator>ye chen</dc:creator>
  <cp:lastModifiedBy>0</cp:lastModifiedBy>
  <cp:lastPrinted>2022-02-14T07:14:00Z</cp:lastPrinted>
  <dcterms:modified xsi:type="dcterms:W3CDTF">2022-02-15T02:32:25Z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8E09B1E078F54701B941C09D7C2DB84F</vt:lpwstr>
  </property>
</Properties>
</file>