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sz w:val="32"/>
          <w:szCs w:val="32"/>
          <w:lang w:eastAsia="zh-CN"/>
        </w:rPr>
      </w:pPr>
      <w:r>
        <w:rPr>
          <w:rFonts w:hint="eastAsia"/>
          <w:lang w:val="en-US" w:eastAsia="zh-CN"/>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第</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号</w:t>
      </w:r>
    </w:p>
    <w:p>
      <w:pPr>
        <w:jc w:val="right"/>
        <w:rPr>
          <w:rFonts w:hint="eastAsia" w:ascii="仿宋" w:hAnsi="仿宋" w:eastAsia="仿宋" w:cs="仿宋"/>
          <w:sz w:val="32"/>
          <w:szCs w:val="32"/>
          <w:lang w:val="en-US" w:eastAsia="zh-CN"/>
        </w:rPr>
      </w:pP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lang w:val="en-US" w:eastAsia="zh-CN"/>
        </w:rPr>
        <w:t>类</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lang w:val="en-US" w:eastAsia="zh-CN"/>
        </w:rPr>
        <w:t>号</w:t>
      </w:r>
    </w:p>
    <w:p>
      <w:pPr>
        <w:rPr>
          <w:rFonts w:hint="eastAsia" w:ascii="仿宋" w:hAnsi="仿宋" w:eastAsia="仿宋" w:cs="仿宋"/>
          <w:sz w:val="32"/>
          <w:szCs w:val="32"/>
          <w:lang w:val="en-US" w:eastAsia="zh-CN"/>
        </w:rPr>
      </w:pPr>
    </w:p>
    <w:p>
      <w:pPr>
        <w:rPr>
          <w:rFonts w:hint="eastAsia" w:ascii="仿宋" w:hAnsi="仿宋" w:eastAsia="仿宋" w:cs="仿宋"/>
          <w:sz w:val="32"/>
          <w:szCs w:val="32"/>
          <w:lang w:val="en-US" w:eastAsia="zh-CN"/>
        </w:rPr>
      </w:pPr>
    </w:p>
    <w:p>
      <w:pPr>
        <w:jc w:val="center"/>
        <w:rPr>
          <w:rFonts w:hint="eastAsia" w:ascii="楷体" w:hAnsi="楷体" w:eastAsia="楷体" w:cs="楷体"/>
          <w:b w:val="0"/>
          <w:bCs w:val="0"/>
          <w:w w:val="66"/>
          <w:sz w:val="72"/>
          <w:szCs w:val="72"/>
          <w:lang w:val="en-US" w:eastAsia="zh-CN"/>
        </w:rPr>
      </w:pPr>
      <w:bookmarkStart w:id="0" w:name="_GoBack"/>
      <w:r>
        <w:rPr>
          <w:rFonts w:hint="eastAsia" w:ascii="新宋体" w:hAnsi="新宋体" w:eastAsia="新宋体" w:cs="新宋体"/>
          <w:b w:val="0"/>
          <w:bCs w:val="0"/>
          <w:w w:val="66"/>
          <w:sz w:val="72"/>
          <w:szCs w:val="72"/>
          <w:lang w:val="en-US" w:eastAsia="zh-CN"/>
        </w:rPr>
        <w:t>中国人民政治协商会议浮梁县委员会</w:t>
      </w:r>
    </w:p>
    <w:bookmarkEnd w:id="0"/>
    <w:p>
      <w:pPr>
        <w:jc w:val="center"/>
        <w:rPr>
          <w:rFonts w:hint="eastAsia" w:ascii="楷体" w:hAnsi="楷体" w:eastAsia="楷体" w:cs="楷体"/>
          <w:b/>
          <w:bCs/>
          <w:w w:val="66"/>
          <w:sz w:val="72"/>
          <w:szCs w:val="72"/>
          <w:lang w:val="en-US" w:eastAsia="zh-CN"/>
        </w:rPr>
      </w:pPr>
    </w:p>
    <w:p>
      <w:pPr>
        <w:jc w:val="center"/>
        <w:rPr>
          <w:rFonts w:hint="eastAsia" w:ascii="楷体" w:hAnsi="楷体" w:eastAsia="楷体" w:cs="楷体"/>
          <w:b/>
          <w:bCs/>
          <w:sz w:val="96"/>
          <w:szCs w:val="96"/>
          <w:lang w:val="en-US" w:eastAsia="zh-CN"/>
        </w:rPr>
      </w:pPr>
      <w:r>
        <w:rPr>
          <w:rFonts w:hint="eastAsia" w:ascii="楷体" w:hAnsi="楷体" w:eastAsia="楷体" w:cs="楷体"/>
          <w:b/>
          <w:bCs/>
          <w:sz w:val="96"/>
          <w:szCs w:val="96"/>
          <w:lang w:val="en-US" w:eastAsia="zh-CN"/>
        </w:rPr>
        <w:t>委 员 提 案</w:t>
      </w:r>
    </w:p>
    <w:p>
      <w:pPr>
        <w:jc w:val="center"/>
        <w:rPr>
          <w:rFonts w:hint="eastAsia" w:ascii="楷体" w:hAnsi="楷体" w:eastAsia="楷体" w:cs="楷体"/>
          <w:b/>
          <w:bCs/>
          <w:sz w:val="96"/>
          <w:szCs w:val="96"/>
          <w:lang w:val="en-US" w:eastAsia="zh-CN"/>
        </w:rPr>
      </w:pPr>
    </w:p>
    <w:p>
      <w:pPr>
        <w:jc w:val="center"/>
        <w:rPr>
          <w:rFonts w:hint="eastAsia" w:ascii="楷体" w:hAnsi="楷体" w:eastAsia="楷体" w:cs="楷体"/>
          <w:b/>
          <w:bCs/>
          <w:sz w:val="96"/>
          <w:szCs w:val="96"/>
          <w:lang w:val="en-US" w:eastAsia="zh-CN"/>
        </w:rPr>
      </w:pPr>
    </w:p>
    <w:p>
      <w:pP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提</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案</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人：</w:t>
      </w:r>
      <w:r>
        <w:rPr>
          <w:rFonts w:hint="eastAsia" w:ascii="仿宋_GB2312" w:hAnsi="仿宋_GB2312" w:eastAsia="仿宋_GB2312" w:cs="仿宋_GB2312"/>
          <w:sz w:val="32"/>
          <w:szCs w:val="32"/>
          <w:u w:val="single"/>
          <w:lang w:val="en-US" w:eastAsia="zh-CN"/>
        </w:rPr>
        <w:t xml:space="preserve">              董珊延                                                 </w:t>
      </w: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单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 xml:space="preserve">位: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u w:val="single"/>
          <w:lang w:val="en-US" w:eastAsia="zh-CN"/>
        </w:rPr>
        <w:t xml:space="preserve">         浮梁县第一中学                                                   </w:t>
      </w: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联系电话：</w:t>
      </w:r>
      <w:r>
        <w:rPr>
          <w:rFonts w:hint="eastAsia" w:ascii="仿宋_GB2312" w:hAnsi="仿宋_GB2312" w:eastAsia="仿宋_GB2312" w:cs="仿宋_GB2312"/>
          <w:sz w:val="32"/>
          <w:szCs w:val="32"/>
          <w:u w:val="single"/>
          <w:lang w:val="en-US" w:eastAsia="zh-CN"/>
        </w:rPr>
        <w:t xml:space="preserve">           15179890667                                                   </w:t>
      </w:r>
      <w:r>
        <w:rPr>
          <w:rFonts w:hint="eastAsia" w:ascii="仿宋_GB2312" w:hAnsi="仿宋_GB2312" w:eastAsia="仿宋_GB2312" w:cs="仿宋_GB2312"/>
          <w:sz w:val="32"/>
          <w:szCs w:val="32"/>
        </w:rPr>
        <w:t xml:space="preserve">                                        </w:t>
      </w:r>
    </w:p>
    <w:p>
      <w:pPr>
        <w:ind w:left="321" w:hanging="321" w:hangingChars="100"/>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b/>
          <w:bCs/>
          <w:sz w:val="32"/>
          <w:szCs w:val="32"/>
        </w:rPr>
        <w:t xml:space="preserve">案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由：</w:t>
      </w:r>
      <w:r>
        <w:rPr>
          <w:rFonts w:hint="eastAsia" w:ascii="仿宋_GB2312" w:hAnsi="仿宋_GB2312" w:eastAsia="仿宋_GB2312" w:cs="仿宋_GB2312"/>
          <w:sz w:val="32"/>
          <w:szCs w:val="32"/>
          <w:u w:val="single"/>
          <w:lang w:val="en-US" w:eastAsia="zh-CN"/>
        </w:rPr>
        <w:t xml:space="preserve">  加强对住宅小区乱停车辆问题的管理        </w:t>
      </w:r>
    </w:p>
    <w:p>
      <w:pPr>
        <w:ind w:left="321" w:hanging="320" w:hanging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p>
    <w:p>
      <w:pPr>
        <w:rPr>
          <w:rFonts w:hint="eastAsia"/>
          <w:sz w:val="32"/>
          <w:szCs w:val="32"/>
        </w:rPr>
      </w:pPr>
      <w:r>
        <w:rPr>
          <w:rFonts w:hint="eastAsia"/>
          <w:sz w:val="32"/>
          <w:szCs w:val="32"/>
        </w:rPr>
        <w:t xml:space="preserve">                                                  </w:t>
      </w:r>
    </w:p>
    <w:p>
      <w:pPr>
        <w:rPr>
          <w:rFonts w:hint="eastAsia"/>
        </w:rPr>
      </w:pPr>
    </w:p>
    <w:p>
      <w:pPr>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2023</w:t>
      </w:r>
      <w:r>
        <w:rPr>
          <w:rFonts w:hint="eastAsia" w:ascii="仿宋_GB2312" w:hAnsi="仿宋_GB2312" w:eastAsia="仿宋_GB2312" w:cs="仿宋_GB2312"/>
          <w:b/>
          <w:bCs/>
          <w:sz w:val="32"/>
          <w:szCs w:val="32"/>
        </w:rPr>
        <w:t xml:space="preserve">年 </w:t>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 xml:space="preserve"> 月 </w:t>
      </w:r>
      <w:r>
        <w:rPr>
          <w:rFonts w:hint="eastAsia" w:ascii="仿宋_GB2312" w:hAnsi="仿宋_GB2312" w:eastAsia="仿宋_GB2312" w:cs="仿宋_GB2312"/>
          <w:b/>
          <w:bCs/>
          <w:sz w:val="32"/>
          <w:szCs w:val="32"/>
          <w:lang w:val="en-US" w:eastAsia="zh-CN"/>
        </w:rPr>
        <w:t>26</w:t>
      </w:r>
      <w:r>
        <w:rPr>
          <w:rFonts w:hint="eastAsia" w:ascii="仿宋_GB2312" w:hAnsi="仿宋_GB2312" w:eastAsia="仿宋_GB2312" w:cs="仿宋_GB2312"/>
          <w:b/>
          <w:bCs/>
          <w:sz w:val="32"/>
          <w:szCs w:val="32"/>
        </w:rPr>
        <w:t>日</w:t>
      </w:r>
    </w:p>
    <w:p>
      <w:pPr>
        <w:rPr>
          <w:rFonts w:hint="eastAsia"/>
        </w:rPr>
      </w:pPr>
    </w:p>
    <w:p>
      <w:pPr>
        <w:rPr>
          <w:rFonts w:hint="eastAsia"/>
        </w:rPr>
      </w:pPr>
    </w:p>
    <w:p>
      <w:pPr>
        <w:rPr>
          <w:rFonts w:hint="eastAsia" w:asciiTheme="majorEastAsia" w:hAnsiTheme="majorEastAsia" w:eastAsiaTheme="majorEastAsia" w:cstheme="majorEastAsia"/>
          <w:sz w:val="32"/>
          <w:szCs w:val="32"/>
        </w:rPr>
      </w:pPr>
    </w:p>
    <w:p>
      <w:pPr>
        <w:ind w:firstLine="643" w:firstLineChars="200"/>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b/>
          <w:bCs/>
          <w:sz w:val="32"/>
          <w:szCs w:val="32"/>
        </w:rPr>
        <w:t>理由</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u w:val="single"/>
        </w:rPr>
        <w:t>随着我</w:t>
      </w:r>
      <w:r>
        <w:rPr>
          <w:rFonts w:hint="eastAsia" w:ascii="仿宋_GB2312" w:hAnsi="仿宋_GB2312" w:eastAsia="仿宋_GB2312" w:cs="仿宋_GB2312"/>
          <w:sz w:val="32"/>
          <w:szCs w:val="32"/>
          <w:u w:val="single"/>
          <w:lang w:val="en-US" w:eastAsia="zh-CN"/>
        </w:rPr>
        <w:t>县</w:t>
      </w:r>
      <w:r>
        <w:rPr>
          <w:rFonts w:hint="eastAsia" w:ascii="仿宋_GB2312" w:hAnsi="仿宋_GB2312" w:eastAsia="仿宋_GB2312" w:cs="仿宋_GB2312"/>
          <w:sz w:val="32"/>
          <w:szCs w:val="32"/>
          <w:u w:val="single"/>
        </w:rPr>
        <w:t>私家车拥有量的大幅度增加，车辆乱停乱放现象日益严峻。在众多的住宅小区内，时常出现乱停车现象，一些私家车霸占他人停车位或霸占多个停车位</w:t>
      </w:r>
      <w:r>
        <w:rPr>
          <w:rFonts w:hint="eastAsia" w:ascii="仿宋_GB2312" w:hAnsi="仿宋_GB2312" w:eastAsia="仿宋_GB2312" w:cs="仿宋_GB2312"/>
          <w:sz w:val="32"/>
          <w:szCs w:val="32"/>
          <w:u w:val="single"/>
          <w:lang w:eastAsia="zh-CN"/>
        </w:rPr>
        <w:t>，</w:t>
      </w:r>
      <w:r>
        <w:rPr>
          <w:rFonts w:hint="eastAsia" w:ascii="仿宋_GB2312" w:hAnsi="仿宋_GB2312" w:eastAsia="仿宋_GB2312" w:cs="仿宋_GB2312"/>
          <w:sz w:val="32"/>
          <w:szCs w:val="32"/>
          <w:u w:val="single"/>
        </w:rPr>
        <w:t>堵住他人车辆的出口和入口</w:t>
      </w:r>
      <w:r>
        <w:rPr>
          <w:rFonts w:hint="eastAsia" w:ascii="仿宋_GB2312" w:hAnsi="仿宋_GB2312" w:eastAsia="仿宋_GB2312" w:cs="仿宋_GB2312"/>
          <w:sz w:val="32"/>
          <w:szCs w:val="32"/>
          <w:u w:val="single"/>
          <w:lang w:eastAsia="zh-CN"/>
        </w:rPr>
        <w:t>，</w:t>
      </w:r>
      <w:r>
        <w:rPr>
          <w:rFonts w:hint="eastAsia" w:ascii="仿宋_GB2312" w:hAnsi="仿宋_GB2312" w:eastAsia="仿宋_GB2312" w:cs="仿宋_GB2312"/>
          <w:sz w:val="32"/>
          <w:szCs w:val="32"/>
          <w:u w:val="single"/>
        </w:rPr>
        <w:t>毁坏绿化地带</w:t>
      </w:r>
      <w:r>
        <w:rPr>
          <w:rFonts w:hint="eastAsia" w:ascii="仿宋_GB2312" w:hAnsi="仿宋_GB2312" w:eastAsia="仿宋_GB2312" w:cs="仿宋_GB2312"/>
          <w:sz w:val="32"/>
          <w:szCs w:val="32"/>
          <w:u w:val="single"/>
          <w:lang w:eastAsia="zh-CN"/>
        </w:rPr>
        <w:t>，</w:t>
      </w:r>
      <w:r>
        <w:rPr>
          <w:rFonts w:hint="eastAsia" w:ascii="仿宋_GB2312" w:hAnsi="仿宋_GB2312" w:eastAsia="仿宋_GB2312" w:cs="仿宋_GB2312"/>
          <w:sz w:val="32"/>
          <w:szCs w:val="32"/>
          <w:u w:val="single"/>
        </w:rPr>
        <w:t>侵占公共道路，破坏了小区的居住环境，阻碍了居民的正常通行，引发出众多邻里纠纷矛盾，有的甚至堵塞了安全紧急疏通要道及消防通道，给人民群众生命财产及消防安全等方面带来重大隐患。尽管我</w:t>
      </w:r>
      <w:r>
        <w:rPr>
          <w:rFonts w:hint="eastAsia" w:ascii="仿宋_GB2312" w:hAnsi="仿宋_GB2312" w:eastAsia="仿宋_GB2312" w:cs="仿宋_GB2312"/>
          <w:sz w:val="32"/>
          <w:szCs w:val="32"/>
          <w:u w:val="single"/>
          <w:lang w:val="en-US" w:eastAsia="zh-CN"/>
        </w:rPr>
        <w:t>县</w:t>
      </w:r>
      <w:r>
        <w:rPr>
          <w:rFonts w:hint="eastAsia" w:ascii="仿宋_GB2312" w:hAnsi="仿宋_GB2312" w:eastAsia="仿宋_GB2312" w:cs="仿宋_GB2312"/>
          <w:sz w:val="32"/>
          <w:szCs w:val="32"/>
          <w:u w:val="single"/>
        </w:rPr>
        <w:t>各物业公司根据管辖小区的实际情况，规划了车辆停放的位置</w:t>
      </w:r>
      <w:r>
        <w:rPr>
          <w:rFonts w:hint="eastAsia" w:ascii="仿宋_GB2312" w:hAnsi="仿宋_GB2312" w:eastAsia="仿宋_GB2312" w:cs="仿宋_GB2312"/>
          <w:sz w:val="32"/>
          <w:szCs w:val="32"/>
          <w:u w:val="single"/>
          <w:lang w:eastAsia="zh-CN"/>
        </w:rPr>
        <w:t>，</w:t>
      </w:r>
      <w:r>
        <w:rPr>
          <w:rFonts w:hint="eastAsia" w:ascii="仿宋_GB2312" w:hAnsi="仿宋_GB2312" w:eastAsia="仿宋_GB2312" w:cs="仿宋_GB2312"/>
          <w:sz w:val="32"/>
          <w:szCs w:val="32"/>
          <w:u w:val="single"/>
        </w:rPr>
        <w:t>划定了停车位，明确了车行道，设置了小区道路减速带，小区入口处大多架设了栏杆，减少外来车辆进入小区挤占停车位，一定程度上保证了车辆在小区内的有序停放和安全行使，但受客观条件的制约，仍不能从根本上解决小区乱停车的问题。 住宅小区为何出现众多乱停车，据了解主要有以下原因：</w:t>
      </w:r>
      <w:r>
        <w:rPr>
          <w:rFonts w:hint="eastAsia" w:ascii="仿宋_GB2312" w:hAnsi="仿宋_GB2312" w:eastAsia="仿宋_GB2312" w:cs="仿宋_GB2312"/>
          <w:sz w:val="32"/>
          <w:szCs w:val="32"/>
          <w:u w:val="single"/>
          <w:lang w:val="en-US" w:eastAsia="zh-CN"/>
        </w:rPr>
        <w:t xml:space="preserve">                                        </w:t>
      </w:r>
    </w:p>
    <w:p>
      <w:pPr>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一、一般老旧小区的停车位满足不了日益增多的车辆需求。据调查，目前我</w:t>
      </w:r>
      <w:r>
        <w:rPr>
          <w:rFonts w:hint="eastAsia" w:ascii="仿宋_GB2312" w:hAnsi="仿宋_GB2312" w:eastAsia="仿宋_GB2312" w:cs="仿宋_GB2312"/>
          <w:sz w:val="32"/>
          <w:szCs w:val="32"/>
          <w:u w:val="single"/>
          <w:lang w:val="en-US" w:eastAsia="zh-CN"/>
        </w:rPr>
        <w:t>县</w:t>
      </w:r>
      <w:r>
        <w:rPr>
          <w:rFonts w:hint="eastAsia" w:ascii="仿宋_GB2312" w:hAnsi="仿宋_GB2312" w:eastAsia="仿宋_GB2312" w:cs="仿宋_GB2312"/>
          <w:sz w:val="32"/>
          <w:szCs w:val="32"/>
          <w:u w:val="single"/>
        </w:rPr>
        <w:t>绝大多数小区居民家中至少有一辆私家车，也有部分达两辆以上。</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p>
    <w:p>
      <w:pPr>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二、近年新建小区的地下停车位充足但售价偏高，居民不愿购买</w:t>
      </w:r>
      <w:r>
        <w:rPr>
          <w:rFonts w:hint="eastAsia" w:ascii="仿宋_GB2312" w:hAnsi="仿宋_GB2312" w:eastAsia="仿宋_GB2312" w:cs="仿宋_GB2312"/>
          <w:sz w:val="32"/>
          <w:szCs w:val="32"/>
          <w:u w:val="single"/>
          <w:lang w:eastAsia="zh-CN"/>
        </w:rPr>
        <w:t>；</w:t>
      </w:r>
      <w:r>
        <w:rPr>
          <w:rFonts w:hint="eastAsia" w:ascii="仿宋_GB2312" w:hAnsi="仿宋_GB2312" w:eastAsia="仿宋_GB2312" w:cs="仿宋_GB2312"/>
          <w:sz w:val="32"/>
          <w:szCs w:val="32"/>
          <w:u w:val="single"/>
        </w:rPr>
        <w:t>同时一些小区</w:t>
      </w:r>
      <w:r>
        <w:rPr>
          <w:rFonts w:hint="eastAsia" w:ascii="仿宋_GB2312" w:hAnsi="仿宋_GB2312" w:eastAsia="仿宋_GB2312" w:cs="仿宋_GB2312"/>
          <w:sz w:val="32"/>
          <w:szCs w:val="32"/>
          <w:u w:val="single"/>
          <w:lang w:val="en-US" w:eastAsia="zh-CN"/>
        </w:rPr>
        <w:t>车库不是用来停车，而是用来居住等其他用途。</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p>
    <w:p>
      <w:pPr>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三、物业公司没有强制权，面对乱停乱放的车辆，物业往往只能按照“业主管理规约”的要求进行说服、劝阻，不能采取强制措施，致使乱停车问题“没人管”或者“管不了”。</w:t>
      </w:r>
      <w:r>
        <w:rPr>
          <w:rFonts w:hint="eastAsia" w:ascii="仿宋_GB2312" w:hAnsi="仿宋_GB2312" w:eastAsia="仿宋_GB2312" w:cs="仿宋_GB2312"/>
          <w:sz w:val="32"/>
          <w:szCs w:val="32"/>
          <w:u w:val="single"/>
          <w:lang w:val="en-US" w:eastAsia="zh-CN"/>
        </w:rPr>
        <w:t xml:space="preserve">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w:t>
      </w:r>
    </w:p>
    <w:p>
      <w:pPr>
        <w:ind w:firstLine="643" w:firstLineChars="200"/>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b/>
          <w:bCs/>
          <w:sz w:val="32"/>
          <w:szCs w:val="32"/>
        </w:rPr>
        <w:t>建议：</w:t>
      </w:r>
      <w:r>
        <w:rPr>
          <w:rFonts w:hint="eastAsia" w:ascii="仿宋_GB2312" w:hAnsi="仿宋_GB2312" w:eastAsia="仿宋_GB2312" w:cs="仿宋_GB2312"/>
          <w:b/>
          <w:bCs/>
          <w:sz w:val="32"/>
          <w:szCs w:val="32"/>
          <w:u w:val="single"/>
          <w:lang w:val="en-US" w:eastAsia="zh-CN"/>
        </w:rPr>
        <w:t xml:space="preserve">                                          </w:t>
      </w:r>
      <w:r>
        <w:rPr>
          <w:rFonts w:hint="eastAsia" w:ascii="仿宋_GB2312" w:hAnsi="仿宋_GB2312" w:eastAsia="仿宋_GB2312" w:cs="仿宋_GB2312"/>
          <w:b/>
          <w:bCs/>
          <w:sz w:val="32"/>
          <w:szCs w:val="32"/>
          <w:lang w:val="en-US" w:eastAsia="zh-CN"/>
        </w:rPr>
        <w:t xml:space="preserve"> </w:t>
      </w:r>
    </w:p>
    <w:p>
      <w:pPr>
        <w:numPr>
          <w:ilvl w:val="0"/>
          <w:numId w:val="0"/>
        </w:numPr>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lang w:eastAsia="zh-CN"/>
        </w:rPr>
        <w:t>一、</w:t>
      </w:r>
      <w:r>
        <w:rPr>
          <w:rFonts w:hint="eastAsia" w:ascii="仿宋_GB2312" w:hAnsi="仿宋_GB2312" w:eastAsia="仿宋_GB2312" w:cs="仿宋_GB2312"/>
          <w:sz w:val="32"/>
          <w:szCs w:val="32"/>
          <w:u w:val="single"/>
        </w:rPr>
        <w:t>由</w:t>
      </w:r>
      <w:r>
        <w:rPr>
          <w:rFonts w:hint="eastAsia" w:ascii="仿宋_GB2312" w:hAnsi="仿宋_GB2312" w:eastAsia="仿宋_GB2312" w:cs="仿宋_GB2312"/>
          <w:sz w:val="32"/>
          <w:szCs w:val="32"/>
          <w:u w:val="single"/>
          <w:lang w:val="en-US" w:eastAsia="zh-CN"/>
        </w:rPr>
        <w:t>县</w:t>
      </w:r>
      <w:r>
        <w:rPr>
          <w:rFonts w:hint="eastAsia" w:ascii="仿宋_GB2312" w:hAnsi="仿宋_GB2312" w:eastAsia="仿宋_GB2312" w:cs="仿宋_GB2312"/>
          <w:sz w:val="32"/>
          <w:szCs w:val="32"/>
          <w:u w:val="single"/>
        </w:rPr>
        <w:t>政府牵头，召集公安、消防、规划、住建、城管等单位统一协调制定出台与停车相关的规定，落实管理责任，使管理有</w:t>
      </w:r>
      <w:r>
        <w:rPr>
          <w:rFonts w:hint="eastAsia" w:ascii="仿宋_GB2312" w:hAnsi="仿宋_GB2312" w:eastAsia="仿宋_GB2312" w:cs="仿宋_GB2312"/>
          <w:sz w:val="32"/>
          <w:szCs w:val="32"/>
          <w:u w:val="single"/>
          <w:lang w:eastAsia="zh-CN"/>
        </w:rPr>
        <w:t>据</w:t>
      </w:r>
      <w:r>
        <w:rPr>
          <w:rFonts w:hint="eastAsia" w:ascii="仿宋_GB2312" w:hAnsi="仿宋_GB2312" w:eastAsia="仿宋_GB2312" w:cs="仿宋_GB2312"/>
          <w:sz w:val="32"/>
          <w:szCs w:val="32"/>
          <w:u w:val="single"/>
        </w:rPr>
        <w:t>可依。</w:t>
      </w:r>
      <w:r>
        <w:rPr>
          <w:rFonts w:hint="eastAsia" w:ascii="仿宋_GB2312" w:hAnsi="仿宋_GB2312" w:eastAsia="仿宋_GB2312" w:cs="仿宋_GB2312"/>
          <w:sz w:val="32"/>
          <w:szCs w:val="32"/>
          <w:u w:val="single"/>
          <w:lang w:val="en-US" w:eastAsia="zh-CN"/>
        </w:rPr>
        <w:t xml:space="preserve">                                    </w:t>
      </w:r>
    </w:p>
    <w:p>
      <w:pPr>
        <w:numPr>
          <w:ilvl w:val="0"/>
          <w:numId w:val="0"/>
        </w:numPr>
        <w:ind w:leftChars="0"/>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u w:val="single"/>
          <w:lang w:val="en-US" w:eastAsia="zh-CN"/>
        </w:rPr>
        <w:t xml:space="preserve">    二、</w:t>
      </w:r>
      <w:r>
        <w:rPr>
          <w:rFonts w:hint="eastAsia" w:ascii="仿宋_GB2312" w:hAnsi="仿宋_GB2312" w:eastAsia="仿宋_GB2312" w:cs="仿宋_GB2312"/>
          <w:sz w:val="32"/>
          <w:szCs w:val="32"/>
          <w:u w:val="single"/>
        </w:rPr>
        <w:t>赋予小区物业一定的处理权力。比如，在业主不按照管理规范将车辆按秩序停放在合理位置上时，小区物业有权对其作出锁车的处理，并要求其交纳一定数额的违约金。如果发生对其他业主的利益造成损害或者妨碍到消防车辆驶入等情况的，应当视具体情况予以赔偿。可以考虑几个小区配置一辆拖车，在必要时及时拖离占道车辆。鼓励小区业主举报违停，举报有奖。</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p>
    <w:p>
      <w:pPr>
        <w:numPr>
          <w:ilvl w:val="0"/>
          <w:numId w:val="0"/>
        </w:numPr>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u w:val="single"/>
          <w:lang w:val="en-US" w:eastAsia="zh-CN"/>
        </w:rPr>
        <w:t xml:space="preserve">    三、</w:t>
      </w:r>
      <w:r>
        <w:rPr>
          <w:rFonts w:hint="eastAsia" w:ascii="仿宋_GB2312" w:hAnsi="仿宋_GB2312" w:eastAsia="仿宋_GB2312" w:cs="仿宋_GB2312"/>
          <w:sz w:val="32"/>
          <w:szCs w:val="32"/>
          <w:u w:val="single"/>
        </w:rPr>
        <w:t>联合执法，加大执法处置力度。比如，在乱停乱放驾驶人拒不驶离或者不接受小区处理意见的情况下，可以汇同交警部门强制拖车并处罚款。对占用消防车通道、接到整改通知却拒不纠正的，要上报至公安部门，消防、交警联合执法予以打击。探索建立乱停乱放与个人金融、就业、教育等相关联的工作机制，让乱停乱放者付出“惨痛代价”。</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p>
    <w:p>
      <w:pPr>
        <w:numPr>
          <w:ilvl w:val="0"/>
          <w:numId w:val="0"/>
        </w:numPr>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四、强化宣传教育，及时曝光不良行为。利用小区的宣传栏、微信平台、电子屏等宣传途径，提醒业主自觉遵守“业主管理规约”，文明行驶，有序停放，自觉维护小区秩序。对违停车辆和违停现场进行拍照和录像，在小区内部予以曝光。</w:t>
      </w:r>
      <w:r>
        <w:rPr>
          <w:rFonts w:hint="eastAsia" w:ascii="仿宋_GB2312" w:hAnsi="仿宋_GB2312" w:eastAsia="仿宋_GB2312" w:cs="仿宋_GB2312"/>
          <w:sz w:val="32"/>
          <w:szCs w:val="32"/>
          <w:u w:val="single"/>
          <w:lang w:val="en-US" w:eastAsia="zh-CN"/>
        </w:rPr>
        <w:t xml:space="preserve">                                                </w:t>
      </w:r>
    </w:p>
    <w:p>
      <w:pPr>
        <w:numPr>
          <w:ilvl w:val="0"/>
          <w:numId w:val="0"/>
        </w:numPr>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五、从长远出发，在兴建居民小区时适当提高停车位的配建指标，设计开发充分的停车位并合理定价，严格控制地面停车率，明确停车位具体位置及交通流向，切实做到人车分流。               </w:t>
      </w:r>
      <w:r>
        <w:rPr>
          <w:rFonts w:hint="eastAsia" w:ascii="仿宋_GB2312" w:hAnsi="仿宋_GB2312" w:eastAsia="仿宋_GB2312" w:cs="仿宋_GB2312"/>
          <w:sz w:val="32"/>
          <w:szCs w:val="32"/>
          <w:u w:val="single"/>
          <w:lang w:val="en-US" w:eastAsia="zh-CN"/>
        </w:rPr>
        <w:t xml:space="preserve">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初审意见：</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 xml:space="preserve">                  </w:t>
      </w:r>
    </w:p>
    <w:p>
      <w:pPr>
        <w:jc w:val="left"/>
        <w:rPr>
          <w:rFonts w:hint="eastAsia" w:ascii="仿宋_GB2312" w:hAnsi="仿宋_GB2312" w:eastAsia="仿宋_GB2312" w:cs="仿宋_GB2312"/>
          <w:kern w:val="2"/>
          <w:sz w:val="32"/>
          <w:szCs w:val="32"/>
          <w:u w:val="single"/>
          <w:lang w:val="en-US" w:eastAsia="zh-CN" w:bidi="ar-SA"/>
        </w:rPr>
      </w:pPr>
      <w:r>
        <w:rPr>
          <w:rFonts w:hint="eastAsia" w:ascii="仿宋_GB2312" w:hAnsi="仿宋_GB2312" w:eastAsia="仿宋_GB2312" w:cs="仿宋_GB2312"/>
          <w:kern w:val="2"/>
          <w:sz w:val="32"/>
          <w:szCs w:val="32"/>
          <w:u w:val="single"/>
          <w:lang w:val="en-US" w:eastAsia="zh-CN" w:bidi="ar-SA"/>
        </w:rPr>
        <w:t xml:space="preserve">                                                           </w:t>
      </w:r>
    </w:p>
    <w:p>
      <w:pPr>
        <w:rPr>
          <w:rFonts w:hint="eastAsia" w:ascii="仿宋_GB2312" w:hAnsi="仿宋_GB2312" w:eastAsia="仿宋_GB2312" w:cs="仿宋_GB2312"/>
          <w:sz w:val="32"/>
          <w:szCs w:val="32"/>
          <w:u w:val="single"/>
        </w:rPr>
      </w:pPr>
      <w:r>
        <w:rPr>
          <w:rFonts w:hint="eastAsia" w:ascii="仿宋_GB2312" w:hAnsi="仿宋_GB2312" w:eastAsia="仿宋_GB2312" w:cs="仿宋_GB2312"/>
          <w:b/>
          <w:bCs/>
          <w:sz w:val="32"/>
          <w:szCs w:val="32"/>
        </w:rPr>
        <w:t>审定意见：</w:t>
      </w:r>
      <w:r>
        <w:rPr>
          <w:rFonts w:hint="eastAsia" w:ascii="仿宋_GB2312" w:hAnsi="仿宋_GB2312" w:eastAsia="仿宋_GB2312" w:cs="仿宋_GB2312"/>
          <w:sz w:val="32"/>
          <w:szCs w:val="32"/>
          <w:u w:val="single"/>
        </w:rPr>
        <w:t xml:space="preserve">                                          </w:t>
      </w:r>
    </w:p>
    <w:p>
      <w:pPr>
        <w:jc w:val="left"/>
        <w:rPr>
          <w:rFonts w:hint="eastAsia" w:ascii="仿宋_GB2312" w:hAnsi="仿宋_GB2312" w:eastAsia="仿宋_GB2312" w:cs="仿宋_GB2312"/>
          <w:kern w:val="2"/>
          <w:sz w:val="32"/>
          <w:szCs w:val="32"/>
          <w:u w:val="single"/>
          <w:lang w:val="en-US" w:eastAsia="zh-CN" w:bidi="ar-SA"/>
        </w:rPr>
      </w:pPr>
      <w:r>
        <w:rPr>
          <w:rFonts w:hint="eastAsia" w:ascii="仿宋_GB2312" w:hAnsi="仿宋_GB2312" w:eastAsia="仿宋_GB2312" w:cs="仿宋_GB2312"/>
          <w:kern w:val="2"/>
          <w:sz w:val="32"/>
          <w:szCs w:val="32"/>
          <w:u w:val="single"/>
          <w:lang w:val="en-US" w:eastAsia="zh-CN" w:bidi="ar-SA"/>
        </w:rPr>
        <w:t xml:space="preserve">                                                         </w:t>
      </w:r>
    </w:p>
    <w:p>
      <w:pPr>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ZiMzE1M2IzM2I4OTFkYzFiNjlmZmM4NjBjYTBhNWEifQ=="/>
  </w:docVars>
  <w:rsids>
    <w:rsidRoot w:val="3EB33CCE"/>
    <w:rsid w:val="02736897"/>
    <w:rsid w:val="08903C78"/>
    <w:rsid w:val="12D06344"/>
    <w:rsid w:val="16253DC2"/>
    <w:rsid w:val="18D32579"/>
    <w:rsid w:val="224934ED"/>
    <w:rsid w:val="264C28D7"/>
    <w:rsid w:val="299601F3"/>
    <w:rsid w:val="322A64EF"/>
    <w:rsid w:val="3236590C"/>
    <w:rsid w:val="32770DD4"/>
    <w:rsid w:val="3D89645B"/>
    <w:rsid w:val="3E0E20C1"/>
    <w:rsid w:val="3EB33CCE"/>
    <w:rsid w:val="403A3C37"/>
    <w:rsid w:val="41E70A4E"/>
    <w:rsid w:val="44DF5079"/>
    <w:rsid w:val="4AD83F7A"/>
    <w:rsid w:val="4E9F1C5B"/>
    <w:rsid w:val="4ED93C8A"/>
    <w:rsid w:val="51043CCF"/>
    <w:rsid w:val="514C7585"/>
    <w:rsid w:val="5627059D"/>
    <w:rsid w:val="5C3A6BA2"/>
    <w:rsid w:val="5CBF0A07"/>
    <w:rsid w:val="647E04DD"/>
    <w:rsid w:val="67B561ED"/>
    <w:rsid w:val="718D11AD"/>
    <w:rsid w:val="723A4AA2"/>
    <w:rsid w:val="74386BCB"/>
    <w:rsid w:val="754909BD"/>
    <w:rsid w:val="77742C65"/>
    <w:rsid w:val="79A0571C"/>
    <w:rsid w:val="79C40A0A"/>
    <w:rsid w:val="7FC76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9"/>
    <w:pPr>
      <w:spacing w:before="145" w:after="100" w:afterAutospacing="1"/>
      <w:ind w:left="117"/>
    </w:pPr>
    <w:rPr>
      <w:rFonts w:ascii="宋体" w:hAnsi="宋体"/>
      <w:sz w:val="32"/>
      <w:szCs w:val="32"/>
    </w:rPr>
  </w:style>
  <w:style w:type="paragraph" w:styleId="3">
    <w:name w:val="Body Text First Indent"/>
    <w:basedOn w:val="2"/>
    <w:unhideWhenUsed/>
    <w:qFormat/>
    <w:uiPriority w:val="99"/>
    <w:pPr>
      <w:ind w:firstLine="420" w:firstLineChars="1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1187</Words>
  <Characters>1201</Characters>
  <Lines>0</Lines>
  <Paragraphs>0</Paragraphs>
  <TotalTime>0</TotalTime>
  <ScaleCrop>false</ScaleCrop>
  <LinksUpToDate>false</LinksUpToDate>
  <CharactersWithSpaces>3032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2021-03-22T05:37:00Z</dcterms:created>
  <dc:creator>黄璜吾爱</dc:creator>
  <cp:lastModifiedBy>彩虹燕子</cp:lastModifiedBy>
  <dcterms:modified xsi:type="dcterms:W3CDTF">2023-03-12T06:39:24Z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4D71ED6B60C947E4AD9A3B619CB50CE3</vt:lpwstr>
  </property>
</Properties>
</file>