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号</w:t>
      </w:r>
    </w:p>
    <w:p>
      <w:pPr>
        <w:jc w:val="right"/>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类</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号</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jc w:val="center"/>
        <w:rPr>
          <w:rFonts w:hint="eastAsia" w:ascii="楷体" w:hAnsi="楷体" w:eastAsia="楷体" w:cs="楷体"/>
          <w:b w:val="0"/>
          <w:bCs w:val="0"/>
          <w:w w:val="66"/>
          <w:sz w:val="72"/>
          <w:szCs w:val="72"/>
          <w:lang w:val="en-US" w:eastAsia="zh-CN"/>
        </w:rPr>
      </w:pPr>
      <w:bookmarkStart w:id="0" w:name="_GoBack"/>
      <w:r>
        <w:rPr>
          <w:rFonts w:hint="eastAsia" w:ascii="新宋体" w:hAnsi="新宋体" w:eastAsia="新宋体" w:cs="新宋体"/>
          <w:b w:val="0"/>
          <w:bCs w:val="0"/>
          <w:w w:val="66"/>
          <w:sz w:val="72"/>
          <w:szCs w:val="72"/>
          <w:lang w:val="en-US" w:eastAsia="zh-CN"/>
        </w:rPr>
        <w:t>中国人民政治协商会议浮梁县委员会</w:t>
      </w:r>
    </w:p>
    <w:bookmarkEnd w:id="0"/>
    <w:p>
      <w:pPr>
        <w:jc w:val="center"/>
        <w:rPr>
          <w:rFonts w:hint="eastAsia" w:ascii="楷体" w:hAnsi="楷体" w:eastAsia="楷体" w:cs="楷体"/>
          <w:b/>
          <w:bCs/>
          <w:w w:val="66"/>
          <w:sz w:val="72"/>
          <w:szCs w:val="72"/>
          <w:lang w:val="en-US" w:eastAsia="zh-CN"/>
        </w:rPr>
      </w:pPr>
    </w:p>
    <w:p>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pPr>
        <w:jc w:val="center"/>
        <w:rPr>
          <w:rFonts w:hint="eastAsia" w:ascii="楷体" w:hAnsi="楷体" w:eastAsia="楷体" w:cs="楷体"/>
          <w:b/>
          <w:bCs/>
          <w:sz w:val="96"/>
          <w:szCs w:val="96"/>
          <w:lang w:val="en-US" w:eastAsia="zh-CN"/>
        </w:rPr>
      </w:pPr>
    </w:p>
    <w:p>
      <w:pPr>
        <w:jc w:val="center"/>
        <w:rPr>
          <w:rFonts w:hint="eastAsia" w:ascii="楷体" w:hAnsi="楷体" w:eastAsia="楷体" w:cs="楷体"/>
          <w:b/>
          <w:bCs/>
          <w:sz w:val="96"/>
          <w:szCs w:val="96"/>
          <w:lang w:val="en-US" w:eastAsia="zh-CN"/>
        </w:rPr>
      </w:pP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lang w:val="en-US" w:eastAsia="zh-CN"/>
        </w:rPr>
        <w:t>提 案 人：</w:t>
      </w:r>
      <w:r>
        <w:rPr>
          <w:rFonts w:hint="eastAsia" w:ascii="仿宋_GB2312" w:hAnsi="仿宋_GB2312" w:eastAsia="仿宋_GB2312" w:cs="仿宋_GB2312"/>
          <w:sz w:val="32"/>
          <w:szCs w:val="32"/>
          <w:u w:val="single"/>
          <w:lang w:val="en-US" w:eastAsia="zh-CN"/>
        </w:rPr>
        <w:t xml:space="preserve">                吴  琼                               </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单    位：</w:t>
      </w:r>
      <w:r>
        <w:rPr>
          <w:rFonts w:hint="eastAsia" w:ascii="仿宋_GB2312" w:hAnsi="仿宋_GB2312" w:eastAsia="仿宋_GB2312" w:cs="仿宋_GB2312"/>
          <w:sz w:val="32"/>
          <w:szCs w:val="32"/>
          <w:u w:val="single"/>
          <w:lang w:val="en-US" w:eastAsia="zh-CN"/>
        </w:rPr>
        <w:t xml:space="preserve">        景德镇市浮梁生态环境局                                  </w:t>
      </w:r>
      <w:r>
        <w:rPr>
          <w:rFonts w:hint="eastAsia" w:ascii="仿宋_GB2312" w:hAnsi="仿宋_GB2312" w:eastAsia="仿宋_GB2312" w:cs="仿宋_GB2312"/>
          <w:sz w:val="32"/>
          <w:szCs w:val="32"/>
          <w:lang w:val="en-US" w:eastAsia="zh-CN"/>
        </w:rPr>
        <w:t xml:space="preserve">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lang w:val="en-US" w:eastAsia="zh-CN"/>
        </w:rPr>
        <w:t>联系电话：</w:t>
      </w:r>
      <w:r>
        <w:rPr>
          <w:rFonts w:hint="eastAsia" w:ascii="仿宋_GB2312" w:hAnsi="仿宋_GB2312" w:eastAsia="仿宋_GB2312" w:cs="仿宋_GB2312"/>
          <w:sz w:val="32"/>
          <w:szCs w:val="32"/>
          <w:u w:val="single"/>
          <w:lang w:val="en-US" w:eastAsia="zh-CN"/>
        </w:rPr>
        <w:t xml:space="preserve">            13767900137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lang w:val="en-US" w:eastAsia="zh-CN"/>
        </w:rPr>
        <w:t>案    由：</w:t>
      </w:r>
      <w:r>
        <w:rPr>
          <w:rFonts w:hint="eastAsia" w:ascii="仿宋_GB2312" w:hAnsi="仿宋_GB2312" w:eastAsia="仿宋_GB2312" w:cs="仿宋_GB2312"/>
          <w:sz w:val="32"/>
          <w:szCs w:val="32"/>
          <w:u w:val="single"/>
          <w:lang w:val="en-US" w:eastAsia="zh-CN"/>
        </w:rPr>
        <w:t xml:space="preserve">在偏远城镇普及电动车固定充电桩并进行广泛推广使用                                             </w:t>
      </w:r>
    </w:p>
    <w:p>
      <w:pPr>
        <w:rPr>
          <w:rFonts w:hint="eastAsia" w:ascii="仿宋_GB2312" w:hAnsi="仿宋_GB2312" w:eastAsia="仿宋_GB2312" w:cs="仿宋_GB2312"/>
          <w:sz w:val="32"/>
          <w:szCs w:val="32"/>
          <w:u w:val="none"/>
          <w:lang w:val="en-US" w:eastAsia="zh-CN"/>
        </w:rPr>
      </w:pPr>
    </w:p>
    <w:p>
      <w:pPr>
        <w:ind w:firstLine="3200" w:firstLineChars="1000"/>
        <w:rPr>
          <w:rFonts w:hint="eastAsia" w:ascii="仿宋_GB2312" w:hAnsi="仿宋_GB2312" w:eastAsia="仿宋_GB2312" w:cs="仿宋_GB2312"/>
          <w:sz w:val="32"/>
          <w:szCs w:val="32"/>
          <w:u w:val="none"/>
          <w:lang w:val="en-US" w:eastAsia="zh-CN"/>
        </w:rPr>
      </w:pPr>
    </w:p>
    <w:p>
      <w:pPr>
        <w:ind w:firstLine="3213" w:firstLineChars="1000"/>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2023年02月18日</w:t>
      </w:r>
    </w:p>
    <w:p>
      <w:pPr>
        <w:ind w:firstLine="3200" w:firstLineChars="1000"/>
        <w:rPr>
          <w:rFonts w:hint="eastAsia" w:ascii="仿宋" w:hAnsi="仿宋" w:eastAsia="仿宋" w:cs="仿宋"/>
          <w:sz w:val="32"/>
          <w:szCs w:val="32"/>
          <w:u w:val="none"/>
          <w:lang w:val="en-US" w:eastAsia="zh-CN"/>
        </w:rPr>
      </w:pPr>
    </w:p>
    <w:p>
      <w:pPr>
        <w:ind w:firstLine="643" w:firstLineChars="200"/>
        <w:jc w:val="left"/>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u w:val="none"/>
          <w:lang w:val="en-US" w:eastAsia="zh-CN"/>
        </w:rPr>
        <w:t>理由：</w:t>
      </w:r>
      <w:r>
        <w:rPr>
          <w:rFonts w:hint="eastAsia" w:ascii="仿宋_GB2312" w:hAnsi="仿宋_GB2312" w:eastAsia="仿宋_GB2312" w:cs="仿宋_GB2312"/>
          <w:b w:val="0"/>
          <w:bCs w:val="0"/>
          <w:sz w:val="32"/>
          <w:szCs w:val="32"/>
          <w:u w:val="single"/>
          <w:lang w:val="en-US" w:eastAsia="zh-CN"/>
        </w:rPr>
        <w:t>在倡导“节能环保”，“低碳生活”的今天，随着油价日益飞涨，“新能源汽车”日渐成为城镇居民日常出行的新宠。随之而来的电动汽车充电桩也成为一个城镇必不可少的公共设施。从全国范围来看一二线城市的新能源车几乎已经普及，三线城市也大范围覆盖到了，但三线城市以下还有很多偏远城镇由于没有便利的电动汽车充电桩致使这些城镇居民在购车时无法更好的选择新能源车。这一现象大大限制了新能源车的推广和使用。没有电动车固定充电桩，那些骑电动车的市民充电的时候也极其不便，到处私接电线，电线铺的到处都是，既存在安全隐患又影响城市美观。</w:t>
      </w:r>
      <w:r>
        <w:rPr>
          <w:rFonts w:hint="eastAsia" w:ascii="仿宋_GB2312" w:hAnsi="仿宋_GB2312" w:eastAsia="仿宋_GB2312" w:cs="仿宋_GB2312"/>
          <w:sz w:val="32"/>
          <w:szCs w:val="32"/>
          <w:u w:val="single"/>
          <w:lang w:val="en-US" w:eastAsia="zh-CN"/>
        </w:rPr>
        <w:t xml:space="preserve">                                                   </w:t>
      </w:r>
    </w:p>
    <w:p>
      <w:pPr>
        <w:jc w:val="left"/>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为了使偏远城镇尽早普及新能源汽车，居民出行更加便利，城市更加美观。现特建议在三线以下的偏远城镇普及电动车固定充电桩并进行广泛推广使用。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jc w:val="left"/>
        <w:rPr>
          <w:rFonts w:hint="eastAsia" w:ascii="仿宋" w:hAnsi="仿宋" w:eastAsia="仿宋" w:cs="仿宋"/>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jc w:val="left"/>
        <w:rPr>
          <w:rFonts w:hint="eastAsia" w:ascii="仿宋" w:hAnsi="仿宋" w:eastAsia="仿宋" w:cs="仿宋"/>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jc w:val="left"/>
        <w:rPr>
          <w:rFonts w:hint="eastAsia" w:ascii="仿宋" w:hAnsi="仿宋" w:eastAsia="仿宋" w:cs="仿宋"/>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ind w:firstLine="643" w:firstLineChars="200"/>
        <w:jc w:val="left"/>
        <w:rPr>
          <w:rFonts w:hint="default"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b/>
          <w:bCs/>
          <w:sz w:val="32"/>
          <w:szCs w:val="32"/>
          <w:u w:val="none"/>
          <w:lang w:val="en-US" w:eastAsia="zh-CN"/>
        </w:rPr>
        <w:t>办法：</w:t>
      </w:r>
      <w:r>
        <w:rPr>
          <w:rFonts w:hint="eastAsia" w:ascii="仿宋_GB2312" w:hAnsi="仿宋_GB2312" w:eastAsia="仿宋_GB2312" w:cs="仿宋_GB2312"/>
          <w:kern w:val="2"/>
          <w:sz w:val="32"/>
          <w:szCs w:val="32"/>
          <w:u w:val="single"/>
          <w:lang w:val="en-US" w:eastAsia="zh-CN" w:bidi="ar-SA"/>
        </w:rPr>
        <w:t xml:space="preserve">                                          </w:t>
      </w:r>
    </w:p>
    <w:p>
      <w:pPr>
        <w:jc w:val="left"/>
        <w:rPr>
          <w:rFonts w:hint="eastAsia" w:ascii="仿宋_GB2312" w:hAnsi="仿宋_GB2312" w:eastAsia="仿宋_GB2312" w:cs="仿宋_GB2312"/>
          <w:b w:val="0"/>
          <w:bCs w:val="0"/>
          <w:kern w:val="2"/>
          <w:sz w:val="32"/>
          <w:szCs w:val="32"/>
          <w:u w:val="single"/>
          <w:lang w:val="en-US" w:eastAsia="zh-CN" w:bidi="ar-SA"/>
        </w:rPr>
      </w:pPr>
      <w:r>
        <w:rPr>
          <w:rFonts w:hint="eastAsia" w:ascii="仿宋_GB2312" w:hAnsi="仿宋_GB2312" w:eastAsia="仿宋_GB2312" w:cs="仿宋_GB2312"/>
          <w:b w:val="0"/>
          <w:bCs w:val="0"/>
          <w:kern w:val="2"/>
          <w:sz w:val="32"/>
          <w:szCs w:val="32"/>
          <w:u w:val="single"/>
          <w:lang w:val="en-US" w:eastAsia="zh-CN" w:bidi="ar-SA"/>
        </w:rPr>
        <w:t xml:space="preserve">    一、在公共场所配备电动车固定充电桩；                                             </w:t>
      </w:r>
    </w:p>
    <w:p>
      <w:pPr>
        <w:jc w:val="left"/>
        <w:rPr>
          <w:rFonts w:hint="eastAsia"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u w:val="single"/>
          <w:lang w:val="en-US" w:eastAsia="zh-CN" w:bidi="ar-SA"/>
        </w:rPr>
        <w:t xml:space="preserve">可在学校、医院、公交车站旁设立公共快速充电桩，供电动车使用。                                                           </w:t>
      </w:r>
    </w:p>
    <w:p>
      <w:pPr>
        <w:jc w:val="left"/>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    二、在各个小区配备电动车固定充电桩；                                                    </w:t>
      </w:r>
    </w:p>
    <w:p>
      <w:pPr>
        <w:jc w:val="left"/>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事先对小区居民进行民意调查，在小区的固定停车位安装电动车慢速固定充电桩，小区业主同意安装人数达80％以上的即可配备；再确定小区停车位能否接入国家电网线路，符合条件的即可与该小区物业进行沟通；获得该小区物业同意后向小区所在供电部门申请通过后由相关部门统一负责安装 和施工；最后完成验收即可投入使用。                                                               </w:t>
      </w:r>
    </w:p>
    <w:p>
      <w:pPr>
        <w:jc w:val="left"/>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三、配备了固定充电桩以后就应大力倡导市民使用固定充电桩。规范充电禁止私接电线，随意充电。                                                             </w:t>
      </w:r>
    </w:p>
    <w:p>
      <w:pPr>
        <w:jc w:val="left"/>
        <w:rPr>
          <w:rFonts w:hint="eastAsia" w:ascii="仿宋" w:hAnsi="仿宋" w:eastAsia="仿宋" w:cs="仿宋"/>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p>
    <w:p>
      <w:pPr>
        <w:jc w:val="left"/>
        <w:rPr>
          <w:rFonts w:hint="eastAsia" w:ascii="仿宋" w:hAnsi="仿宋" w:eastAsia="仿宋" w:cs="仿宋"/>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p>
    <w:p>
      <w:pPr>
        <w:jc w:val="left"/>
        <w:rPr>
          <w:rFonts w:hint="default"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rPr>
          <w:rFonts w:ascii="宋体" w:hAnsi="宋体" w:cs="宋体"/>
          <w:b/>
          <w:bCs/>
          <w:sz w:val="32"/>
          <w:szCs w:val="32"/>
        </w:rPr>
      </w:pPr>
      <w:r>
        <w:rPr>
          <w:rFonts w:hint="eastAsia" w:ascii="宋体" w:hAnsi="宋体" w:cs="宋体"/>
          <w:b/>
          <w:bCs/>
          <w:sz w:val="32"/>
          <w:szCs w:val="32"/>
        </w:rPr>
        <w:t>初审意见：</w:t>
      </w:r>
      <w:r>
        <w:rPr>
          <w:rFonts w:hint="eastAsia" w:ascii="宋体" w:hAnsi="宋体" w:cs="宋体"/>
          <w:b/>
          <w:bCs/>
          <w:sz w:val="32"/>
          <w:szCs w:val="32"/>
          <w:u w:val="single"/>
        </w:rPr>
        <w:t xml:space="preserve">                                          </w:t>
      </w:r>
      <w:r>
        <w:rPr>
          <w:rFonts w:hint="eastAsia" w:ascii="宋体" w:hAnsi="宋体" w:cs="宋体"/>
          <w:b/>
          <w:bCs/>
          <w:sz w:val="32"/>
          <w:szCs w:val="32"/>
        </w:rPr>
        <w:t xml:space="preserve">                  </w:t>
      </w:r>
    </w:p>
    <w:p>
      <w:pPr>
        <w:jc w:val="left"/>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u w:val="single"/>
          <w:lang w:val="en-US" w:eastAsia="zh-CN" w:bidi="ar-SA"/>
        </w:rPr>
        <w:t xml:space="preserve">                                                         </w:t>
      </w:r>
    </w:p>
    <w:p>
      <w:pPr>
        <w:jc w:val="left"/>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u w:val="single"/>
          <w:lang w:val="en-US" w:eastAsia="zh-CN" w:bidi="ar-SA"/>
        </w:rPr>
        <w:t xml:space="preserve">                                                           </w:t>
      </w:r>
    </w:p>
    <w:p>
      <w:pPr>
        <w:rPr>
          <w:rFonts w:hint="eastAsia" w:ascii="宋体" w:hAnsi="宋体" w:cs="宋体"/>
          <w:sz w:val="32"/>
          <w:szCs w:val="32"/>
          <w:u w:val="single"/>
        </w:rPr>
      </w:pPr>
      <w:r>
        <w:rPr>
          <w:rFonts w:hint="eastAsia" w:ascii="宋体" w:hAnsi="宋体" w:cs="宋体"/>
          <w:b/>
          <w:bCs/>
          <w:sz w:val="32"/>
          <w:szCs w:val="32"/>
        </w:rPr>
        <w:t>审定意见：</w:t>
      </w:r>
      <w:r>
        <w:rPr>
          <w:rFonts w:hint="eastAsia" w:ascii="宋体" w:hAnsi="宋体" w:cs="宋体"/>
          <w:sz w:val="32"/>
          <w:szCs w:val="32"/>
          <w:u w:val="single"/>
        </w:rPr>
        <w:t xml:space="preserve">                                          </w:t>
      </w:r>
    </w:p>
    <w:p>
      <w:pPr>
        <w:jc w:val="left"/>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u w:val="single"/>
          <w:lang w:val="en-US" w:eastAsia="zh-CN" w:bidi="ar-SA"/>
        </w:rPr>
        <w:t xml:space="preserve">                                                         </w:t>
      </w:r>
    </w:p>
    <w:p>
      <w:pPr>
        <w:jc w:val="left"/>
        <w:rPr>
          <w:rFonts w:hint="default" w:ascii="仿宋" w:hAnsi="仿宋" w:eastAsia="仿宋" w:cs="仿宋"/>
          <w:kern w:val="2"/>
          <w:sz w:val="32"/>
          <w:szCs w:val="32"/>
          <w:u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zE1M2IzM2I4OTFkYzFiNjlmZmM4NjBjYTBhNWEifQ=="/>
  </w:docVars>
  <w:rsids>
    <w:rsidRoot w:val="34CC1469"/>
    <w:rsid w:val="039B19B3"/>
    <w:rsid w:val="068E4BDE"/>
    <w:rsid w:val="08666938"/>
    <w:rsid w:val="0C301961"/>
    <w:rsid w:val="0E7C010F"/>
    <w:rsid w:val="16EF5AA4"/>
    <w:rsid w:val="1D630900"/>
    <w:rsid w:val="2DAB0FBC"/>
    <w:rsid w:val="2E214C01"/>
    <w:rsid w:val="2EBC20CD"/>
    <w:rsid w:val="300C2CE0"/>
    <w:rsid w:val="34CC1469"/>
    <w:rsid w:val="42192448"/>
    <w:rsid w:val="427B363A"/>
    <w:rsid w:val="4E1F77C7"/>
    <w:rsid w:val="567467CB"/>
    <w:rsid w:val="60EF0805"/>
    <w:rsid w:val="61EC03C4"/>
    <w:rsid w:val="73FE2294"/>
    <w:rsid w:val="7800755F"/>
    <w:rsid w:val="7A5D5BE8"/>
    <w:rsid w:val="7F0758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before="145" w:after="100" w:afterAutospacing="1"/>
      <w:ind w:left="117"/>
    </w:pPr>
    <w:rPr>
      <w:rFonts w:ascii="宋体" w:hAnsi="宋体"/>
      <w:sz w:val="32"/>
      <w:szCs w:val="32"/>
    </w:rPr>
  </w:style>
  <w:style w:type="paragraph" w:styleId="3">
    <w:name w:val="Body Text First Indent"/>
    <w:basedOn w:val="2"/>
    <w:unhideWhenUsed/>
    <w:qFormat/>
    <w:uiPriority w:val="99"/>
    <w:pPr>
      <w:ind w:firstLine="420" w:firstLineChars="100"/>
    </w:p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675</Words>
  <Characters>691</Characters>
  <Lines>0</Lines>
  <Paragraphs>0</Paragraphs>
  <TotalTime>0</TotalTime>
  <ScaleCrop>false</ScaleCrop>
  <LinksUpToDate>false</LinksUpToDate>
  <CharactersWithSpaces>2358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2017-12-14T01:05:00Z</dcterms:created>
  <dc:creator>爱国者导弹也</dc:creator>
  <cp:lastModifiedBy>彩虹燕子</cp:lastModifiedBy>
  <dcterms:modified xsi:type="dcterms:W3CDTF">2023-03-12T10:02:58Z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7BBABE2C22564CB896377731C7E2C673</vt:lpwstr>
  </property>
</Properties>
</file>