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pPr>
    </w:p>
    <w:p>
      <w:pPr>
        <w:spacing w:line="341" w:lineRule="auto"/>
      </w:pPr>
    </w:p>
    <w:p>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pPr>
        <w:spacing w:line="289" w:lineRule="auto"/>
        <w:jc w:val="center"/>
      </w:pPr>
    </w:p>
    <w:p>
      <w:pPr>
        <w:spacing w:line="290" w:lineRule="auto"/>
        <w:jc w:val="center"/>
      </w:pPr>
    </w:p>
    <w:p>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住房和城乡建设局</w:t>
      </w:r>
      <w:r>
        <w:rPr>
          <w:rFonts w:hint="eastAsia" w:ascii="方正大标宋简体" w:hAnsi="Times New Roman" w:eastAsia="方正大标宋简体" w:cs="Times New Roman"/>
          <w:snapToGrid/>
          <w:kern w:val="2"/>
          <w:sz w:val="44"/>
          <w:szCs w:val="44"/>
        </w:rPr>
        <w:t xml:space="preserve"> 2023年部门预算</w:t>
      </w:r>
    </w:p>
    <w:p>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pPr>
        <w:spacing w:line="334" w:lineRule="auto"/>
      </w:pPr>
    </w:p>
    <w:p>
      <w:pPr>
        <w:spacing w:line="334" w:lineRule="auto"/>
        <w:rPr>
          <w:rFonts w:eastAsia="宋体"/>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pPr>
        <w:spacing w:line="347" w:lineRule="auto"/>
      </w:pPr>
    </w:p>
    <w:p>
      <w:pPr>
        <w:spacing w:line="347" w:lineRule="auto"/>
      </w:pP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局概况</w:t>
      </w:r>
    </w:p>
    <w:p>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局2023年部门预算表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局2023年部门预算情况说明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一、2023年部门预算收支情况说明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二、2023年"三公”经费预算情况说明</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
    <w:p/>
    <w:p/>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局概况</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（一）贯彻执行国家、省、市关于住房和城乡建设的方针上、政策和法律法规以及相关的发展战略、中长期规划、改革方案；研究拟定全县住房和城乡建设的发展规划、计划及相关的政策、管理制度并组织实施。</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（二）负责全县房地产业的行业管理。指导房地产开发经营、房屋商品化工作，规范房地产市场。</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综合管理全县建筑活动；规范建筑县场；负责建筑县场准入、工程招标投标、工程监理、工程质量与施工安全工作；拟订施工、建设监理和相关社会中介组织管理的规章并监督实施；管理全县安装、装饰（含室内装饰）行业；负责全县建筑行业的仲裁工作；组织协调建设企业参与国际工程承包和建筑劳务合作；负责城县地下空间的开发利用；负责工业建筑、民用建筑和县政工程的工程造价、工程定额和费用标准的管理。</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（四）负责城乡建设和村镇建设工作；研究提出加快全县城镇化进程的发展战略；组织全县村镇规划的编制与实施。</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负责城建档案管理工作。参加工程的竣工验收，对接收范围内的工程竣工档案进行预验收并出具工程档案认可文件，收集、整理、保管、利用城市建设档案和有关资料，为城市规划、建设、管理和经济发展服务。</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制定全县建设行业科技发展规划和技术经济政策；组织科研项目攻关和新技术、新产品的引进；制定行业教育发展规划，指导行业教育培训工作；组织行业人才预测、信息交流、职工培训和统计工作；负责建设行业执业资格管理。</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（七）负责局机关和下属单位的人事管理、劳动工资、机构编制管理工作；负责局机关和下属单位的党群工作。</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（八）承办县政府交办的其他事项。</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1、</w:t>
      </w:r>
      <w:r>
        <w:rPr>
          <w:rFonts w:hint="eastAsia" w:ascii="仿宋" w:hAnsi="仿宋" w:eastAsia="仿宋" w:cs="仿宋"/>
          <w:spacing w:val="-9"/>
          <w:sz w:val="32"/>
          <w:szCs w:val="32"/>
        </w:rPr>
        <w:t>本部门包含浮梁县住房和城乡建设局本级及浮梁县城</w:t>
      </w:r>
      <w:r>
        <w:rPr>
          <w:rFonts w:hint="eastAsia" w:ascii="仿宋" w:hAnsi="仿宋" w:eastAsia="仿宋" w:cs="仿宋"/>
          <w:spacing w:val="-9"/>
          <w:sz w:val="32"/>
          <w:szCs w:val="32"/>
          <w:lang w:eastAsia="zh-CN"/>
        </w:rPr>
        <w:t>镇</w:t>
      </w:r>
      <w:r>
        <w:rPr>
          <w:rFonts w:hint="eastAsia" w:ascii="仿宋" w:hAnsi="仿宋" w:eastAsia="仿宋" w:cs="仿宋"/>
          <w:spacing w:val="-9"/>
          <w:sz w:val="32"/>
          <w:szCs w:val="32"/>
        </w:rPr>
        <w:t>发展服务中心、浮梁县住房保障中心、浮梁县城建档案馆三个全额拨款事业单位。</w:t>
      </w:r>
      <w:bookmarkStart w:id="0" w:name="OLE_LINK1"/>
      <w:r>
        <w:rPr>
          <w:rFonts w:hint="eastAsia" w:ascii="仿宋" w:hAnsi="仿宋" w:eastAsia="仿宋" w:cs="仿宋"/>
          <w:spacing w:val="-9"/>
          <w:sz w:val="32"/>
          <w:szCs w:val="32"/>
        </w:rPr>
        <w:t>内设综合股、建筑业管理股、公用事业建设与管理股、村镇建设管理股、住房保障股</w:t>
      </w:r>
      <w:bookmarkEnd w:id="0"/>
      <w:r>
        <w:rPr>
          <w:rFonts w:hint="eastAsia" w:ascii="仿宋" w:hAnsi="仿宋" w:eastAsia="仿宋" w:cs="仿宋"/>
          <w:spacing w:val="-9"/>
          <w:sz w:val="32"/>
          <w:szCs w:val="32"/>
        </w:rPr>
        <w:t>。</w:t>
      </w:r>
    </w:p>
    <w:p>
      <w:pPr>
        <w:widowControl w:val="0"/>
        <w:kinsoku/>
        <w:autoSpaceDE/>
        <w:autoSpaceDN/>
        <w:adjustRightInd/>
        <w:snapToGrid/>
        <w:ind w:firstLine="640" w:firstLineChars="200"/>
        <w:jc w:val="both"/>
        <w:textAlignment w:val="auto"/>
        <w:rPr>
          <w:rFonts w:ascii="仿宋" w:hAnsi="仿宋" w:eastAsia="仿宋" w:cs="仿宋"/>
          <w:spacing w:val="-9"/>
          <w:sz w:val="32"/>
          <w:szCs w:val="32"/>
        </w:rPr>
      </w:pPr>
      <w:r>
        <w:rPr>
          <w:rFonts w:hint="eastAsia" w:ascii="仿宋_GB2312" w:hAnsi="Times New Roman" w:eastAsia="仿宋_GB2312" w:cs="Times New Roman"/>
          <w:snapToGrid/>
          <w:kern w:val="2"/>
          <w:sz w:val="32"/>
          <w:szCs w:val="32"/>
          <w:lang w:val="en-US" w:eastAsia="zh-CN"/>
        </w:rPr>
        <w:t>2、</w:t>
      </w:r>
      <w:r>
        <w:rPr>
          <w:rFonts w:hint="eastAsia" w:ascii="仿宋" w:hAnsi="仿宋" w:eastAsia="仿宋" w:cs="仿宋"/>
          <w:spacing w:val="-9"/>
          <w:sz w:val="32"/>
          <w:szCs w:val="32"/>
        </w:rPr>
        <w:t>截止2022年年末，局机关及下属事业单位在编人员数量为41个，其中公务员11个，工勤人员1个，财政全额拨款事业编制人员23个，自收自支事业编制人员6个，参照公务员管理事业编制0个。实有人数122人，其中在职81人，离退休38人，遗属3人。</w:t>
      </w:r>
    </w:p>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局2023年部门预算表</w:t>
      </w:r>
    </w:p>
    <w:p>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pPr>
        <w:spacing w:before="215"/>
        <w:ind w:firstLine="3550"/>
        <w:rPr>
          <w:rFonts w:ascii="仿宋" w:hAnsi="仿宋" w:eastAsia="仿宋" w:cs="仿宋"/>
          <w:spacing w:val="17"/>
          <w:sz w:val="32"/>
          <w:szCs w:val="32"/>
        </w:rPr>
      </w:pPr>
    </w:p>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局2023年部门预算情况说明</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一、2023年部门预算收支情况说明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年收入预算总额</w:t>
      </w:r>
      <w:r>
        <w:rPr>
          <w:rFonts w:hint="eastAsia" w:ascii="仿宋_GB2312" w:hAnsi="Times New Roman" w:eastAsia="仿宋_GB2312" w:cs="Times New Roman"/>
          <w:snapToGrid/>
          <w:kern w:val="2"/>
          <w:sz w:val="32"/>
          <w:szCs w:val="32"/>
          <w:lang w:val="en-US" w:eastAsia="zh-CN"/>
        </w:rPr>
        <w:t>1311.59</w:t>
      </w:r>
      <w:r>
        <w:rPr>
          <w:rFonts w:hint="eastAsia" w:ascii="仿宋_GB2312" w:hAnsi="Times New Roman" w:eastAsia="仿宋_GB2312" w:cs="Times New Roman"/>
          <w:snapToGrid/>
          <w:kern w:val="2"/>
          <w:sz w:val="32"/>
          <w:szCs w:val="32"/>
        </w:rPr>
        <w:t>万元，其中公共财政拨款收入</w:t>
      </w:r>
      <w:r>
        <w:rPr>
          <w:rFonts w:hint="eastAsia" w:ascii="仿宋_GB2312" w:hAnsi="Times New Roman" w:eastAsia="仿宋_GB2312" w:cs="Times New Roman"/>
          <w:snapToGrid/>
          <w:kern w:val="2"/>
          <w:sz w:val="32"/>
          <w:szCs w:val="32"/>
          <w:lang w:val="en-US" w:eastAsia="zh-CN"/>
        </w:rPr>
        <w:t>1311.59</w:t>
      </w:r>
      <w:r>
        <w:rPr>
          <w:rFonts w:hint="eastAsia" w:ascii="仿宋_GB2312" w:hAnsi="Times New Roman" w:eastAsia="仿宋_GB2312" w:cs="Times New Roman"/>
          <w:snapToGrid/>
          <w:kern w:val="2"/>
          <w:sz w:val="32"/>
          <w:szCs w:val="32"/>
        </w:rPr>
        <w:t>万元。预算总额比去年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469.06</w:t>
      </w:r>
      <w:r>
        <w:rPr>
          <w:rFonts w:hint="eastAsia" w:ascii="仿宋_GB2312" w:hAnsi="Times New Roman" w:eastAsia="仿宋_GB2312" w:cs="Times New Roman"/>
          <w:snapToGrid/>
          <w:kern w:val="2"/>
          <w:sz w:val="32"/>
          <w:szCs w:val="32"/>
        </w:rPr>
        <w:t>万元，主要由于按照财政部门核定控制数填列。</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2022年支出预算总额为</w:t>
      </w:r>
      <w:r>
        <w:rPr>
          <w:rFonts w:hint="eastAsia" w:ascii="仿宋_GB2312" w:hAnsi="Times New Roman" w:eastAsia="仿宋_GB2312" w:cs="Times New Roman"/>
          <w:snapToGrid/>
          <w:kern w:val="2"/>
          <w:sz w:val="32"/>
          <w:szCs w:val="32"/>
          <w:lang w:val="en-US" w:eastAsia="zh-CN"/>
        </w:rPr>
        <w:t>1311.59</w:t>
      </w:r>
      <w:r>
        <w:rPr>
          <w:rFonts w:hint="eastAsia" w:ascii="仿宋_GB2312" w:hAnsi="Times New Roman" w:eastAsia="仿宋_GB2312" w:cs="Times New Roman"/>
          <w:snapToGrid/>
          <w:kern w:val="2"/>
          <w:sz w:val="32"/>
          <w:szCs w:val="32"/>
        </w:rPr>
        <w:t>万元，预算总额比去年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469.06</w:t>
      </w:r>
      <w:r>
        <w:rPr>
          <w:rFonts w:hint="eastAsia" w:ascii="仿宋_GB2312" w:hAnsi="Times New Roman" w:eastAsia="仿宋_GB2312" w:cs="Times New Roman"/>
          <w:snapToGrid/>
          <w:kern w:val="2"/>
          <w:sz w:val="32"/>
          <w:szCs w:val="32"/>
        </w:rPr>
        <w:t>万元，主要由于主要由于</w:t>
      </w:r>
      <w:r>
        <w:rPr>
          <w:rFonts w:hint="eastAsia" w:ascii="仿宋_GB2312" w:hAnsi="Times New Roman" w:eastAsia="仿宋_GB2312" w:cs="Times New Roman"/>
          <w:snapToGrid/>
          <w:kern w:val="2"/>
          <w:sz w:val="32"/>
          <w:szCs w:val="32"/>
          <w:lang w:eastAsia="zh-CN"/>
        </w:rPr>
        <w:t>政府购买服务支出、保障性住房维修等经常性项目纳入年初预算</w:t>
      </w:r>
      <w:r>
        <w:rPr>
          <w:rFonts w:hint="eastAsia" w:ascii="仿宋_GB2312" w:hAnsi="Times New Roman" w:eastAsia="仿宋_GB2312" w:cs="Times New Roman"/>
          <w:snapToGrid/>
          <w:kern w:val="2"/>
          <w:sz w:val="32"/>
          <w:szCs w:val="32"/>
        </w:rPr>
        <w:t xml:space="preserve">内。 </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按支出项目类别划分：基本支出</w:t>
      </w:r>
      <w:r>
        <w:rPr>
          <w:rFonts w:hint="eastAsia" w:ascii="仿宋_GB2312" w:hAnsi="Times New Roman" w:eastAsia="仿宋_GB2312" w:cs="Times New Roman"/>
          <w:snapToGrid/>
          <w:kern w:val="2"/>
          <w:sz w:val="32"/>
          <w:szCs w:val="32"/>
          <w:lang w:val="en-US" w:eastAsia="zh-CN"/>
        </w:rPr>
        <w:t>930.71</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，项目支出</w:t>
      </w:r>
      <w:r>
        <w:rPr>
          <w:rFonts w:hint="eastAsia" w:ascii="仿宋_GB2312" w:hAnsi="Times New Roman" w:eastAsia="仿宋_GB2312" w:cs="Times New Roman"/>
          <w:snapToGrid/>
          <w:kern w:val="2"/>
          <w:sz w:val="32"/>
          <w:szCs w:val="32"/>
          <w:lang w:val="en-US" w:eastAsia="zh-CN"/>
        </w:rPr>
        <w:t>380.88万元。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按支出功能科目分类：</w:t>
      </w:r>
      <w:r>
        <w:rPr>
          <w:rFonts w:hint="eastAsia" w:ascii="仿宋_GB2312" w:hAnsi="Times New Roman" w:eastAsia="仿宋_GB2312" w:cs="Times New Roman"/>
          <w:snapToGrid/>
          <w:kern w:val="2"/>
          <w:sz w:val="32"/>
          <w:szCs w:val="32"/>
          <w:lang w:eastAsia="zh-CN"/>
        </w:rPr>
        <w:t>社会保障和就业支出</w:t>
      </w:r>
      <w:r>
        <w:rPr>
          <w:rFonts w:hint="eastAsia" w:ascii="仿宋_GB2312" w:hAnsi="Times New Roman" w:eastAsia="仿宋_GB2312" w:cs="Times New Roman"/>
          <w:snapToGrid/>
          <w:kern w:val="2"/>
          <w:sz w:val="32"/>
          <w:szCs w:val="32"/>
          <w:lang w:val="en-US" w:eastAsia="zh-CN"/>
        </w:rPr>
        <w:t>102.58</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卫生健康</w:t>
      </w:r>
      <w:r>
        <w:rPr>
          <w:rFonts w:hint="eastAsia" w:ascii="仿宋_GB2312" w:hAnsi="Times New Roman" w:eastAsia="仿宋_GB2312" w:cs="Times New Roman"/>
          <w:snapToGrid/>
          <w:kern w:val="2"/>
          <w:sz w:val="32"/>
          <w:szCs w:val="32"/>
        </w:rPr>
        <w:t>支出</w:t>
      </w:r>
      <w:r>
        <w:rPr>
          <w:rFonts w:hint="eastAsia" w:ascii="仿宋_GB2312" w:hAnsi="Times New Roman" w:eastAsia="仿宋_GB2312" w:cs="Times New Roman"/>
          <w:snapToGrid/>
          <w:kern w:val="2"/>
          <w:sz w:val="32"/>
          <w:szCs w:val="32"/>
          <w:lang w:val="en-US" w:eastAsia="zh-CN"/>
        </w:rPr>
        <w:t>20.44</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城乡社区支出</w:t>
      </w:r>
      <w:r>
        <w:rPr>
          <w:rFonts w:hint="eastAsia" w:ascii="仿宋_GB2312" w:hAnsi="Times New Roman" w:eastAsia="仿宋_GB2312" w:cs="Times New Roman"/>
          <w:snapToGrid/>
          <w:kern w:val="2"/>
          <w:sz w:val="32"/>
          <w:szCs w:val="32"/>
          <w:lang w:val="en-US" w:eastAsia="zh-CN"/>
        </w:rPr>
        <w:t>1040.68</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住房保障支出</w:t>
      </w:r>
      <w:r>
        <w:rPr>
          <w:rFonts w:hint="eastAsia" w:ascii="仿宋_GB2312" w:hAnsi="Times New Roman" w:eastAsia="仿宋_GB2312" w:cs="Times New Roman"/>
          <w:snapToGrid/>
          <w:kern w:val="2"/>
          <w:sz w:val="32"/>
          <w:szCs w:val="32"/>
          <w:lang w:val="en-US" w:eastAsia="zh-CN"/>
        </w:rPr>
        <w:t>147.89万元</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按经济功能科目分类：</w:t>
      </w:r>
      <w:r>
        <w:rPr>
          <w:rFonts w:hint="eastAsia" w:ascii="仿宋_GB2312" w:hAnsi="Times New Roman" w:eastAsia="仿宋_GB2312" w:cs="Times New Roman"/>
          <w:snapToGrid/>
          <w:kern w:val="2"/>
          <w:sz w:val="32"/>
          <w:szCs w:val="32"/>
          <w:lang w:eastAsia="zh-CN"/>
        </w:rPr>
        <w:t>人员类</w:t>
      </w:r>
      <w:r>
        <w:rPr>
          <w:rFonts w:hint="eastAsia" w:ascii="仿宋_GB2312" w:hAnsi="Times New Roman" w:eastAsia="仿宋_GB2312" w:cs="Times New Roman"/>
          <w:snapToGrid/>
          <w:kern w:val="2"/>
          <w:sz w:val="32"/>
          <w:szCs w:val="32"/>
        </w:rPr>
        <w:t>支出</w:t>
      </w:r>
      <w:r>
        <w:rPr>
          <w:rFonts w:hint="eastAsia" w:ascii="仿宋_GB2312" w:hAnsi="Times New Roman" w:eastAsia="仿宋_GB2312" w:cs="Times New Roman"/>
          <w:snapToGrid/>
          <w:kern w:val="2"/>
          <w:sz w:val="32"/>
          <w:szCs w:val="32"/>
          <w:lang w:val="en-US" w:eastAsia="zh-CN"/>
        </w:rPr>
        <w:t>747.77</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公用经费</w:t>
      </w:r>
      <w:r>
        <w:rPr>
          <w:rFonts w:hint="eastAsia" w:ascii="仿宋_GB2312" w:hAnsi="Times New Roman" w:eastAsia="仿宋_GB2312" w:cs="Times New Roman"/>
          <w:snapToGrid/>
          <w:kern w:val="2"/>
          <w:sz w:val="32"/>
          <w:szCs w:val="32"/>
        </w:rPr>
        <w:t>支出</w:t>
      </w:r>
      <w:r>
        <w:rPr>
          <w:rFonts w:hint="eastAsia" w:ascii="仿宋_GB2312" w:hAnsi="Times New Roman" w:eastAsia="仿宋_GB2312" w:cs="Times New Roman"/>
          <w:snapToGrid/>
          <w:kern w:val="2"/>
          <w:sz w:val="32"/>
          <w:szCs w:val="32"/>
          <w:lang w:val="en-US" w:eastAsia="zh-CN"/>
        </w:rPr>
        <w:t>182.95</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其他运转类支出</w:t>
      </w:r>
      <w:r>
        <w:rPr>
          <w:rFonts w:hint="eastAsia" w:ascii="仿宋_GB2312" w:hAnsi="Times New Roman" w:eastAsia="仿宋_GB2312" w:cs="Times New Roman"/>
          <w:snapToGrid/>
          <w:kern w:val="2"/>
          <w:sz w:val="32"/>
          <w:szCs w:val="32"/>
          <w:lang w:val="en-US" w:eastAsia="zh-CN"/>
        </w:rPr>
        <w:t>207万元，</w:t>
      </w:r>
      <w:r>
        <w:rPr>
          <w:rFonts w:hint="eastAsia" w:ascii="仿宋_GB2312" w:hAnsi="Times New Roman" w:eastAsia="仿宋_GB2312" w:cs="Times New Roman"/>
          <w:snapToGrid/>
          <w:kern w:val="2"/>
          <w:sz w:val="32"/>
          <w:szCs w:val="32"/>
          <w:lang w:eastAsia="zh-CN"/>
        </w:rPr>
        <w:t>特定目标类支出</w:t>
      </w:r>
      <w:r>
        <w:rPr>
          <w:rFonts w:hint="eastAsia" w:ascii="仿宋_GB2312" w:hAnsi="Times New Roman" w:eastAsia="仿宋_GB2312" w:cs="Times New Roman"/>
          <w:snapToGrid/>
          <w:kern w:val="2"/>
          <w:sz w:val="32"/>
          <w:szCs w:val="32"/>
          <w:lang w:val="en-US" w:eastAsia="zh-CN"/>
        </w:rPr>
        <w:t>173.88万元。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年财政拨款支出预算总额为</w:t>
      </w:r>
      <w:r>
        <w:rPr>
          <w:rFonts w:hint="eastAsia" w:ascii="仿宋_GB2312" w:hAnsi="Times New Roman" w:eastAsia="仿宋_GB2312" w:cs="Times New Roman"/>
          <w:snapToGrid/>
          <w:kern w:val="2"/>
          <w:sz w:val="32"/>
          <w:szCs w:val="32"/>
          <w:lang w:val="en-US" w:eastAsia="zh-CN"/>
        </w:rPr>
        <w:t>1311.59</w:t>
      </w:r>
      <w:r>
        <w:rPr>
          <w:rFonts w:hint="eastAsia" w:ascii="仿宋_GB2312" w:hAnsi="Times New Roman" w:eastAsia="仿宋_GB2312" w:cs="Times New Roman"/>
          <w:snapToGrid/>
          <w:kern w:val="2"/>
          <w:sz w:val="32"/>
          <w:szCs w:val="32"/>
        </w:rPr>
        <w:t>万元，预算总额比去年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469.06</w:t>
      </w:r>
      <w:r>
        <w:rPr>
          <w:rFonts w:hint="eastAsia" w:ascii="仿宋_GB2312" w:hAnsi="Times New Roman" w:eastAsia="仿宋_GB2312" w:cs="Times New Roman"/>
          <w:snapToGrid/>
          <w:kern w:val="2"/>
          <w:sz w:val="32"/>
          <w:szCs w:val="32"/>
        </w:rPr>
        <w:t>万元，主要由于主要由于</w:t>
      </w:r>
      <w:r>
        <w:rPr>
          <w:rFonts w:hint="eastAsia" w:ascii="仿宋_GB2312" w:hAnsi="Times New Roman" w:eastAsia="仿宋_GB2312" w:cs="Times New Roman"/>
          <w:snapToGrid/>
          <w:kern w:val="2"/>
          <w:sz w:val="32"/>
          <w:szCs w:val="32"/>
          <w:lang w:eastAsia="zh-CN"/>
        </w:rPr>
        <w:t>政府购买服务支出、保障性住房维修等经常性项目纳入年初预算</w:t>
      </w:r>
      <w:r>
        <w:rPr>
          <w:rFonts w:hint="eastAsia" w:ascii="仿宋_GB2312" w:hAnsi="Times New Roman" w:eastAsia="仿宋_GB2312" w:cs="Times New Roman"/>
          <w:snapToGrid/>
          <w:kern w:val="2"/>
          <w:sz w:val="32"/>
          <w:szCs w:val="32"/>
        </w:rPr>
        <w:t>内。</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2023年暂</w:t>
      </w:r>
      <w:r>
        <w:rPr>
          <w:rFonts w:hint="eastAsia" w:ascii="仿宋_GB2312" w:hAnsi="Times New Roman" w:eastAsia="仿宋_GB2312" w:cs="Times New Roman"/>
          <w:snapToGrid/>
          <w:kern w:val="2"/>
          <w:sz w:val="32"/>
          <w:szCs w:val="32"/>
        </w:rPr>
        <w:t>没有使用政府性基金预算拨款安排的支出。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2023年暂</w:t>
      </w:r>
      <w:r>
        <w:rPr>
          <w:rFonts w:hint="eastAsia" w:ascii="仿宋_GB2312" w:hAnsi="Times New Roman" w:eastAsia="仿宋_GB2312" w:cs="Times New Roman"/>
          <w:snapToGrid/>
          <w:kern w:val="2"/>
          <w:sz w:val="32"/>
          <w:szCs w:val="32"/>
        </w:rPr>
        <w:t>没有使用国有资本经营预算拨款安排的支出。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 xml:space="preserve">2023年部门机关运行费预算 </w:t>
      </w:r>
      <w:r>
        <w:rPr>
          <w:rFonts w:hint="eastAsia" w:ascii="仿宋_GB2312" w:hAnsi="Times New Roman" w:eastAsia="仿宋_GB2312" w:cs="Times New Roman"/>
          <w:snapToGrid/>
          <w:kern w:val="2"/>
          <w:sz w:val="32"/>
          <w:szCs w:val="32"/>
          <w:lang w:val="en-US" w:eastAsia="zh-CN"/>
        </w:rPr>
        <w:t>182.95</w:t>
      </w:r>
      <w:r>
        <w:rPr>
          <w:rFonts w:hint="eastAsia" w:ascii="仿宋_GB2312" w:hAnsi="Times New Roman" w:eastAsia="仿宋_GB2312" w:cs="Times New Roman"/>
          <w:snapToGrid/>
          <w:kern w:val="2"/>
          <w:sz w:val="32"/>
          <w:szCs w:val="32"/>
        </w:rPr>
        <w:t>万元，比2022年预算增加</w:t>
      </w:r>
      <w:r>
        <w:rPr>
          <w:rFonts w:hint="eastAsia" w:ascii="仿宋_GB2312" w:hAnsi="Times New Roman" w:eastAsia="仿宋_GB2312" w:cs="Times New Roman"/>
          <w:snapToGrid/>
          <w:kern w:val="2"/>
          <w:sz w:val="32"/>
          <w:szCs w:val="32"/>
          <w:lang w:val="en-US" w:eastAsia="zh-CN"/>
        </w:rPr>
        <w:t>90.38</w:t>
      </w:r>
      <w:r>
        <w:rPr>
          <w:rFonts w:hint="eastAsia" w:ascii="仿宋_GB2312" w:hAnsi="Times New Roman" w:eastAsia="仿宋_GB2312" w:cs="Times New Roman"/>
          <w:snapToGrid/>
          <w:kern w:val="2"/>
          <w:sz w:val="32"/>
          <w:szCs w:val="32"/>
        </w:rPr>
        <w:t>万元，增长</w:t>
      </w:r>
      <w:r>
        <w:rPr>
          <w:rFonts w:hint="eastAsia" w:ascii="仿宋_GB2312" w:hAnsi="Times New Roman" w:eastAsia="仿宋_GB2312" w:cs="Times New Roman"/>
          <w:snapToGrid/>
          <w:kern w:val="2"/>
          <w:sz w:val="32"/>
          <w:szCs w:val="32"/>
          <w:lang w:val="en-US" w:eastAsia="zh-CN"/>
        </w:rPr>
        <w:t>97</w:t>
      </w:r>
      <w:r>
        <w:rPr>
          <w:rFonts w:hint="eastAsia" w:ascii="仿宋_GB2312" w:hAnsi="Times New Roman" w:eastAsia="仿宋_GB2312" w:cs="Times New Roman"/>
          <w:snapToGrid/>
          <w:kern w:val="2"/>
          <w:sz w:val="32"/>
          <w:szCs w:val="32"/>
        </w:rPr>
        <w:t xml:space="preserve"> %。</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2023年部门所属各单位政府采购总额</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 xml:space="preserve">截至2022年12月31日，部门共有车辆 </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辆，其中，</w:t>
      </w:r>
      <w:r>
        <w:rPr>
          <w:rFonts w:hint="eastAsia" w:ascii="仿宋_GB2312" w:hAnsi="Times New Roman" w:eastAsia="仿宋_GB2312" w:cs="Times New Roman"/>
          <w:snapToGrid/>
          <w:kern w:val="2"/>
          <w:sz w:val="32"/>
          <w:szCs w:val="32"/>
          <w:lang w:eastAsia="zh-CN"/>
        </w:rPr>
        <w:t>专用车辆</w:t>
      </w:r>
      <w:r>
        <w:rPr>
          <w:rFonts w:hint="eastAsia" w:ascii="仿宋_GB2312" w:hAnsi="Times New Roman" w:eastAsia="仿宋_GB2312" w:cs="Times New Roman"/>
          <w:snapToGrid/>
          <w:kern w:val="2"/>
          <w:sz w:val="32"/>
          <w:szCs w:val="32"/>
          <w:lang w:val="en-US" w:eastAsia="zh-CN"/>
        </w:rPr>
        <w:t>2辆</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rPr>
      </w:pPr>
      <w:r>
        <w:rPr>
          <w:rFonts w:hint="eastAsia" w:ascii="仿宋_GB2312" w:hAnsi="Times New Roman" w:eastAsia="仿宋_GB2312" w:cs="Times New Roman"/>
          <w:snapToGrid/>
          <w:kern w:val="2"/>
          <w:sz w:val="32"/>
          <w:szCs w:val="32"/>
        </w:rPr>
        <w:t>2023年部门预算安排购置车辆</w:t>
      </w:r>
      <w:r>
        <w:rPr>
          <w:rFonts w:hint="eastAsia" w:ascii="仿宋_GB2312" w:hAnsi="Times New Roman" w:eastAsia="仿宋_GB2312" w:cs="Times New Roman"/>
          <w:snapToGrid/>
          <w:kern w:val="2"/>
          <w:sz w:val="32"/>
          <w:szCs w:val="32"/>
          <w:lang w:val="en-US" w:eastAsia="zh-CN"/>
        </w:rPr>
        <w:t>为0，</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为</w:t>
      </w:r>
      <w:r>
        <w:rPr>
          <w:rFonts w:hint="eastAsia" w:ascii="仿宋_GB2312" w:hAnsi="Times New Roman" w:eastAsia="仿宋_GB2312" w:cs="Times New Roman"/>
          <w:snapToGrid/>
          <w:kern w:val="2"/>
          <w:sz w:val="32"/>
          <w:szCs w:val="32"/>
          <w:lang w:val="en-US" w:eastAsia="zh-CN"/>
        </w:rPr>
        <w:t>0。</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w:t>
      </w:r>
      <w:r>
        <w:rPr>
          <w:rFonts w:hint="eastAsia" w:ascii="仿宋_GB2312" w:hAnsi="Times New Roman" w:eastAsia="仿宋_GB2312" w:cs="Times New Roman"/>
          <w:snapToGrid/>
          <w:kern w:val="2"/>
          <w:sz w:val="32"/>
          <w:szCs w:val="32"/>
          <w:lang w:eastAsia="zh-CN"/>
        </w:rPr>
        <w:t>年初部门预算</w:t>
      </w:r>
      <w:r>
        <w:rPr>
          <w:rFonts w:hint="eastAsia" w:ascii="仿宋_GB2312" w:hAnsi="Times New Roman" w:eastAsia="仿宋_GB2312" w:cs="Times New Roman"/>
          <w:snapToGrid/>
          <w:kern w:val="2"/>
          <w:sz w:val="32"/>
          <w:szCs w:val="32"/>
        </w:rPr>
        <w:t>项目情况说明</w:t>
      </w:r>
    </w:p>
    <w:p>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rPr>
        <w:t>1、</w:t>
      </w:r>
      <w:r>
        <w:rPr>
          <w:rFonts w:hint="eastAsia" w:ascii="仿宋_GB2312" w:hAnsi="Times New Roman" w:eastAsia="仿宋_GB2312" w:cs="Times New Roman"/>
          <w:b/>
          <w:bCs/>
          <w:snapToGrid/>
          <w:kern w:val="2"/>
          <w:sz w:val="32"/>
          <w:szCs w:val="32"/>
          <w:lang w:eastAsia="zh-CN"/>
        </w:rPr>
        <w:t>政府购买服务工作经费</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：用于保障临时人员经费支出</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：县财政统筹安排</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：按时发放临时人员工资，并按照规定标准缴纳五险一金。</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207万元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2</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农村危房改造及村镇建设工作经费</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：为贯彻落实《中共中央 国务院关于实现巩固拓展脱贫攻坚成果同乡村振兴有效衔接的意见》精神，有序推进年度危房改造任务及村镇建设工作，将农村危房改造及村镇建设工作经费纳入部门预算。</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[2022]137号</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：召开农村危房改造工作部署会，明确改造要求、改造政策、资金拨付等内容，落实危房改造任务。</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23万元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3、白蚁防治经费</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：白蚁危害巨大，主要危害房屋建筑、装修房屋、工地工程、文物档案、水利、地下电缆、堤坝、农林作物等。我县属于白蚁危害高发区，白蚁防灭治工作任务较重，为做好该工作，我们将此项目纳入部门预算。</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[2022]346号</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：进一步加大白蚁防治宣传教育工作力度，提高全社会白蚁防治的意识。加强日常巡查，发现白蚁隐患及时治理。</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30万元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lang w:val="en-US" w:eastAsia="zh-CN"/>
        </w:rPr>
        <w:t>4</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污水处理费代收手续费</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：根据《浮梁县人民政府办公室文件县长办公会议纪要》（浮府办字[2015]1号）精神，对于污水处理服务费代收企业按6%的比例支付代收手续费。</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：浮府办字[2015]1号</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：按照企业申请及时审核拨付手续费。</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30万元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5</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保障性住房维修费用</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浮梁县保障性住房自2008年开始建设以来，先后建设了祥瑞、祥和、祥溪、兰田、仙槎等小区，此外，还收购了莱特、金意陶、汉景达、赣森等企业职工宿舍。目前，保障性住房共9个小区2112套，建筑面积15万平方米，每年可收缴租金120万元左右。根据上级相关政策和历年保障性住房跟踪审计的要求，保障性住房租金实行收支两条线管理，小型维修费可从租金中返还列支。随着我县保障性住房使用年限的延长，维修量亦逐年增加，为消除小区安全隐患，保障住户利益，我单位将保障性住房维修项目纳入年初预算。</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[2022]346号</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：为确保保障性住房公共设施畅通、环境卫生清洁，居民能有一个良好的居住环境，对于群众反映或工作当中发现的住房安全隐患问题及时进行维修维护。</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45万元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6</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问题楼盘协调工作经费</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为妥善解决我县房地产发展中存在的一些问题，有力推动房地产楼盘建设，促进房地产市场健康发展，维护好人民群众的合法权益和社会稳定，县委、县政府成立了数个问题楼盘工作协调组，为使工作组更好地开展工作，将问题楼盘工作经费编入预算。</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[2022]134号</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：积极协调问题楼盘验收、交房、办证等事宜，为开发企业去库存、降压力，办购房群众解忧。</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13万元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lang w:val="en-US" w:eastAsia="zh-CN"/>
        </w:rPr>
        <w:t>7</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保障性住房小区物业服务费</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概述：目前浮梁县共有祥和小区、祥溪小区、兰田小区、仙槎小区共1320套保障性住房，面积为78266平方米。根据国家、省、市有关规定，保障性住房小区物业费由地方政府和申租家庭共同承担。为保障保障性住房小区物业管理工作正常进行，我局将保障性住房小区年度物业管理服务费纳入年初预算。</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[2022]232号</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：按时拨付物业服务企业相关费用。</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32.88万元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二、2023年"三公”经费预算情况说明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w:t>
      </w:r>
      <w:r>
        <w:rPr>
          <w:rFonts w:hint="eastAsia" w:ascii="仿宋_GB2312" w:hAnsi="Times New Roman" w:eastAsia="仿宋_GB2312" w:cs="Times New Roman"/>
          <w:snapToGrid/>
          <w:kern w:val="2"/>
          <w:sz w:val="32"/>
          <w:szCs w:val="32"/>
          <w:lang w:eastAsia="zh-CN"/>
        </w:rPr>
        <w:t>住建</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28</w:t>
      </w:r>
      <w:r>
        <w:rPr>
          <w:rFonts w:hint="eastAsia" w:ascii="仿宋_GB2312" w:hAnsi="Times New Roman" w:eastAsia="仿宋_GB2312" w:cs="Times New Roman"/>
          <w:snapToGrid/>
          <w:kern w:val="2"/>
          <w:sz w:val="32"/>
          <w:szCs w:val="32"/>
        </w:rPr>
        <w:t>万元。其中:</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28</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万元，主要原因</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eastAsia="zh-CN"/>
        </w:rPr>
        <w:t>：单位进一步强化节约意识，严格控制公务接待数量和标准。</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 w:hAnsi="仿宋" w:eastAsia="仿宋" w:cs="仿宋"/>
          <w:spacing w:val="-15"/>
          <w:w w:val="94"/>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pPr>
        <w:spacing w:before="173"/>
        <w:ind w:right="49" w:firstLine="599"/>
        <w:rPr>
          <w:rFonts w:ascii="仿宋" w:hAnsi="仿宋" w:eastAsia="仿宋" w:cs="仿宋"/>
          <w:spacing w:val="-15"/>
          <w:w w:val="94"/>
          <w:sz w:val="32"/>
          <w:szCs w:val="32"/>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(八)使用非财政拨款结余:填列历年滚存的非限定用途的非统计财政拨款结余弥补2023年收支差额的数额。</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(九)上年结转和结余:填列2022年全部结转和结余的资金数，包括当年结转结余资金和历年滚存结转结余资金。</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对部门预算中涉及的支出功能分类科目(明细到项级)，结合部门实际，参照《2023年政府收支分类科目》的规范说明进行解释。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p>
    <w:p>
      <w:pPr>
        <w:spacing w:before="173"/>
        <w:ind w:right="49" w:firstLine="599"/>
        <w:jc w:val="right"/>
        <w:rPr>
          <w:rFonts w:hint="eastAsia" w:ascii="仿宋_GB2312" w:hAnsi="Times New Roman" w:eastAsia="仿宋_GB2312" w:cs="Times New Roman"/>
          <w:snapToGrid/>
          <w:kern w:val="2"/>
          <w:sz w:val="32"/>
          <w:szCs w:val="32"/>
        </w:rPr>
      </w:pPr>
      <w:r>
        <w:rPr>
          <w:rFonts w:hint="eastAsia" w:ascii="仿宋" w:hAnsi="仿宋" w:eastAsia="仿宋" w:cs="仿宋"/>
          <w:spacing w:val="-15"/>
          <w:w w:val="94"/>
          <w:sz w:val="32"/>
          <w:szCs w:val="32"/>
          <w:lang w:val="en-US" w:eastAsia="zh-CN"/>
        </w:rPr>
        <w:t>2023年3月27日</w:t>
      </w:r>
      <w:bookmarkStart w:id="1" w:name="_GoBack"/>
      <w:bookmarkEnd w:id="1"/>
    </w:p>
    <w:p>
      <w:pPr>
        <w:widowControl w:val="0"/>
        <w:kinsoku/>
        <w:autoSpaceDE/>
        <w:autoSpaceDN/>
        <w:adjustRightInd/>
        <w:snapToGrid/>
        <w:jc w:val="both"/>
        <w:textAlignment w:val="auto"/>
        <w:rPr>
          <w:rFonts w:hint="eastAsia" w:ascii="仿宋_GB2312" w:hAnsi="Times New Roman" w:eastAsia="仿宋_GB2312" w:cs="Times New Roman"/>
          <w:snapToGrid/>
          <w:kern w:val="2"/>
          <w:sz w:val="32"/>
          <w:szCs w:val="32"/>
          <w:lang w:eastAsia="zh-CN"/>
        </w:rPr>
      </w:pPr>
    </w:p>
    <w:p>
      <w:pPr>
        <w:widowControl w:val="0"/>
        <w:kinsoku/>
        <w:autoSpaceDE/>
        <w:autoSpaceDN/>
        <w:adjustRightInd/>
        <w:snapToGrid/>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附件：1.县住建局2023年部门预算公开表</w:t>
      </w:r>
    </w:p>
    <w:p>
      <w:pPr>
        <w:widowControl w:val="0"/>
        <w:kinsoku/>
        <w:autoSpaceDE/>
        <w:autoSpaceDN/>
        <w:adjustRightInd/>
        <w:snapToGrid/>
        <w:ind w:firstLine="960" w:firstLineChars="300"/>
        <w:jc w:val="both"/>
        <w:textAlignment w:val="auto"/>
        <w:rPr>
          <w:rFonts w:hint="default"/>
          <w:lang w:val="en-US" w:eastAsia="zh-CN"/>
        </w:rPr>
      </w:pPr>
      <w:r>
        <w:rPr>
          <w:rFonts w:hint="eastAsia" w:ascii="仿宋_GB2312" w:hAnsi="Times New Roman" w:eastAsia="仿宋_GB2312" w:cs="Times New Roman"/>
          <w:snapToGrid/>
          <w:kern w:val="2"/>
          <w:sz w:val="32"/>
          <w:szCs w:val="32"/>
          <w:lang w:val="en-US" w:eastAsia="zh-CN"/>
        </w:rPr>
        <w:t>2.县住建局2023年部门整体支出绩效目标表及项目支出绩效目标表</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CDE7C0-38FA-4A57-9F8C-2A8EB32B90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998BE15B-8E18-4743-B02A-127311ED002B}"/>
  </w:font>
  <w:font w:name="楷体">
    <w:panose1 w:val="02010609060101010101"/>
    <w:charset w:val="86"/>
    <w:family w:val="modern"/>
    <w:pitch w:val="default"/>
    <w:sig w:usb0="800002BF" w:usb1="38CF7CFA" w:usb2="00000016" w:usb3="00000000" w:csb0="00040001" w:csb1="00000000"/>
    <w:embedRegular r:id="rId3" w:fontKey="{4548112E-E62D-4E01-8F10-7C215613F1C8}"/>
  </w:font>
  <w:font w:name="仿宋_GB2312">
    <w:altName w:val="仿宋"/>
    <w:panose1 w:val="00000000000000000000"/>
    <w:charset w:val="86"/>
    <w:family w:val="modern"/>
    <w:pitch w:val="default"/>
    <w:sig w:usb0="00000000" w:usb1="00000000" w:usb2="00000010" w:usb3="00000000" w:csb0="00040000" w:csb1="00000000"/>
    <w:embedRegular r:id="rId4" w:fontKey="{676085B9-F1E8-4680-B105-330A51AD0987}"/>
  </w:font>
  <w:font w:name="仿宋">
    <w:panose1 w:val="02010609060101010101"/>
    <w:charset w:val="86"/>
    <w:family w:val="modern"/>
    <w:pitch w:val="default"/>
    <w:sig w:usb0="800002BF" w:usb1="38CF7CFA" w:usb2="00000016" w:usb3="00000000" w:csb0="00040001" w:csb1="00000000"/>
    <w:embedRegular r:id="rId5" w:fontKey="{888FBA40-B2FD-43A5-8718-A827437A3B56}"/>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I0ZTRlZWYxY2I1MDUyZWFiYzA2OGQxNTAxM2I0YWUifQ=="/>
  </w:docVars>
  <w:rsids>
    <w:rsidRoot w:val="00E637E3"/>
    <w:rsid w:val="0028241F"/>
    <w:rsid w:val="007D2708"/>
    <w:rsid w:val="00871CCE"/>
    <w:rsid w:val="00A55E03"/>
    <w:rsid w:val="00E637E3"/>
    <w:rsid w:val="010B76F2"/>
    <w:rsid w:val="0298633B"/>
    <w:rsid w:val="07B21AAB"/>
    <w:rsid w:val="08D12032"/>
    <w:rsid w:val="0A310FDA"/>
    <w:rsid w:val="0FC31779"/>
    <w:rsid w:val="0FF545AD"/>
    <w:rsid w:val="119B4D4D"/>
    <w:rsid w:val="121B5B53"/>
    <w:rsid w:val="17FD5F31"/>
    <w:rsid w:val="180A0D7A"/>
    <w:rsid w:val="1A307485"/>
    <w:rsid w:val="1AF87926"/>
    <w:rsid w:val="28B74E8B"/>
    <w:rsid w:val="2F1E74CF"/>
    <w:rsid w:val="2F3218E3"/>
    <w:rsid w:val="31C3406A"/>
    <w:rsid w:val="31D420C7"/>
    <w:rsid w:val="325D7BAC"/>
    <w:rsid w:val="39AE0BDD"/>
    <w:rsid w:val="3A8732DE"/>
    <w:rsid w:val="3DE013FD"/>
    <w:rsid w:val="3E7F06B5"/>
    <w:rsid w:val="429A4C67"/>
    <w:rsid w:val="46347C63"/>
    <w:rsid w:val="474E6296"/>
    <w:rsid w:val="476D2917"/>
    <w:rsid w:val="47CA4273"/>
    <w:rsid w:val="4D7A4668"/>
    <w:rsid w:val="4E3221F7"/>
    <w:rsid w:val="4E9D7BB0"/>
    <w:rsid w:val="4F6F234F"/>
    <w:rsid w:val="51911841"/>
    <w:rsid w:val="52A33A2B"/>
    <w:rsid w:val="52EF6909"/>
    <w:rsid w:val="535A3AA7"/>
    <w:rsid w:val="5398432F"/>
    <w:rsid w:val="56EB73E7"/>
    <w:rsid w:val="5A902908"/>
    <w:rsid w:val="5D24489D"/>
    <w:rsid w:val="63B158A2"/>
    <w:rsid w:val="6C0006DE"/>
    <w:rsid w:val="7B6969A9"/>
    <w:rsid w:val="7BFA3AA5"/>
    <w:rsid w:val="7D067899"/>
    <w:rsid w:val="7E2766A8"/>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31"/>
    <w:basedOn w:val="5"/>
    <w:uiPriority w:val="0"/>
    <w:rPr>
      <w:rFonts w:hint="eastAsia" w:ascii="宋体" w:hAnsi="宋体" w:eastAsia="宋体" w:cs="宋体"/>
      <w:b/>
      <w:bCs/>
      <w:color w:val="000000"/>
      <w:sz w:val="34"/>
      <w:szCs w:val="34"/>
      <w:u w:val="none"/>
    </w:rPr>
  </w:style>
  <w:style w:type="character" w:customStyle="1" w:styleId="8">
    <w:name w:val="font91"/>
    <w:basedOn w:val="5"/>
    <w:uiPriority w:val="0"/>
    <w:rPr>
      <w:rFonts w:hint="eastAsia" w:ascii="宋体" w:hAnsi="宋体" w:eastAsia="宋体" w:cs="宋体"/>
      <w:b/>
      <w:bCs/>
      <w:color w:val="000000"/>
      <w:sz w:val="36"/>
      <w:szCs w:val="36"/>
      <w:u w:val="none"/>
    </w:rPr>
  </w:style>
  <w:style w:type="character" w:customStyle="1" w:styleId="9">
    <w:name w:val="font2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4251</Words>
  <Characters>4561</Characters>
  <Lines>14</Lines>
  <Paragraphs>4</Paragraphs>
  <TotalTime>0</TotalTime>
  <ScaleCrop>false</ScaleCrop>
  <LinksUpToDate>false</LinksUpToDate>
  <CharactersWithSpaces>4581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潘</cp:lastModifiedBy>
  <dcterms:modified xsi:type="dcterms:W3CDTF">2023-03-31T02:05:01Z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2052-11.1.0.13703</vt:lpwstr>
  </property>
  <property fmtid="{D5CDD505-2E9C-101B-9397-08002B2CF9AE}" pid="5" name="ICV">
    <vt:lpwstr>88DC4E5DA5774A45A9990BB4EE0325F1</vt:lpwstr>
  </property>
</Properties>
</file>