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2021年县房产管理局</w:t>
      </w:r>
    </w:p>
    <w:p>
      <w:pPr>
        <w:jc w:val="center"/>
        <w:rPr>
          <w:rFonts w:hint="eastAsia"/>
          <w:b/>
          <w:bCs/>
          <w:sz w:val="32"/>
          <w:szCs w:val="32"/>
          <w:lang w:val="en-US" w:eastAsia="zh-CN"/>
        </w:rPr>
      </w:pPr>
      <w:r>
        <w:rPr>
          <w:rFonts w:hint="eastAsia"/>
          <w:b/>
          <w:bCs/>
          <w:sz w:val="32"/>
          <w:szCs w:val="32"/>
          <w:lang w:val="en-US" w:eastAsia="zh-CN"/>
        </w:rPr>
        <w:t>部门评价报告</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280" w:leftChars="0" w:firstLine="0" w:firstLineChars="0"/>
        <w:jc w:val="both"/>
        <w:textAlignment w:val="auto"/>
        <w:rPr>
          <w:rFonts w:hint="eastAsia"/>
          <w:b/>
          <w:bCs/>
          <w:sz w:val="28"/>
          <w:szCs w:val="28"/>
          <w:lang w:val="en-US" w:eastAsia="zh-CN"/>
        </w:rPr>
      </w:pPr>
      <w:r>
        <w:rPr>
          <w:rFonts w:hint="eastAsia"/>
          <w:b/>
          <w:bCs/>
          <w:sz w:val="28"/>
          <w:szCs w:val="28"/>
          <w:lang w:val="en-US" w:eastAsia="zh-CN"/>
        </w:rPr>
        <w:t>基本情况</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280" w:leftChars="0"/>
        <w:jc w:val="both"/>
        <w:textAlignment w:val="auto"/>
        <w:rPr>
          <w:rFonts w:hint="eastAsia"/>
          <w:b w:val="0"/>
          <w:bCs w:val="0"/>
          <w:sz w:val="28"/>
          <w:szCs w:val="28"/>
          <w:lang w:val="en-US" w:eastAsia="zh-CN"/>
        </w:rPr>
      </w:pPr>
      <w:r>
        <w:rPr>
          <w:rFonts w:hint="eastAsia"/>
          <w:b w:val="0"/>
          <w:bCs w:val="0"/>
          <w:sz w:val="28"/>
          <w:szCs w:val="28"/>
          <w:lang w:val="en-US" w:eastAsia="zh-CN"/>
        </w:rPr>
        <w:t>项目情况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0" w:firstLineChars="300"/>
        <w:jc w:val="both"/>
        <w:textAlignment w:val="auto"/>
        <w:rPr>
          <w:rFonts w:hint="eastAsia"/>
          <w:b w:val="0"/>
          <w:bCs w:val="0"/>
          <w:sz w:val="28"/>
          <w:szCs w:val="28"/>
          <w:lang w:val="en-US" w:eastAsia="zh-CN"/>
        </w:rPr>
      </w:pPr>
      <w:r>
        <w:rPr>
          <w:rFonts w:hint="eastAsia"/>
          <w:b w:val="0"/>
          <w:bCs w:val="0"/>
          <w:sz w:val="28"/>
          <w:szCs w:val="28"/>
          <w:lang w:val="en-US" w:eastAsia="zh-CN"/>
        </w:rPr>
        <w:t>保障性住房工作人员管理经费及保障性住房物业管理费与维修费：保障性住房内有五名工作人员，负责保障性住房建设计划编制与申报、项目建设；负责受理申租材料、资格审查、摇号分配、收缴房租等；负责建档、建章立制及实施落实；负责业主入住后小区的物业管理、资格动态管理、小区维修等。</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280" w:leftChars="0" w:firstLine="0" w:firstLineChars="0"/>
        <w:jc w:val="both"/>
        <w:textAlignment w:val="auto"/>
        <w:rPr>
          <w:rFonts w:hint="eastAsia" w:ascii="宋体" w:hAnsi="宋体" w:eastAsia="宋体" w:cs="宋体"/>
          <w:b w:val="0"/>
          <w:bCs w:val="0"/>
          <w:sz w:val="28"/>
          <w:szCs w:val="28"/>
          <w:lang w:val="en-US" w:eastAsia="zh-CN"/>
        </w:rPr>
      </w:pPr>
      <w:r>
        <w:rPr>
          <w:rFonts w:hint="eastAsia"/>
          <w:b w:val="0"/>
          <w:bCs w:val="0"/>
          <w:sz w:val="28"/>
          <w:szCs w:val="28"/>
          <w:lang w:val="en-US" w:eastAsia="zh-CN"/>
        </w:rPr>
        <w:t>项目绩效目标</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280" w:leftChars="0" w:firstLine="560" w:firstLineChars="200"/>
        <w:jc w:val="both"/>
        <w:textAlignment w:val="auto"/>
        <w:rPr>
          <w:rFonts w:hint="eastAsia" w:ascii="宋体" w:hAnsi="宋体" w:eastAsia="宋体" w:cs="宋体"/>
          <w:b w:val="0"/>
          <w:bCs w:val="0"/>
          <w:sz w:val="28"/>
          <w:szCs w:val="28"/>
          <w:lang w:val="en-US" w:eastAsia="zh-CN"/>
        </w:rPr>
      </w:pPr>
      <w:r>
        <w:rPr>
          <w:rFonts w:hint="eastAsia"/>
          <w:b w:val="0"/>
          <w:bCs w:val="0"/>
          <w:sz w:val="28"/>
          <w:szCs w:val="28"/>
          <w:lang w:val="en-US" w:eastAsia="zh-CN"/>
        </w:rPr>
        <w:t>保障性住房工作人员管理经费及保障性住房物业管理费与维修费：项目费用主要用于发放本年度工作人员工资，小区物业管理费及维修费。保障性住房入住户1100户，收取租金120余万，2021年小区修缮面积9965</w:t>
      </w:r>
      <w:r>
        <w:rPr>
          <w:rFonts w:hint="eastAsia" w:ascii="宋体" w:hAnsi="宋体" w:eastAsia="宋体" w:cs="宋体"/>
          <w:b w:val="0"/>
          <w:bCs w:val="0"/>
          <w:sz w:val="28"/>
          <w:szCs w:val="28"/>
          <w:lang w:val="en-US" w:eastAsia="zh-CN"/>
        </w:rPr>
        <w:t>㎡.</w:t>
      </w:r>
      <w:r>
        <w:rPr>
          <w:rFonts w:hint="eastAsia"/>
          <w:b w:val="0"/>
          <w:bCs w:val="0"/>
          <w:sz w:val="28"/>
          <w:szCs w:val="28"/>
          <w:lang w:val="en-US" w:eastAsia="zh-CN"/>
        </w:rPr>
        <w:t>申报项目内容与具体实施内容相符。</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280" w:leftChars="0" w:firstLine="0" w:firstLineChars="0"/>
        <w:jc w:val="both"/>
        <w:textAlignment w:val="auto"/>
        <w:rPr>
          <w:rFonts w:hint="eastAsia"/>
          <w:b w:val="0"/>
          <w:bCs w:val="0"/>
          <w:sz w:val="28"/>
          <w:szCs w:val="28"/>
          <w:lang w:val="en-US" w:eastAsia="zh-CN"/>
        </w:rPr>
      </w:pPr>
      <w:r>
        <w:rPr>
          <w:rFonts w:hint="eastAsia"/>
          <w:b w:val="0"/>
          <w:bCs w:val="0"/>
          <w:sz w:val="28"/>
          <w:szCs w:val="28"/>
          <w:lang w:val="en-US" w:eastAsia="zh-CN"/>
        </w:rPr>
        <w:t>资金计划、到位及使用情况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80" w:leftChars="0"/>
        <w:jc w:val="both"/>
        <w:textAlignment w:val="auto"/>
        <w:rPr>
          <w:rFonts w:hint="eastAsia"/>
          <w:b w:val="0"/>
          <w:bCs w:val="0"/>
          <w:sz w:val="28"/>
          <w:szCs w:val="28"/>
          <w:lang w:val="en-US" w:eastAsia="zh-CN"/>
        </w:rPr>
      </w:pPr>
      <w:r>
        <w:rPr>
          <w:rFonts w:hint="eastAsia"/>
          <w:b w:val="0"/>
          <w:bCs w:val="0"/>
          <w:sz w:val="28"/>
          <w:szCs w:val="28"/>
          <w:lang w:val="en-US" w:eastAsia="zh-CN"/>
        </w:rPr>
        <w:t xml:space="preserve">    保障性住房工作人员管理经费及保障性住房物业管理费与维修费：每年保障性住房收取房租租金全部缴交财政非税专户，财政局再根据保障性住房提交申请报告再返还相应租金金额用于发放  保障性住房工作人员管理经费及保障性住房物业管理费与维修费，2021年度实际到账金额保障性住房工作人员管理经费40万元，支付率98%，保障性住房物业管理费32.88万，支付率100%.</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80" w:leftChars="0"/>
        <w:jc w:val="both"/>
        <w:textAlignment w:val="auto"/>
        <w:rPr>
          <w:rFonts w:hint="eastAsia"/>
          <w:b/>
          <w:bCs/>
          <w:sz w:val="28"/>
          <w:szCs w:val="28"/>
          <w:lang w:val="en-US" w:eastAsia="zh-CN"/>
        </w:rPr>
      </w:pPr>
      <w:r>
        <w:rPr>
          <w:rFonts w:hint="eastAsia"/>
          <w:b/>
          <w:bCs/>
          <w:sz w:val="28"/>
          <w:szCs w:val="28"/>
          <w:lang w:val="en-US" w:eastAsia="zh-CN"/>
        </w:rPr>
        <w:t>二、绩效评价工作开展情况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80" w:leftChars="0"/>
        <w:jc w:val="both"/>
        <w:textAlignment w:val="auto"/>
        <w:rPr>
          <w:rFonts w:hint="eastAsia"/>
          <w:b w:val="0"/>
          <w:bCs w:val="0"/>
          <w:sz w:val="28"/>
          <w:szCs w:val="28"/>
          <w:lang w:val="en-US" w:eastAsia="zh-CN"/>
        </w:rPr>
      </w:pPr>
      <w:r>
        <w:rPr>
          <w:rFonts w:hint="eastAsia"/>
          <w:b w:val="0"/>
          <w:bCs w:val="0"/>
          <w:sz w:val="28"/>
          <w:szCs w:val="28"/>
          <w:lang w:val="en-US" w:eastAsia="zh-CN"/>
        </w:rPr>
        <w:t>（一）绩效评价目的、对象和范围。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80" w:leftChars="0" w:firstLine="280" w:firstLineChars="100"/>
        <w:jc w:val="both"/>
        <w:textAlignment w:val="auto"/>
        <w:rPr>
          <w:rFonts w:hint="eastAsia"/>
          <w:b w:val="0"/>
          <w:bCs w:val="0"/>
          <w:sz w:val="28"/>
          <w:szCs w:val="28"/>
          <w:lang w:val="en-US" w:eastAsia="zh-CN"/>
        </w:rPr>
      </w:pPr>
      <w:r>
        <w:rPr>
          <w:rFonts w:hint="eastAsia"/>
          <w:b w:val="0"/>
          <w:bCs w:val="0"/>
          <w:sz w:val="28"/>
          <w:szCs w:val="28"/>
          <w:lang w:val="en-US" w:eastAsia="zh-CN"/>
        </w:rPr>
        <w:t>严格执行《中华人民共和国预算法》、《中华人民共和国会计法》，建立健全项目的申报、论证、实施、评审及验收制度，对财政下达的预算，单位应结合工作实际制定用款计划和项目支出计划。落实专项资金项目管理，建立专项资金绩效考核评价制度，提高资金使用效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80" w:leftChars="0"/>
        <w:jc w:val="both"/>
        <w:textAlignment w:val="auto"/>
        <w:rPr>
          <w:rFonts w:hint="eastAsia"/>
          <w:b w:val="0"/>
          <w:bCs w:val="0"/>
          <w:sz w:val="28"/>
          <w:szCs w:val="28"/>
          <w:lang w:val="en-US" w:eastAsia="zh-CN"/>
        </w:rPr>
      </w:pPr>
      <w:r>
        <w:rPr>
          <w:rFonts w:hint="eastAsia"/>
          <w:b w:val="0"/>
          <w:bCs w:val="0"/>
          <w:sz w:val="28"/>
          <w:szCs w:val="28"/>
          <w:lang w:val="en-US" w:eastAsia="zh-CN"/>
        </w:rPr>
        <w:t>（二）绩效评价原则、评价指标体系（附表说明）、评价方法、评价标准等。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为促进绩效目标的实现，提高专款专用的有效性，资金审批遵循“谁经手，谁负责”的原则，保证项目的顺利实施。检查评价方法主要包括：个别访谈法、调查问卷法、比较分析法、抽样法、实地查验法、专题讨论会法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jc w:val="both"/>
        <w:textAlignment w:val="auto"/>
        <w:rPr>
          <w:rFonts w:hint="eastAsia"/>
          <w:b w:val="0"/>
          <w:bCs w:val="0"/>
          <w:sz w:val="28"/>
          <w:szCs w:val="28"/>
          <w:lang w:val="en-US" w:eastAsia="zh-CN"/>
        </w:rPr>
      </w:pPr>
      <w:r>
        <w:rPr>
          <w:rFonts w:hint="eastAsia"/>
          <w:b w:val="0"/>
          <w:bCs w:val="0"/>
          <w:sz w:val="28"/>
          <w:szCs w:val="28"/>
          <w:lang w:val="en-US" w:eastAsia="zh-CN"/>
        </w:rPr>
        <w:t>（三）绩效评价工作过程。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b w:val="0"/>
          <w:bCs w:val="0"/>
          <w:sz w:val="28"/>
          <w:szCs w:val="28"/>
          <w:lang w:val="en-US" w:eastAsia="zh-CN"/>
        </w:rPr>
      </w:pPr>
      <w:r>
        <w:rPr>
          <w:rFonts w:hint="eastAsia"/>
          <w:b w:val="0"/>
          <w:bCs w:val="0"/>
          <w:sz w:val="28"/>
          <w:szCs w:val="28"/>
          <w:lang w:val="en-US" w:eastAsia="zh-CN"/>
        </w:rPr>
        <w:t>健全和完善绩效管理工作，强化支出责任，对项目支出情况开展绩效评价，遵循“合法、规范、公平、节俭”的原则，提高项目资金使用效益。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80" w:leftChars="0" w:firstLine="281" w:firstLineChars="100"/>
        <w:jc w:val="both"/>
        <w:textAlignment w:val="auto"/>
        <w:rPr>
          <w:rFonts w:hint="eastAsia"/>
          <w:b/>
          <w:bCs/>
          <w:sz w:val="28"/>
          <w:szCs w:val="28"/>
          <w:lang w:val="en-US" w:eastAsia="zh-CN"/>
        </w:rPr>
      </w:pPr>
      <w:r>
        <w:rPr>
          <w:rFonts w:hint="eastAsia"/>
          <w:b/>
          <w:bCs/>
          <w:sz w:val="28"/>
          <w:szCs w:val="28"/>
          <w:lang w:val="en-US" w:eastAsia="zh-CN"/>
        </w:rPr>
        <w:t>三、综合评价情况及评价结论（附相关评分表）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以预算管理、收支管理等业务层面绩效目标为主要内容，单位绩效目标落实工作进入严谨化、规范化轨道，不得虚列项目辜出，不得截留、挤占、挪用、浪费、套取、转移专项资金，不得进行二次分配。本部门在2021年度项目资金使用和管理中，实际支出与项目规定的用途一致，资金收支平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80" w:leftChars="0" w:firstLine="281" w:firstLineChars="100"/>
        <w:jc w:val="both"/>
        <w:textAlignment w:val="auto"/>
        <w:rPr>
          <w:rFonts w:hint="eastAsia"/>
          <w:b w:val="0"/>
          <w:bCs w:val="0"/>
          <w:sz w:val="28"/>
          <w:szCs w:val="28"/>
          <w:lang w:val="en-US" w:eastAsia="zh-CN"/>
        </w:rPr>
      </w:pPr>
      <w:r>
        <w:rPr>
          <w:rFonts w:hint="eastAsia"/>
          <w:b/>
          <w:bCs/>
          <w:sz w:val="28"/>
          <w:szCs w:val="28"/>
          <w:lang w:val="en-US" w:eastAsia="zh-CN"/>
        </w:rPr>
        <w:t>四、绩效评价指标分析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80" w:leftChars="0" w:firstLine="280" w:firstLineChars="100"/>
        <w:jc w:val="both"/>
        <w:textAlignment w:val="auto"/>
        <w:rPr>
          <w:rFonts w:hint="eastAsia"/>
          <w:b w:val="0"/>
          <w:bCs w:val="0"/>
          <w:sz w:val="28"/>
          <w:szCs w:val="28"/>
          <w:lang w:val="en-US" w:eastAsia="zh-CN"/>
        </w:rPr>
      </w:pPr>
      <w:r>
        <w:rPr>
          <w:rFonts w:hint="eastAsia"/>
          <w:b w:val="0"/>
          <w:bCs w:val="0"/>
          <w:sz w:val="28"/>
          <w:szCs w:val="28"/>
          <w:lang w:val="en-US" w:eastAsia="zh-CN"/>
        </w:rPr>
        <w:t>（一）项目决策情况。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80" w:leftChars="0" w:firstLine="280" w:firstLineChars="100"/>
        <w:jc w:val="both"/>
        <w:textAlignment w:val="auto"/>
        <w:rPr>
          <w:rFonts w:hint="eastAsia"/>
          <w:b w:val="0"/>
          <w:bCs w:val="0"/>
          <w:sz w:val="28"/>
          <w:szCs w:val="28"/>
          <w:lang w:val="en-US" w:eastAsia="zh-CN"/>
        </w:rPr>
      </w:pPr>
      <w:r>
        <w:rPr>
          <w:rFonts w:hint="eastAsia"/>
          <w:b w:val="0"/>
          <w:bCs w:val="0"/>
          <w:sz w:val="28"/>
          <w:szCs w:val="28"/>
          <w:lang w:val="en-US" w:eastAsia="zh-CN"/>
        </w:rPr>
        <w:t>项目资金于2021年全部到位，本着实事求是有序的安排支出事项。保障了本部门履行基本职能所需要的人员经费和公用经费，资金使用合规，使用效益明显。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80" w:leftChars="0" w:firstLine="280" w:firstLineChars="100"/>
        <w:jc w:val="both"/>
        <w:textAlignment w:val="auto"/>
        <w:rPr>
          <w:rFonts w:hint="eastAsia"/>
          <w:b w:val="0"/>
          <w:bCs w:val="0"/>
          <w:sz w:val="28"/>
          <w:szCs w:val="28"/>
          <w:lang w:val="en-US" w:eastAsia="zh-CN"/>
        </w:rPr>
      </w:pPr>
      <w:r>
        <w:rPr>
          <w:rFonts w:hint="eastAsia"/>
          <w:b w:val="0"/>
          <w:bCs w:val="0"/>
          <w:sz w:val="28"/>
          <w:szCs w:val="28"/>
          <w:lang w:val="en-US" w:eastAsia="zh-CN"/>
        </w:rPr>
        <w:t>（二）项目过程情况。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80" w:leftChars="0" w:firstLine="280" w:firstLineChars="100"/>
        <w:jc w:val="both"/>
        <w:textAlignment w:val="auto"/>
        <w:rPr>
          <w:rFonts w:hint="eastAsia"/>
          <w:b w:val="0"/>
          <w:bCs w:val="0"/>
          <w:sz w:val="28"/>
          <w:szCs w:val="28"/>
          <w:lang w:val="en-US" w:eastAsia="zh-CN"/>
        </w:rPr>
      </w:pPr>
      <w:r>
        <w:rPr>
          <w:rFonts w:hint="eastAsia"/>
          <w:b w:val="0"/>
          <w:bCs w:val="0"/>
          <w:sz w:val="28"/>
          <w:szCs w:val="28"/>
          <w:lang w:val="en-US" w:eastAsia="zh-CN"/>
        </w:rPr>
        <w:t>建立支出制度和内部稽核、审批、审查制度，完善内部支出管理，强化内部约束，不断降低我局运行成本。严格执行相关制度和文件规定，顺利完成项目预期目标。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80" w:leftChars="0" w:firstLine="280" w:firstLineChars="100"/>
        <w:jc w:val="both"/>
        <w:textAlignment w:val="auto"/>
        <w:rPr>
          <w:rFonts w:hint="eastAsia"/>
          <w:b w:val="0"/>
          <w:bCs w:val="0"/>
          <w:sz w:val="28"/>
          <w:szCs w:val="28"/>
          <w:lang w:val="en-US" w:eastAsia="zh-CN"/>
        </w:rPr>
      </w:pPr>
      <w:r>
        <w:rPr>
          <w:rFonts w:hint="eastAsia"/>
          <w:b w:val="0"/>
          <w:bCs w:val="0"/>
          <w:sz w:val="28"/>
          <w:szCs w:val="28"/>
          <w:lang w:val="en-US" w:eastAsia="zh-CN"/>
        </w:rPr>
        <w:t>（三）项目产出情况。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80" w:leftChars="0" w:firstLine="280" w:firstLineChars="100"/>
        <w:jc w:val="both"/>
        <w:textAlignment w:val="auto"/>
        <w:rPr>
          <w:rFonts w:hint="default"/>
          <w:b w:val="0"/>
          <w:bCs w:val="0"/>
          <w:sz w:val="28"/>
          <w:szCs w:val="28"/>
          <w:lang w:val="en-US" w:eastAsia="zh-CN"/>
        </w:rPr>
      </w:pPr>
      <w:r>
        <w:rPr>
          <w:rFonts w:hint="eastAsia"/>
          <w:b w:val="0"/>
          <w:bCs w:val="0"/>
          <w:sz w:val="28"/>
          <w:szCs w:val="28"/>
          <w:lang w:val="en-US" w:eastAsia="zh-CN"/>
        </w:rPr>
        <w:t>保障性住房入住户1100户，收取租金120余万，2021年小区修缮面积9965㎡，支付小区物业管理费32.8万，全面完成各项目标任务，成本控制在合理范围之内.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（四）项目效益情况。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80" w:leftChars="0" w:firstLine="280" w:firstLineChars="100"/>
        <w:jc w:val="both"/>
        <w:textAlignment w:val="auto"/>
        <w:rPr>
          <w:rFonts w:hint="eastAsia"/>
          <w:b w:val="0"/>
          <w:bCs w:val="0"/>
          <w:sz w:val="28"/>
          <w:szCs w:val="28"/>
          <w:lang w:val="en-US" w:eastAsia="zh-CN"/>
        </w:rPr>
      </w:pPr>
      <w:r>
        <w:rPr>
          <w:rFonts w:hint="eastAsia"/>
          <w:b w:val="0"/>
          <w:bCs w:val="0"/>
          <w:sz w:val="28"/>
          <w:szCs w:val="28"/>
          <w:lang w:val="en-US" w:eastAsia="zh-CN"/>
        </w:rPr>
        <w:t>为我县低收入家庭、外来务工人员及大中专院校毕业生提供了有力的住房保障，为入住租户家庭改善了住房条件和居住环境。进而实现社区和谐与社会保障的完善，得到了租户的一致好评。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80" w:leftChars="0" w:firstLine="281" w:firstLineChars="100"/>
        <w:jc w:val="both"/>
        <w:textAlignment w:val="auto"/>
        <w:rPr>
          <w:rFonts w:hint="eastAsia"/>
          <w:b/>
          <w:bCs/>
          <w:sz w:val="28"/>
          <w:szCs w:val="28"/>
          <w:lang w:val="en-US" w:eastAsia="zh-CN"/>
        </w:rPr>
      </w:pPr>
      <w:bookmarkStart w:id="0" w:name="_GoBack"/>
      <w:bookmarkEnd w:id="0"/>
      <w:r>
        <w:rPr>
          <w:rFonts w:hint="eastAsia"/>
          <w:b/>
          <w:bCs/>
          <w:sz w:val="28"/>
          <w:szCs w:val="28"/>
          <w:lang w:val="en-US" w:eastAsia="zh-CN"/>
        </w:rPr>
        <w:t>五、主要经验及做法、存在的问题及原因分析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80" w:leftChars="0" w:firstLine="560" w:firstLineChars="200"/>
        <w:jc w:val="both"/>
        <w:textAlignment w:val="auto"/>
        <w:rPr>
          <w:rFonts w:hint="default"/>
          <w:b w:val="0"/>
          <w:bCs w:val="0"/>
          <w:sz w:val="28"/>
          <w:szCs w:val="28"/>
          <w:lang w:val="en-US" w:eastAsia="zh-CN"/>
        </w:rPr>
      </w:pPr>
      <w:r>
        <w:rPr>
          <w:rFonts w:hint="eastAsia"/>
          <w:b w:val="0"/>
          <w:bCs w:val="0"/>
          <w:sz w:val="28"/>
          <w:szCs w:val="28"/>
          <w:lang w:val="en-US" w:eastAsia="zh-CN"/>
        </w:rPr>
        <w:t>专项支出预算的编制应紧密结合单位当年主要职责任务、工作目标及事业发展设想，并充分考虑财政的承受能力，建立健全项目的申报、论证、实施、评审及验收制度，保证项目的顺利实施。加强新《预算法》、《行政单位会计制度》等学习培训，规范部门预算收支核算，落实预算执行分析，及时了解预算执行差异，合理调整、纠正预算执行偏差，切实提高部门预算收支管理水平。做到边学习、边梳理、边完善、边规范、边执行，逐步建立权责明确、运行有效、执行有力、管理绩效目标的体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存在问题及相对措施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80" w:leftChars="0" w:firstLine="560"/>
        <w:jc w:val="both"/>
        <w:textAlignment w:val="auto"/>
        <w:rPr>
          <w:rFonts w:hint="eastAsia"/>
          <w:b w:val="0"/>
          <w:bCs w:val="0"/>
          <w:sz w:val="28"/>
          <w:szCs w:val="28"/>
          <w:lang w:val="en-US" w:eastAsia="zh-CN"/>
        </w:rPr>
      </w:pPr>
      <w:r>
        <w:rPr>
          <w:rFonts w:hint="eastAsia"/>
          <w:b w:val="0"/>
          <w:bCs w:val="0"/>
          <w:sz w:val="28"/>
          <w:szCs w:val="28"/>
          <w:lang w:val="en-US" w:eastAsia="zh-CN"/>
        </w:rPr>
        <w:t>2021年我局项目支出绩效总体较好，均能按照年度设定目标、时间推进项目执行，完成既定任务实现绩效目标，围绕全面落实绩效管理工作，全局职工不断增强了财政支出责任意识，树立了绩效管理观念。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80" w:leftChars="0" w:firstLine="560"/>
        <w:jc w:val="both"/>
        <w:textAlignment w:val="auto"/>
        <w:rPr>
          <w:rFonts w:hint="eastAsia"/>
          <w:b w:val="0"/>
          <w:bCs w:val="0"/>
          <w:sz w:val="28"/>
          <w:szCs w:val="28"/>
          <w:lang w:val="en-US" w:eastAsia="zh-CN"/>
        </w:rPr>
      </w:pPr>
      <w:r>
        <w:rPr>
          <w:rFonts w:hint="eastAsia"/>
          <w:b w:val="0"/>
          <w:bCs w:val="0"/>
          <w:sz w:val="28"/>
          <w:szCs w:val="28"/>
          <w:lang w:val="en-US" w:eastAsia="zh-CN"/>
        </w:rPr>
        <w:t>但是对预算绩效管理要求，还是存在一些问题：</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280" w:leftChars="0" w:firstLine="0" w:firstLineChars="0"/>
        <w:jc w:val="both"/>
        <w:textAlignment w:val="auto"/>
        <w:rPr>
          <w:rFonts w:hint="eastAsia"/>
          <w:b w:val="0"/>
          <w:bCs w:val="0"/>
          <w:sz w:val="28"/>
          <w:szCs w:val="28"/>
          <w:lang w:val="en-US" w:eastAsia="zh-CN"/>
        </w:rPr>
      </w:pPr>
      <w:r>
        <w:rPr>
          <w:rFonts w:hint="eastAsia"/>
          <w:b w:val="0"/>
          <w:bCs w:val="0"/>
          <w:sz w:val="28"/>
          <w:szCs w:val="28"/>
          <w:lang w:val="en-US" w:eastAsia="zh-CN"/>
        </w:rPr>
        <w:t>绩效指标设定的科学性不高，导致实际值与目标值的偏差，</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280" w:leftChars="0" w:firstLine="0" w:firstLineChars="0"/>
        <w:jc w:val="both"/>
        <w:textAlignment w:val="auto"/>
        <w:rPr>
          <w:rFonts w:hint="default"/>
          <w:b w:val="0"/>
          <w:bCs w:val="0"/>
          <w:sz w:val="28"/>
          <w:szCs w:val="28"/>
          <w:lang w:val="en-US" w:eastAsia="zh-CN"/>
        </w:rPr>
      </w:pPr>
      <w:r>
        <w:rPr>
          <w:rFonts w:hint="eastAsia"/>
          <w:b w:val="0"/>
          <w:bCs w:val="0"/>
          <w:sz w:val="28"/>
          <w:szCs w:val="28"/>
          <w:lang w:val="en-US" w:eastAsia="zh-CN"/>
        </w:rPr>
        <w:t>绩效指标设定不够规范，有的项目数量指标产出绩效不明确。</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280" w:leftChars="0" w:firstLine="0" w:firstLineChars="0"/>
        <w:jc w:val="both"/>
        <w:textAlignment w:val="auto"/>
        <w:rPr>
          <w:rFonts w:hint="default"/>
          <w:b w:val="0"/>
          <w:bCs w:val="0"/>
          <w:sz w:val="28"/>
          <w:szCs w:val="28"/>
          <w:lang w:val="en-US" w:eastAsia="zh-CN"/>
        </w:rPr>
      </w:pPr>
      <w:r>
        <w:rPr>
          <w:rFonts w:hint="eastAsia"/>
          <w:b w:val="0"/>
          <w:bCs w:val="0"/>
          <w:sz w:val="28"/>
          <w:szCs w:val="28"/>
          <w:lang w:val="en-US" w:eastAsia="zh-CN"/>
        </w:rPr>
        <w:t>对项目绩效管理评价工作尚缺经验，在制度管理、制度落实、评价指标设置等，不断总结经验，把项目绩效工作抓紧抓实抓细。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80" w:leftChars="0" w:firstLine="280" w:firstLineChars="100"/>
        <w:jc w:val="both"/>
        <w:textAlignment w:val="auto"/>
        <w:rPr>
          <w:rFonts w:hint="eastAsia"/>
          <w:b w:val="0"/>
          <w:bCs w:val="0"/>
          <w:sz w:val="28"/>
          <w:szCs w:val="28"/>
          <w:lang w:val="en-US" w:eastAsia="zh-CN"/>
        </w:rPr>
      </w:pPr>
      <w:r>
        <w:rPr>
          <w:rFonts w:hint="eastAsia"/>
          <w:b w:val="0"/>
          <w:bCs w:val="0"/>
          <w:sz w:val="28"/>
          <w:szCs w:val="28"/>
          <w:lang w:val="en-US" w:eastAsia="zh-CN"/>
        </w:rPr>
        <w:t>相对措施：加强项目分析，进行合理核算，降低实际值与目标值的偏差；完善各项管理制度，做到公平公正；强化项目管理，注重项目绩效，确保项目各项效益如期实现。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80" w:leftChars="0" w:firstLine="280" w:firstLineChars="100"/>
        <w:jc w:val="both"/>
        <w:textAlignment w:val="auto"/>
        <w:rPr>
          <w:rFonts w:hint="eastAsia"/>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80" w:leftChars="0" w:firstLine="280" w:firstLineChars="100"/>
        <w:jc w:val="both"/>
        <w:textAlignment w:val="auto"/>
        <w:rPr>
          <w:rFonts w:hint="eastAsia"/>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80" w:leftChars="0" w:firstLine="280" w:firstLineChars="100"/>
        <w:jc w:val="both"/>
        <w:textAlignment w:val="auto"/>
        <w:rPr>
          <w:rFonts w:hint="eastAsia"/>
          <w:b w:val="0"/>
          <w:bCs w:val="0"/>
          <w:sz w:val="28"/>
          <w:szCs w:val="28"/>
          <w:lang w:val="en-US" w:eastAsia="zh-CN"/>
        </w:rPr>
      </w:pPr>
      <w:r>
        <w:rPr>
          <w:rFonts w:hint="eastAsia"/>
          <w:b w:val="0"/>
          <w:bCs w:val="0"/>
          <w:sz w:val="28"/>
          <w:szCs w:val="28"/>
          <w:lang w:val="en-US" w:eastAsia="zh-CN"/>
        </w:rPr>
        <w:t xml:space="preserve">                                   浮梁县房产管理局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280" w:leftChars="0" w:firstLine="280" w:firstLineChars="100"/>
        <w:jc w:val="both"/>
        <w:textAlignment w:val="auto"/>
        <w:rPr>
          <w:rFonts w:hint="default"/>
          <w:b w:val="0"/>
          <w:bCs w:val="0"/>
          <w:sz w:val="28"/>
          <w:szCs w:val="28"/>
          <w:lang w:val="en-US" w:eastAsia="zh-CN"/>
        </w:rPr>
      </w:pPr>
      <w:r>
        <w:rPr>
          <w:rFonts w:hint="eastAsia"/>
          <w:b w:val="0"/>
          <w:bCs w:val="0"/>
          <w:sz w:val="28"/>
          <w:szCs w:val="28"/>
          <w:lang w:val="en-US" w:eastAsia="zh-CN"/>
        </w:rPr>
        <w:t xml:space="preserve">                                    2022年5月09日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C1484F"/>
    <w:multiLevelType w:val="singleLevel"/>
    <w:tmpl w:val="B1C1484F"/>
    <w:lvl w:ilvl="0" w:tentative="0">
      <w:start w:val="1"/>
      <w:numFmt w:val="chineseCounting"/>
      <w:suff w:val="nothing"/>
      <w:lvlText w:val="%1、"/>
      <w:lvlJc w:val="left"/>
      <w:pPr>
        <w:ind w:left="280" w:leftChars="0" w:firstLine="0" w:firstLineChars="0"/>
      </w:pPr>
      <w:rPr>
        <w:rFonts w:hint="eastAsia"/>
      </w:rPr>
    </w:lvl>
  </w:abstractNum>
  <w:abstractNum w:abstractNumId="1">
    <w:nsid w:val="0A5EE56D"/>
    <w:multiLevelType w:val="singleLevel"/>
    <w:tmpl w:val="0A5EE56D"/>
    <w:lvl w:ilvl="0" w:tentative="0">
      <w:start w:val="1"/>
      <w:numFmt w:val="chineseCounting"/>
      <w:suff w:val="nothing"/>
      <w:lvlText w:val="（%1）"/>
      <w:lvlJc w:val="left"/>
      <w:rPr>
        <w:rFonts w:hint="eastAsia"/>
      </w:rPr>
    </w:lvl>
  </w:abstractNum>
  <w:abstractNum w:abstractNumId="2">
    <w:nsid w:val="717CF203"/>
    <w:multiLevelType w:val="singleLevel"/>
    <w:tmpl w:val="717CF203"/>
    <w:lvl w:ilvl="0" w:tentative="0">
      <w:start w:val="1"/>
      <w:numFmt w:val="decimal"/>
      <w:suff w:val="nothing"/>
      <w:lvlText w:val="%1、"/>
      <w:lvlJc w:val="left"/>
      <w:pPr>
        <w:ind w:left="280" w:leftChars="0" w:firstLine="0" w:firstLineChars="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0005D"/>
    <w:rsid w:val="086D5289"/>
    <w:rsid w:val="0D6018B3"/>
    <w:rsid w:val="0EA909E2"/>
    <w:rsid w:val="14F07CE3"/>
    <w:rsid w:val="22BC2DA3"/>
    <w:rsid w:val="317D721E"/>
    <w:rsid w:val="32117053"/>
    <w:rsid w:val="33C54949"/>
    <w:rsid w:val="39CE6E5D"/>
    <w:rsid w:val="3E5C0142"/>
    <w:rsid w:val="493E3FD3"/>
    <w:rsid w:val="49522D33"/>
    <w:rsid w:val="622F6B32"/>
    <w:rsid w:val="69A526F0"/>
    <w:rsid w:val="6ABF5FE2"/>
    <w:rsid w:val="79395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2022-05-09T05:17:02Z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