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rPr>
          <w:rFonts w:ascii="Arial"/>
          <w:sz w:val="21"/>
        </w:rPr>
      </w:pPr>
    </w:p>
    <w:p>
      <w:pPr>
        <w:spacing w:line="341" w:lineRule="auto"/>
        <w:rPr>
          <w:rFonts w:ascii="Arial"/>
          <w:sz w:val="21"/>
        </w:rPr>
      </w:pPr>
    </w:p>
    <w:p>
      <w:pPr>
        <w:spacing w:before="110" w:line="224" w:lineRule="auto"/>
        <w:ind w:firstLine="14"/>
        <w:rPr>
          <w:rFonts w:hint="eastAsia" w:ascii="黑体" w:hAnsi="黑体" w:eastAsia="黑体" w:cs="黑体"/>
          <w:sz w:val="34"/>
          <w:szCs w:val="34"/>
          <w:lang w:val="en-US" w:eastAsia="zh-CN"/>
        </w:rPr>
      </w:pPr>
      <w:r>
        <w:rPr>
          <w:rFonts w:ascii="黑体" w:hAnsi="黑体" w:eastAsia="黑体" w:cs="黑体"/>
          <w:spacing w:val="3"/>
          <w:sz w:val="34"/>
          <w:szCs w:val="34"/>
          <w14:textOutline w14:w="6172" w14:cap="flat" w14:cmpd="sng">
            <w14:solidFill>
              <w14:srgbClr w14:val="000000"/>
            </w14:solidFill>
            <w14:prstDash w14:val="solid"/>
            <w14:miter w14:val="0"/>
          </w14:textOutline>
        </w:rPr>
        <w:t>附件</w:t>
      </w:r>
      <w:r>
        <w:rPr>
          <w:rFonts w:hint="eastAsia" w:ascii="黑体" w:hAnsi="黑体" w:eastAsia="黑体" w:cs="黑体"/>
          <w:spacing w:val="3"/>
          <w:sz w:val="34"/>
          <w:szCs w:val="34"/>
          <w:lang w:val="en-US" w:eastAsia="zh-CN"/>
          <w14:textOutline w14:w="6172" w14:cap="flat" w14:cmpd="sng">
            <w14:solidFill>
              <w14:srgbClr w14:val="000000"/>
            </w14:solidFill>
            <w14:prstDash w14:val="solid"/>
            <w14:miter w14:val="0"/>
          </w14:textOutline>
        </w:rPr>
        <w:t>1</w:t>
      </w:r>
    </w:p>
    <w:p>
      <w:pPr>
        <w:spacing w:line="289" w:lineRule="auto"/>
        <w:jc w:val="center"/>
        <w:rPr>
          <w:rFonts w:ascii="Arial"/>
          <w:sz w:val="21"/>
        </w:rPr>
      </w:pPr>
    </w:p>
    <w:p>
      <w:pPr>
        <w:spacing w:line="290" w:lineRule="auto"/>
        <w:jc w:val="center"/>
        <w:rPr>
          <w:rFonts w:ascii="Arial"/>
          <w:sz w:val="21"/>
        </w:rPr>
      </w:pPr>
    </w:p>
    <w:p>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浮梁县住房和城乡建设局 2022年部门预算</w:t>
      </w:r>
    </w:p>
    <w:p>
      <w:pPr>
        <w:spacing w:before="143" w:line="219" w:lineRule="auto"/>
        <w:ind w:firstLine="1146"/>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pPr>
        <w:spacing w:line="334" w:lineRule="auto"/>
        <w:rPr>
          <w:rFonts w:ascii="Arial"/>
          <w:sz w:val="21"/>
        </w:rPr>
      </w:pPr>
    </w:p>
    <w:p>
      <w:pPr>
        <w:spacing w:line="334" w:lineRule="auto"/>
        <w:rPr>
          <w:rFonts w:hint="eastAsia" w:ascii="Arial" w:eastAsia="宋体"/>
          <w:sz w:val="21"/>
          <w:lang w:eastAsia="zh-CN"/>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目    录</w:t>
      </w:r>
    </w:p>
    <w:p>
      <w:pPr>
        <w:spacing w:line="347" w:lineRule="auto"/>
        <w:rPr>
          <w:rFonts w:ascii="Arial"/>
          <w:sz w:val="21"/>
        </w:rPr>
      </w:pPr>
    </w:p>
    <w:p>
      <w:pPr>
        <w:spacing w:line="347" w:lineRule="auto"/>
        <w:rPr>
          <w:rFonts w:ascii="Arial"/>
          <w:sz w:val="21"/>
        </w:rPr>
      </w:pP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第一部分 浮梁县住房和城乡建设局概况</w:t>
      </w: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2" w:firstLineChars="200"/>
        <w:textAlignment w:val="baseline"/>
        <w:rPr>
          <w:rFonts w:ascii="楷体" w:hAnsi="楷体" w:eastAsia="楷体" w:cs="楷体"/>
          <w:sz w:val="32"/>
          <w:szCs w:val="32"/>
        </w:rPr>
      </w:pPr>
      <w:r>
        <w:rPr>
          <w:rFonts w:ascii="楷体" w:hAnsi="楷体" w:eastAsia="楷体" w:cs="楷体"/>
          <w:spacing w:val="-2"/>
          <w:sz w:val="32"/>
          <w:szCs w:val="32"/>
        </w:rPr>
        <w:t>一、部门主要职责</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浮梁县住房和城乡建设局2022年部门预算表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pacing w:val="1"/>
          <w:sz w:val="32"/>
          <w:szCs w:val="32"/>
        </w:rPr>
      </w:pPr>
      <w:r>
        <w:rPr>
          <w:rFonts w:hint="eastAsia" w:ascii="楷体" w:hAnsi="楷体" w:eastAsia="楷体" w:cs="楷体"/>
          <w:spacing w:val="1"/>
          <w:sz w:val="32"/>
          <w:szCs w:val="32"/>
        </w:rPr>
        <w:t>十一、《重点项目绩效目标表》</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第三部分 浮梁县住房和城乡建设局2022年部门预算情况说明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一、2022年部门预算收支情况说明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二、2022年"三公”经费预算情况说明</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第一部分 浮梁县住房和城乡建设局概况</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一、部门主要职责</w:t>
      </w:r>
    </w:p>
    <w:p>
      <w:pPr>
        <w:spacing w:line="480" w:lineRule="exact"/>
        <w:ind w:firstLine="627" w:firstLineChars="196"/>
        <w:rPr>
          <w:rFonts w:hint="eastAsia" w:ascii="楷体" w:hAnsi="楷体" w:eastAsia="楷体" w:cs="楷体"/>
          <w:b w:val="0"/>
          <w:bCs w:val="0"/>
          <w:sz w:val="32"/>
          <w:szCs w:val="32"/>
        </w:rPr>
      </w:pPr>
      <w:r>
        <w:rPr>
          <w:rFonts w:hint="eastAsia" w:ascii="楷体" w:hAnsi="楷体" w:eastAsia="楷体" w:cs="楷体"/>
          <w:b w:val="0"/>
          <w:bCs w:val="0"/>
          <w:sz w:val="32"/>
          <w:szCs w:val="32"/>
        </w:rPr>
        <w:t>（一）贯彻执行国家</w:t>
      </w:r>
      <w:r>
        <w:rPr>
          <w:rFonts w:hint="eastAsia" w:ascii="楷体" w:hAnsi="楷体" w:eastAsia="楷体" w:cs="楷体"/>
          <w:b w:val="0"/>
          <w:bCs w:val="0"/>
          <w:sz w:val="32"/>
          <w:szCs w:val="32"/>
          <w:lang w:eastAsia="zh-CN"/>
        </w:rPr>
        <w:t>、省、市关于住房和城乡建设的方针上、政策和法律法规以及相关的发展战略</w:t>
      </w:r>
      <w:r>
        <w:rPr>
          <w:rFonts w:hint="eastAsia" w:ascii="楷体" w:hAnsi="楷体" w:eastAsia="楷体" w:cs="楷体"/>
          <w:b w:val="0"/>
          <w:bCs w:val="0"/>
          <w:sz w:val="32"/>
          <w:szCs w:val="32"/>
        </w:rPr>
        <w:t>、中长期规划、改革方案</w:t>
      </w:r>
      <w:r>
        <w:rPr>
          <w:rFonts w:hint="eastAsia" w:ascii="楷体" w:hAnsi="楷体" w:eastAsia="楷体" w:cs="楷体"/>
          <w:b w:val="0"/>
          <w:bCs w:val="0"/>
          <w:sz w:val="32"/>
          <w:szCs w:val="32"/>
          <w:lang w:eastAsia="zh-CN"/>
        </w:rPr>
        <w:t>；研究拟定全县住房和城乡建设的发展规划、计划及相关的政策、管理制度</w:t>
      </w:r>
      <w:r>
        <w:rPr>
          <w:rFonts w:hint="eastAsia" w:ascii="楷体" w:hAnsi="楷体" w:eastAsia="楷体" w:cs="楷体"/>
          <w:b w:val="0"/>
          <w:bCs w:val="0"/>
          <w:sz w:val="32"/>
          <w:szCs w:val="32"/>
        </w:rPr>
        <w:t>并组织实施。</w:t>
      </w:r>
    </w:p>
    <w:p>
      <w:pPr>
        <w:spacing w:line="480" w:lineRule="exact"/>
        <w:ind w:firstLine="627" w:firstLineChars="196"/>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（二</w:t>
      </w:r>
      <w:r>
        <w:rPr>
          <w:rFonts w:hint="eastAsia" w:ascii="楷体" w:hAnsi="楷体" w:eastAsia="楷体" w:cs="楷体"/>
          <w:b w:val="0"/>
          <w:bCs w:val="0"/>
          <w:sz w:val="32"/>
          <w:szCs w:val="32"/>
          <w:lang w:eastAsia="zh-CN"/>
        </w:rPr>
        <w:t>）负责全县房地产业的行业管理。指导房地产开发经营、房屋商品化工作，规范房地产市场。</w:t>
      </w:r>
    </w:p>
    <w:p>
      <w:pPr>
        <w:spacing w:line="480" w:lineRule="exact"/>
        <w:ind w:firstLine="627" w:firstLineChars="196"/>
        <w:rPr>
          <w:rFonts w:hint="eastAsia" w:ascii="楷体" w:hAnsi="楷体" w:eastAsia="楷体" w:cs="楷体"/>
          <w:b w:val="0"/>
          <w:bCs w:val="0"/>
          <w:sz w:val="32"/>
          <w:szCs w:val="32"/>
        </w:rPr>
      </w:pPr>
      <w:r>
        <w:rPr>
          <w:rFonts w:hint="eastAsia" w:ascii="楷体" w:hAnsi="楷体" w:eastAsia="楷体" w:cs="楷体"/>
          <w:b w:val="0"/>
          <w:bCs w:val="0"/>
          <w:sz w:val="32"/>
          <w:szCs w:val="32"/>
        </w:rPr>
        <w:t>（三）综合管理全县建筑活动；规范建筑县场；负责建筑县场准入、工程招标投标、工程监理、工程质量与施工安全工作；拟订施工、建设监理和相关社会中介组织管理的规章并监督实施；管理全县安装、装饰（含室内装饰）行业；负责全县建筑行业的仲裁工作；组织协调建设企业参与国际工程承包和建筑劳务合作；负责城县地下空间的开发利用；负责工业建筑、民用建筑和县政工程的工程造价、工程定额和费用标准的管理。</w:t>
      </w:r>
    </w:p>
    <w:p>
      <w:pPr>
        <w:spacing w:line="480" w:lineRule="exact"/>
        <w:ind w:firstLine="627" w:firstLineChars="196"/>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（四）负责城</w:t>
      </w:r>
      <w:r>
        <w:rPr>
          <w:rFonts w:hint="eastAsia" w:ascii="楷体" w:hAnsi="楷体" w:eastAsia="楷体" w:cs="楷体"/>
          <w:b w:val="0"/>
          <w:bCs w:val="0"/>
          <w:sz w:val="32"/>
          <w:szCs w:val="32"/>
          <w:lang w:eastAsia="zh-CN"/>
        </w:rPr>
        <w:t>乡</w:t>
      </w:r>
      <w:r>
        <w:rPr>
          <w:rFonts w:hint="eastAsia" w:ascii="楷体" w:hAnsi="楷体" w:eastAsia="楷体" w:cs="楷体"/>
          <w:b w:val="0"/>
          <w:bCs w:val="0"/>
          <w:sz w:val="32"/>
          <w:szCs w:val="32"/>
        </w:rPr>
        <w:t>建设和村镇建设工作；研究提出加快全县城镇化进程的发展战略；组织全县村镇规划的编制与实施</w:t>
      </w:r>
      <w:r>
        <w:rPr>
          <w:rFonts w:hint="eastAsia" w:ascii="楷体" w:hAnsi="楷体" w:eastAsia="楷体" w:cs="楷体"/>
          <w:b w:val="0"/>
          <w:bCs w:val="0"/>
          <w:sz w:val="32"/>
          <w:szCs w:val="32"/>
          <w:lang w:eastAsia="zh-CN"/>
        </w:rPr>
        <w:t>。</w:t>
      </w:r>
    </w:p>
    <w:p>
      <w:pPr>
        <w:spacing w:line="480" w:lineRule="exact"/>
        <w:ind w:firstLine="627" w:firstLineChars="196"/>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（五）</w:t>
      </w:r>
      <w:r>
        <w:rPr>
          <w:rFonts w:hint="eastAsia" w:ascii="楷体" w:hAnsi="楷体" w:eastAsia="楷体" w:cs="楷体"/>
          <w:b w:val="0"/>
          <w:bCs w:val="0"/>
          <w:sz w:val="32"/>
          <w:szCs w:val="32"/>
        </w:rPr>
        <w:t>负责</w:t>
      </w:r>
      <w:r>
        <w:rPr>
          <w:rFonts w:hint="eastAsia" w:ascii="楷体" w:hAnsi="楷体" w:eastAsia="楷体" w:cs="楷体"/>
          <w:b w:val="0"/>
          <w:bCs w:val="0"/>
          <w:sz w:val="32"/>
          <w:szCs w:val="32"/>
          <w:lang w:eastAsia="zh-CN"/>
        </w:rPr>
        <w:t>城建</w:t>
      </w:r>
      <w:r>
        <w:rPr>
          <w:rFonts w:hint="eastAsia" w:ascii="楷体" w:hAnsi="楷体" w:eastAsia="楷体" w:cs="楷体"/>
          <w:b w:val="0"/>
          <w:bCs w:val="0"/>
          <w:sz w:val="32"/>
          <w:szCs w:val="32"/>
        </w:rPr>
        <w:t>档案管理工作。</w:t>
      </w:r>
      <w:r>
        <w:rPr>
          <w:rFonts w:hint="eastAsia" w:ascii="楷体" w:hAnsi="楷体" w:eastAsia="楷体" w:cs="楷体"/>
          <w:b w:val="0"/>
          <w:bCs w:val="0"/>
          <w:sz w:val="32"/>
          <w:szCs w:val="32"/>
          <w:lang w:eastAsia="zh-CN"/>
        </w:rPr>
        <w:t>参加工程的竣工验收，对接收范围内的工程竣工档案进行预验收并出具工程档案认可文件，收集、整理、保管、利用城市建设档案和有关资料，为城市规划、建设、管理和经济发展服务。</w:t>
      </w:r>
    </w:p>
    <w:p>
      <w:pPr>
        <w:spacing w:line="480" w:lineRule="exact"/>
        <w:ind w:firstLine="627" w:firstLineChars="196"/>
        <w:rPr>
          <w:rFonts w:hint="eastAsia" w:ascii="楷体" w:hAnsi="楷体" w:eastAsia="楷体" w:cs="楷体"/>
          <w:b w:val="0"/>
          <w:bCs w:val="0"/>
          <w:sz w:val="32"/>
          <w:szCs w:val="32"/>
          <w:lang w:eastAsia="zh-CN"/>
        </w:rPr>
      </w:pPr>
    </w:p>
    <w:p>
      <w:pPr>
        <w:spacing w:line="48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六</w:t>
      </w:r>
      <w:r>
        <w:rPr>
          <w:rFonts w:hint="eastAsia" w:ascii="楷体" w:hAnsi="楷体" w:eastAsia="楷体" w:cs="楷体"/>
          <w:b w:val="0"/>
          <w:bCs w:val="0"/>
          <w:sz w:val="32"/>
          <w:szCs w:val="32"/>
        </w:rPr>
        <w:t>）制定全县建设行业科技发展规划和技术经济政策；组织科研项目攻关和新技术、新产品的引进；制定行业教育发展规划，指导行业教育培训工作；组织行业人才预测、信息交流、职工培训和统计工作；负责建设行业执业资格管理。</w:t>
      </w:r>
    </w:p>
    <w:p>
      <w:pPr>
        <w:spacing w:line="48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七</w:t>
      </w:r>
      <w:r>
        <w:rPr>
          <w:rFonts w:hint="eastAsia" w:ascii="楷体" w:hAnsi="楷体" w:eastAsia="楷体" w:cs="楷体"/>
          <w:b w:val="0"/>
          <w:bCs w:val="0"/>
          <w:sz w:val="32"/>
          <w:szCs w:val="32"/>
        </w:rPr>
        <w:t>）负责局机关和下属单位的人事管理、劳动工资、机构编制管理工作；负责局机关和下属单位的党群工作。</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ind w:firstLine="640" w:firstLineChars="200"/>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八</w:t>
      </w:r>
      <w:r>
        <w:rPr>
          <w:rFonts w:hint="eastAsia" w:ascii="楷体" w:hAnsi="楷体" w:eastAsia="楷体" w:cs="楷体"/>
          <w:b w:val="0"/>
          <w:bCs w:val="0"/>
          <w:sz w:val="32"/>
          <w:szCs w:val="32"/>
        </w:rPr>
        <w:t>）承办县政府交办的其他事项。</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ind w:firstLine="692" w:firstLineChars="200"/>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二、机构设置及人员情况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楷体" w:hAnsi="楷体" w:eastAsia="楷体" w:cs="楷体"/>
          <w:b w:val="0"/>
          <w:bCs w:val="0"/>
          <w:sz w:val="32"/>
          <w:szCs w:val="32"/>
        </w:rPr>
        <w:t>本部门</w:t>
      </w:r>
      <w:r>
        <w:rPr>
          <w:rFonts w:hint="eastAsia" w:ascii="楷体" w:hAnsi="楷体" w:eastAsia="楷体" w:cs="楷体"/>
          <w:b w:val="0"/>
          <w:bCs w:val="0"/>
          <w:sz w:val="32"/>
          <w:szCs w:val="32"/>
          <w:lang w:eastAsia="zh-CN"/>
        </w:rPr>
        <w:t>包含浮梁县住房和城乡建设局本级及浮梁县城镇发展服务中心、浮梁县住房保障中心、浮梁县城建档案馆三个全额拨款事业单位。</w:t>
      </w:r>
      <w:r>
        <w:rPr>
          <w:rFonts w:hint="eastAsia" w:ascii="楷体" w:hAnsi="楷体" w:eastAsia="楷体" w:cs="楷体"/>
          <w:b w:val="0"/>
          <w:bCs w:val="0"/>
          <w:sz w:val="32"/>
          <w:szCs w:val="32"/>
        </w:rPr>
        <w:t>共有编制数为</w:t>
      </w:r>
      <w:r>
        <w:rPr>
          <w:rFonts w:hint="eastAsia" w:ascii="楷体" w:hAnsi="楷体" w:eastAsia="楷体" w:cs="楷体"/>
          <w:b w:val="0"/>
          <w:bCs w:val="0"/>
          <w:sz w:val="32"/>
          <w:szCs w:val="32"/>
          <w:lang w:val="en-US" w:eastAsia="zh-CN"/>
        </w:rPr>
        <w:t>38</w:t>
      </w:r>
      <w:r>
        <w:rPr>
          <w:rFonts w:hint="eastAsia" w:ascii="楷体" w:hAnsi="楷体" w:eastAsia="楷体" w:cs="楷体"/>
          <w:b w:val="0"/>
          <w:bCs w:val="0"/>
          <w:sz w:val="32"/>
          <w:szCs w:val="32"/>
        </w:rPr>
        <w:t>个，其中公务员</w:t>
      </w:r>
      <w:r>
        <w:rPr>
          <w:rFonts w:hint="eastAsia" w:ascii="楷体" w:hAnsi="楷体" w:eastAsia="楷体" w:cs="楷体"/>
          <w:b w:val="0"/>
          <w:bCs w:val="0"/>
          <w:sz w:val="32"/>
          <w:szCs w:val="32"/>
          <w:lang w:val="en-US" w:eastAsia="zh-CN"/>
        </w:rPr>
        <w:t>14</w:t>
      </w:r>
      <w:r>
        <w:rPr>
          <w:rFonts w:hint="eastAsia" w:ascii="楷体" w:hAnsi="楷体" w:eastAsia="楷体" w:cs="楷体"/>
          <w:b w:val="0"/>
          <w:bCs w:val="0"/>
          <w:sz w:val="32"/>
          <w:szCs w:val="32"/>
        </w:rPr>
        <w:t>个，全部补助事业编制</w:t>
      </w:r>
      <w:r>
        <w:rPr>
          <w:rFonts w:hint="eastAsia" w:ascii="楷体" w:hAnsi="楷体" w:eastAsia="楷体" w:cs="楷体"/>
          <w:b w:val="0"/>
          <w:bCs w:val="0"/>
          <w:sz w:val="32"/>
          <w:szCs w:val="32"/>
          <w:lang w:val="en-US" w:eastAsia="zh-CN"/>
        </w:rPr>
        <w:t>24</w:t>
      </w:r>
      <w:r>
        <w:rPr>
          <w:rFonts w:hint="eastAsia" w:ascii="楷体" w:hAnsi="楷体" w:eastAsia="楷体" w:cs="楷体"/>
          <w:b w:val="0"/>
          <w:bCs w:val="0"/>
          <w:sz w:val="32"/>
          <w:szCs w:val="32"/>
        </w:rPr>
        <w:t>个，参照公务员管理事业编制0个。实有人数</w:t>
      </w:r>
      <w:r>
        <w:rPr>
          <w:rFonts w:hint="eastAsia" w:ascii="楷体" w:hAnsi="楷体" w:eastAsia="楷体" w:cs="楷体"/>
          <w:b w:val="0"/>
          <w:bCs w:val="0"/>
          <w:sz w:val="32"/>
          <w:szCs w:val="32"/>
          <w:lang w:val="en-US" w:eastAsia="zh-CN"/>
        </w:rPr>
        <w:t>118</w:t>
      </w:r>
      <w:r>
        <w:rPr>
          <w:rFonts w:hint="eastAsia" w:ascii="楷体" w:hAnsi="楷体" w:eastAsia="楷体" w:cs="楷体"/>
          <w:b w:val="0"/>
          <w:bCs w:val="0"/>
          <w:sz w:val="32"/>
          <w:szCs w:val="32"/>
        </w:rPr>
        <w:t>人，其中在职</w:t>
      </w:r>
      <w:r>
        <w:rPr>
          <w:rFonts w:hint="eastAsia" w:ascii="楷体" w:hAnsi="楷体" w:eastAsia="楷体" w:cs="楷体"/>
          <w:b w:val="0"/>
          <w:bCs w:val="0"/>
          <w:sz w:val="32"/>
          <w:szCs w:val="32"/>
          <w:lang w:val="en-US" w:eastAsia="zh-CN"/>
        </w:rPr>
        <w:t>86</w:t>
      </w:r>
      <w:r>
        <w:rPr>
          <w:rFonts w:hint="eastAsia" w:ascii="楷体" w:hAnsi="楷体" w:eastAsia="楷体" w:cs="楷体"/>
          <w:b w:val="0"/>
          <w:bCs w:val="0"/>
          <w:sz w:val="32"/>
          <w:szCs w:val="32"/>
        </w:rPr>
        <w:t>人，离退休</w:t>
      </w:r>
      <w:r>
        <w:rPr>
          <w:rFonts w:hint="eastAsia" w:ascii="楷体" w:hAnsi="楷体" w:eastAsia="楷体" w:cs="楷体"/>
          <w:b w:val="0"/>
          <w:bCs w:val="0"/>
          <w:sz w:val="32"/>
          <w:szCs w:val="32"/>
          <w:lang w:val="en-US" w:eastAsia="zh-CN"/>
        </w:rPr>
        <w:t>29</w:t>
      </w:r>
      <w:r>
        <w:rPr>
          <w:rFonts w:hint="eastAsia" w:ascii="楷体" w:hAnsi="楷体" w:eastAsia="楷体" w:cs="楷体"/>
          <w:b w:val="0"/>
          <w:bCs w:val="0"/>
          <w:sz w:val="32"/>
          <w:szCs w:val="32"/>
        </w:rPr>
        <w:t>人</w:t>
      </w:r>
      <w:r>
        <w:rPr>
          <w:rFonts w:hint="eastAsia" w:ascii="楷体" w:hAnsi="楷体" w:eastAsia="楷体" w:cs="楷体"/>
          <w:b w:val="0"/>
          <w:bCs w:val="0"/>
          <w:sz w:val="32"/>
          <w:szCs w:val="32"/>
          <w:lang w:eastAsia="zh-CN"/>
        </w:rPr>
        <w:t>，遗属</w:t>
      </w:r>
      <w:r>
        <w:rPr>
          <w:rFonts w:hint="eastAsia" w:ascii="楷体" w:hAnsi="楷体" w:eastAsia="楷体" w:cs="楷体"/>
          <w:b w:val="0"/>
          <w:bCs w:val="0"/>
          <w:sz w:val="32"/>
          <w:szCs w:val="32"/>
          <w:lang w:val="en-US" w:eastAsia="zh-CN"/>
        </w:rPr>
        <w:t>3人</w:t>
      </w:r>
      <w:r>
        <w:rPr>
          <w:rFonts w:hint="eastAsia" w:ascii="楷体" w:hAnsi="楷体" w:eastAsia="楷体" w:cs="楷体"/>
          <w:b w:val="0"/>
          <w:bCs w:val="0"/>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 w:line="240" w:lineRule="auto"/>
        <w:ind w:right="52" w:rightChars="0"/>
        <w:textAlignment w:val="baseline"/>
        <w:rPr>
          <w:rFonts w:ascii="仿宋" w:hAnsi="仿宋" w:eastAsia="仿宋" w:cs="仿宋"/>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浮梁县住房和城乡建设局2022年部门预算表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r>
        <w:rPr>
          <w:rFonts w:ascii="仿宋" w:hAnsi="仿宋" w:eastAsia="仿宋" w:cs="仿宋"/>
          <w:spacing w:val="17"/>
          <w:sz w:val="32"/>
          <w:szCs w:val="32"/>
        </w:rPr>
        <w:t>(详见附表)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第三部分 浮梁县住房和城乡建设局2022年部门预算情况说明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一、2022年部门预算收支情况说明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(一)收入预算情况</w:t>
      </w:r>
    </w:p>
    <w:p>
      <w:pPr>
        <w:spacing w:line="360" w:lineRule="auto"/>
        <w:ind w:firstLine="640" w:firstLineChars="200"/>
        <w:rPr>
          <w:rFonts w:asciiTheme="minorEastAsia" w:hAnsiTheme="minorEastAsia" w:eastAsiaTheme="minorEastAsia"/>
          <w:color w:val="FF0000"/>
          <w:sz w:val="32"/>
          <w:szCs w:val="32"/>
          <w:u w:val="single"/>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年收入预算总额</w:t>
      </w:r>
      <w:r>
        <w:rPr>
          <w:rFonts w:hint="eastAsia" w:asciiTheme="minorEastAsia" w:hAnsiTheme="minorEastAsia" w:eastAsiaTheme="minorEastAsia"/>
          <w:color w:val="FF0000"/>
          <w:sz w:val="32"/>
          <w:szCs w:val="32"/>
          <w:u w:val="single"/>
        </w:rPr>
        <w:t xml:space="preserve"> </w:t>
      </w:r>
      <w:r>
        <w:rPr>
          <w:rFonts w:hint="eastAsia" w:asciiTheme="minorEastAsia" w:hAnsiTheme="minorEastAsia" w:eastAsiaTheme="minorEastAsia"/>
          <w:color w:val="FF0000"/>
          <w:sz w:val="32"/>
          <w:szCs w:val="32"/>
          <w:u w:val="single"/>
          <w:lang w:val="en-US" w:eastAsia="zh-CN"/>
        </w:rPr>
        <w:t>842.53</w:t>
      </w:r>
      <w:r>
        <w:rPr>
          <w:rFonts w:hint="eastAsia" w:asciiTheme="minorEastAsia" w:hAnsiTheme="minorEastAsia" w:eastAsiaTheme="minorEastAsia"/>
          <w:sz w:val="32"/>
          <w:szCs w:val="32"/>
        </w:rPr>
        <w:t>万元，其中公共财政拨款收入</w:t>
      </w:r>
      <w:r>
        <w:rPr>
          <w:rFonts w:hint="eastAsia" w:asciiTheme="minorEastAsia" w:hAnsiTheme="minorEastAsia" w:eastAsiaTheme="minorEastAsia"/>
          <w:color w:val="FF0000"/>
          <w:sz w:val="32"/>
          <w:szCs w:val="32"/>
          <w:u w:val="single"/>
          <w:lang w:val="en-US" w:eastAsia="zh-CN"/>
        </w:rPr>
        <w:t>842.53</w:t>
      </w:r>
      <w:r>
        <w:rPr>
          <w:rFonts w:hint="eastAsia" w:asciiTheme="minorEastAsia" w:hAnsiTheme="minorEastAsia" w:eastAsiaTheme="minorEastAsia"/>
          <w:sz w:val="32"/>
          <w:szCs w:val="32"/>
        </w:rPr>
        <w:t>万元。预算总额比去年</w:t>
      </w:r>
      <w:r>
        <w:rPr>
          <w:rFonts w:hint="eastAsia" w:asciiTheme="minorEastAsia" w:hAnsiTheme="minorEastAsia" w:eastAsiaTheme="minorEastAsia"/>
          <w:color w:val="FF0000"/>
          <w:sz w:val="32"/>
          <w:szCs w:val="32"/>
          <w:u w:val="single"/>
          <w:lang w:eastAsia="zh-CN"/>
        </w:rPr>
        <w:t>减少</w:t>
      </w:r>
      <w:r>
        <w:rPr>
          <w:rFonts w:hint="eastAsia" w:asciiTheme="minorEastAsia" w:hAnsiTheme="minorEastAsia" w:eastAsiaTheme="minorEastAsia"/>
          <w:color w:val="FF0000"/>
          <w:sz w:val="32"/>
          <w:szCs w:val="32"/>
          <w:u w:val="single"/>
          <w:lang w:val="en-US" w:eastAsia="zh-CN"/>
        </w:rPr>
        <w:t>68.3</w:t>
      </w:r>
      <w:r>
        <w:rPr>
          <w:rFonts w:hint="eastAsia" w:asciiTheme="minorEastAsia" w:hAnsiTheme="minorEastAsia" w:eastAsiaTheme="minorEastAsia"/>
          <w:color w:val="FF0000"/>
          <w:sz w:val="32"/>
          <w:szCs w:val="32"/>
          <w:u w:val="single"/>
        </w:rPr>
        <w:t xml:space="preserve"> </w:t>
      </w:r>
      <w:r>
        <w:rPr>
          <w:rFonts w:hint="eastAsia" w:asciiTheme="minorEastAsia" w:hAnsiTheme="minorEastAsia" w:eastAsiaTheme="minorEastAsia"/>
          <w:sz w:val="32"/>
          <w:szCs w:val="32"/>
        </w:rPr>
        <w:t>万元，主要由于</w:t>
      </w:r>
      <w:r>
        <w:rPr>
          <w:rFonts w:hint="eastAsia" w:asciiTheme="minorEastAsia" w:hAnsiTheme="minorEastAsia" w:eastAsiaTheme="minorEastAsia"/>
          <w:color w:val="FF0000"/>
          <w:sz w:val="32"/>
          <w:szCs w:val="32"/>
          <w:u w:val="single"/>
        </w:rPr>
        <w:t xml:space="preserve"> </w:t>
      </w:r>
      <w:r>
        <w:rPr>
          <w:rFonts w:hint="eastAsia" w:asciiTheme="minorEastAsia" w:hAnsiTheme="minorEastAsia" w:eastAsiaTheme="minorEastAsia"/>
          <w:color w:val="FF0000"/>
          <w:sz w:val="32"/>
          <w:szCs w:val="32"/>
          <w:u w:val="single"/>
          <w:lang w:eastAsia="zh-CN"/>
        </w:rPr>
        <w:t>上年结余资金未计入本年预算内。</w:t>
      </w:r>
      <w:r>
        <w:rPr>
          <w:rFonts w:hint="eastAsia" w:asciiTheme="minorEastAsia" w:hAnsiTheme="minorEastAsia" w:eastAsiaTheme="minorEastAsia"/>
          <w:color w:val="FF0000"/>
          <w:sz w:val="32"/>
          <w:szCs w:val="32"/>
          <w:u w:val="single"/>
        </w:rPr>
        <w:t xml:space="preserve">  </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(二)支出预算情况</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年支出预算总额为</w:t>
      </w:r>
      <w:r>
        <w:rPr>
          <w:rFonts w:hint="eastAsia" w:asciiTheme="minorEastAsia" w:hAnsiTheme="minorEastAsia" w:eastAsiaTheme="minorEastAsia"/>
          <w:color w:val="FF0000"/>
          <w:sz w:val="32"/>
          <w:szCs w:val="32"/>
          <w:u w:val="single"/>
          <w:lang w:val="en-US" w:eastAsia="zh-CN"/>
        </w:rPr>
        <w:t>842.53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预算总额</w:t>
      </w:r>
      <w:r>
        <w:rPr>
          <w:rFonts w:hint="eastAsia" w:asciiTheme="minorEastAsia" w:hAnsiTheme="minorEastAsia" w:eastAsiaTheme="minorEastAsia"/>
          <w:sz w:val="32"/>
          <w:szCs w:val="32"/>
        </w:rPr>
        <w:t>比去年</w:t>
      </w:r>
      <w:r>
        <w:rPr>
          <w:rFonts w:hint="eastAsia" w:asciiTheme="minorEastAsia" w:hAnsiTheme="minorEastAsia" w:eastAsiaTheme="minorEastAsia"/>
          <w:color w:val="FF0000"/>
          <w:sz w:val="32"/>
          <w:szCs w:val="32"/>
          <w:u w:val="single"/>
          <w:lang w:eastAsia="zh-CN"/>
        </w:rPr>
        <w:t>减少</w:t>
      </w:r>
      <w:r>
        <w:rPr>
          <w:rFonts w:hint="eastAsia" w:asciiTheme="minorEastAsia" w:hAnsiTheme="minorEastAsia" w:eastAsiaTheme="minorEastAsia"/>
          <w:color w:val="FF0000"/>
          <w:sz w:val="32"/>
          <w:szCs w:val="32"/>
          <w:u w:val="single"/>
          <w:lang w:val="en-US" w:eastAsia="zh-CN"/>
        </w:rPr>
        <w:t>68.3</w:t>
      </w:r>
      <w:r>
        <w:rPr>
          <w:rFonts w:hint="eastAsia" w:asciiTheme="minorEastAsia" w:hAnsiTheme="minorEastAsia" w:eastAsiaTheme="minorEastAsia"/>
          <w:sz w:val="32"/>
          <w:szCs w:val="32"/>
        </w:rPr>
        <w:t>万元，主要由于</w:t>
      </w:r>
      <w:r>
        <w:rPr>
          <w:rFonts w:hint="eastAsia" w:asciiTheme="minorEastAsia" w:hAnsiTheme="minorEastAsia" w:eastAsiaTheme="minorEastAsia"/>
          <w:color w:val="FF0000"/>
          <w:sz w:val="32"/>
          <w:szCs w:val="32"/>
          <w:u w:val="single"/>
          <w:lang w:eastAsia="zh-CN"/>
        </w:rPr>
        <w:t>按照财政部门核定控制数填列。</w:t>
      </w:r>
      <w:r>
        <w:rPr>
          <w:rFonts w:hint="eastAsia" w:asciiTheme="minorEastAsia" w:hAnsiTheme="minorEastAsia" w:eastAsiaTheme="minorEastAsia"/>
          <w:color w:val="FF0000"/>
          <w:sz w:val="32"/>
          <w:szCs w:val="32"/>
          <w:u w:val="single"/>
        </w:rPr>
        <w:t xml:space="preserve"> </w:t>
      </w:r>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按支出项目类别划分：基本支出</w:t>
      </w:r>
      <w:r>
        <w:rPr>
          <w:rFonts w:hint="eastAsia" w:asciiTheme="minorEastAsia" w:hAnsiTheme="minorEastAsia" w:eastAsiaTheme="minorEastAsia"/>
          <w:color w:val="FF0000"/>
          <w:sz w:val="32"/>
          <w:szCs w:val="32"/>
          <w:u w:val="single"/>
          <w:lang w:val="en-US" w:eastAsia="zh-CN"/>
        </w:rPr>
        <w:t>842.53</w:t>
      </w:r>
      <w:r>
        <w:rPr>
          <w:rFonts w:hint="eastAsia" w:asciiTheme="minorEastAsia" w:hAnsiTheme="minorEastAsia" w:eastAsiaTheme="minorEastAsia"/>
          <w:sz w:val="32"/>
          <w:szCs w:val="32"/>
        </w:rPr>
        <w:t>万元。</w:t>
      </w:r>
    </w:p>
    <w:p>
      <w:pPr>
        <w:spacing w:line="360" w:lineRule="auto"/>
        <w:ind w:firstLine="600" w:firstLineChars="200"/>
        <w:rPr>
          <w:rFonts w:hint="eastAsia" w:asciiTheme="minorEastAsia" w:hAnsiTheme="minorEastAsia" w:eastAsiaTheme="minorEastAsia"/>
          <w:sz w:val="32"/>
          <w:szCs w:val="32"/>
        </w:rPr>
      </w:pPr>
      <w:r>
        <w:rPr>
          <w:rFonts w:hint="eastAsia" w:asciiTheme="minorEastAsia" w:hAnsiTheme="minorEastAsia" w:eastAsiaTheme="minorEastAsia" w:cstheme="minorEastAsia"/>
          <w:b w:val="0"/>
          <w:bCs w:val="0"/>
          <w:color w:val="auto"/>
          <w:sz w:val="30"/>
          <w:szCs w:val="30"/>
          <w:u w:val="none"/>
        </w:rPr>
        <w:t>按支出功能科目分类：</w:t>
      </w:r>
      <w:r>
        <w:rPr>
          <w:rFonts w:hint="eastAsia" w:asciiTheme="minorEastAsia" w:hAnsiTheme="minorEastAsia" w:eastAsiaTheme="minorEastAsia" w:cstheme="minorEastAsia"/>
          <w:b w:val="0"/>
          <w:bCs w:val="0"/>
          <w:color w:val="auto"/>
          <w:sz w:val="30"/>
          <w:szCs w:val="30"/>
          <w:u w:val="none"/>
          <w:lang w:eastAsia="zh-CN"/>
        </w:rPr>
        <w:t>机关事业单位基本养老保险缴费支出</w:t>
      </w:r>
      <w:r>
        <w:rPr>
          <w:rFonts w:hint="eastAsia" w:asciiTheme="minorEastAsia" w:hAnsiTheme="minorEastAsia" w:eastAsiaTheme="minorEastAsia" w:cstheme="minorEastAsia"/>
          <w:b w:val="0"/>
          <w:bCs w:val="0"/>
          <w:color w:val="auto"/>
          <w:sz w:val="30"/>
          <w:szCs w:val="30"/>
          <w:u w:val="none"/>
          <w:lang w:val="en-US" w:eastAsia="zh-CN"/>
        </w:rPr>
        <w:t>58.66万元，行政单位医疗支出19.58万元，行政运行支出754.01万元，</w:t>
      </w:r>
      <w:r>
        <w:rPr>
          <w:rFonts w:hint="eastAsia" w:asciiTheme="minorEastAsia" w:hAnsiTheme="minorEastAsia" w:eastAsiaTheme="minorEastAsia" w:cstheme="minorEastAsia"/>
          <w:b w:val="0"/>
          <w:bCs w:val="0"/>
          <w:color w:val="auto"/>
          <w:sz w:val="30"/>
          <w:szCs w:val="30"/>
          <w:u w:val="none"/>
          <w:lang w:eastAsia="zh-CN"/>
        </w:rPr>
        <w:t>其他城乡社区管理事务支出</w:t>
      </w:r>
      <w:r>
        <w:rPr>
          <w:rFonts w:hint="eastAsia" w:asciiTheme="minorEastAsia" w:hAnsiTheme="minorEastAsia" w:eastAsiaTheme="minorEastAsia" w:cstheme="minorEastAsia"/>
          <w:b w:val="0"/>
          <w:bCs w:val="0"/>
          <w:color w:val="auto"/>
          <w:sz w:val="30"/>
          <w:szCs w:val="30"/>
          <w:u w:val="none"/>
          <w:lang w:val="en-US" w:eastAsia="zh-CN"/>
        </w:rPr>
        <w:t>10.29</w:t>
      </w:r>
      <w:r>
        <w:rPr>
          <w:rFonts w:hint="eastAsia" w:asciiTheme="minorEastAsia" w:hAnsiTheme="minorEastAsia" w:eastAsiaTheme="minorEastAsia" w:cstheme="minorEastAsia"/>
          <w:b w:val="0"/>
          <w:bCs w:val="0"/>
          <w:color w:val="auto"/>
          <w:sz w:val="30"/>
          <w:szCs w:val="30"/>
          <w:u w:val="none"/>
        </w:rPr>
        <w:t>万元。</w:t>
      </w:r>
    </w:p>
    <w:p>
      <w:pPr>
        <w:spacing w:line="360" w:lineRule="auto"/>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sz w:val="32"/>
          <w:szCs w:val="32"/>
        </w:rPr>
        <w:t>按经济功能科目分类：</w:t>
      </w:r>
      <w:r>
        <w:rPr>
          <w:rFonts w:hint="eastAsia" w:asciiTheme="minorEastAsia" w:hAnsiTheme="minorEastAsia" w:eastAsiaTheme="minorEastAsia"/>
          <w:color w:val="000000" w:themeColor="text1"/>
          <w:sz w:val="32"/>
          <w:szCs w:val="32"/>
          <w14:textFill>
            <w14:solidFill>
              <w14:schemeClr w14:val="tx1"/>
            </w14:solidFill>
          </w14:textFill>
        </w:rPr>
        <w:t>工资福利支出</w:t>
      </w:r>
      <w:r>
        <w:rPr>
          <w:rFonts w:hint="eastAsia" w:asciiTheme="minorEastAsia" w:hAnsiTheme="minorEastAsia" w:eastAsiaTheme="minorEastAsia"/>
          <w:color w:val="FF0000"/>
          <w:sz w:val="32"/>
          <w:szCs w:val="32"/>
          <w:lang w:val="en-US" w:eastAsia="zh-CN"/>
        </w:rPr>
        <w:t>746.93</w:t>
      </w:r>
      <w:r>
        <w:rPr>
          <w:rFonts w:hint="eastAsia" w:asciiTheme="minorEastAsia" w:hAnsiTheme="minorEastAsia" w:eastAsiaTheme="minorEastAsia"/>
          <w:color w:val="000000" w:themeColor="text1"/>
          <w:sz w:val="32"/>
          <w:szCs w:val="32"/>
          <w14:textFill>
            <w14:solidFill>
              <w14:schemeClr w14:val="tx1"/>
            </w14:solidFill>
          </w14:textFill>
        </w:rPr>
        <w:t>万元，商品服务支出</w:t>
      </w:r>
      <w:r>
        <w:rPr>
          <w:rFonts w:hint="eastAsia" w:asciiTheme="minorEastAsia" w:hAnsiTheme="minorEastAsia" w:eastAsiaTheme="minorEastAsia"/>
          <w:color w:val="FF0000"/>
          <w:sz w:val="32"/>
          <w:szCs w:val="32"/>
          <w:lang w:val="en-US" w:eastAsia="zh-CN"/>
        </w:rPr>
        <w:t>89.57</w:t>
      </w:r>
      <w:r>
        <w:rPr>
          <w:rFonts w:hint="eastAsia" w:asciiTheme="minorEastAsia" w:hAnsiTheme="minorEastAsia" w:eastAsiaTheme="minorEastAsia"/>
          <w:color w:val="000000" w:themeColor="text1"/>
          <w:sz w:val="32"/>
          <w:szCs w:val="32"/>
          <w14:textFill>
            <w14:solidFill>
              <w14:schemeClr w14:val="tx1"/>
            </w14:solidFill>
          </w14:textFill>
        </w:rPr>
        <w:t>万元，对个人和家庭补助支出</w:t>
      </w:r>
      <w:r>
        <w:rPr>
          <w:rFonts w:hint="eastAsia" w:asciiTheme="minorEastAsia" w:hAnsiTheme="minorEastAsia" w:eastAsiaTheme="minorEastAsia"/>
          <w:color w:val="FF0000"/>
          <w:sz w:val="32"/>
          <w:szCs w:val="32"/>
          <w:lang w:val="en-US" w:eastAsia="zh-CN"/>
        </w:rPr>
        <w:t>3.03</w:t>
      </w:r>
      <w:r>
        <w:rPr>
          <w:rFonts w:hint="eastAsia" w:asciiTheme="minorEastAsia" w:hAnsiTheme="minorEastAsia" w:eastAsiaTheme="minorEastAsia"/>
          <w:color w:val="000000" w:themeColor="text1"/>
          <w:sz w:val="32"/>
          <w:szCs w:val="32"/>
          <w14:textFill>
            <w14:solidFill>
              <w14:schemeClr w14:val="tx1"/>
            </w14:solidFill>
          </w14:textFill>
        </w:rPr>
        <w:t>万</w:t>
      </w:r>
      <w:r>
        <w:rPr>
          <w:rFonts w:hint="eastAsia" w:asciiTheme="minorEastAsia" w:hAnsiTheme="minorEastAsia" w:eastAsiaTheme="minorEastAsia"/>
          <w:color w:val="000000" w:themeColor="text1"/>
          <w:sz w:val="32"/>
          <w:szCs w:val="32"/>
          <w:lang w:eastAsia="zh-CN"/>
          <w14:textFill>
            <w14:solidFill>
              <w14:schemeClr w14:val="tx1"/>
            </w14:solidFill>
          </w14:textFill>
        </w:rPr>
        <w:t>元，资本</w:t>
      </w:r>
      <w:r>
        <w:rPr>
          <w:rFonts w:hint="eastAsia" w:asciiTheme="minorEastAsia" w:hAnsiTheme="minorEastAsia" w:eastAsiaTheme="minorEastAsia"/>
          <w:color w:val="000000" w:themeColor="text1"/>
          <w:sz w:val="32"/>
          <w:szCs w:val="32"/>
          <w14:textFill>
            <w14:solidFill>
              <w14:schemeClr w14:val="tx1"/>
            </w14:solidFill>
          </w14:textFill>
        </w:rPr>
        <w:t>支出</w:t>
      </w:r>
      <w:r>
        <w:rPr>
          <w:rFonts w:hint="eastAsia" w:asciiTheme="minorEastAsia" w:hAnsiTheme="minorEastAsia" w:eastAsiaTheme="minorEastAsia"/>
          <w:color w:val="FF0000"/>
          <w:sz w:val="32"/>
          <w:szCs w:val="32"/>
          <w:lang w:val="en-US" w:eastAsia="zh-CN"/>
        </w:rPr>
        <w:t>3</w:t>
      </w:r>
      <w:r>
        <w:rPr>
          <w:rFonts w:hint="eastAsia" w:asciiTheme="minorEastAsia" w:hAnsiTheme="minorEastAsia" w:eastAsiaTheme="minorEastAsia"/>
          <w:color w:val="000000" w:themeColor="text1"/>
          <w:sz w:val="32"/>
          <w:szCs w:val="32"/>
          <w14:textFill>
            <w14:solidFill>
              <w14:schemeClr w14:val="tx1"/>
            </w14:solidFill>
          </w14:textFill>
        </w:rPr>
        <w:t>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(三)财政拨款支出情况</w:t>
      </w:r>
    </w:p>
    <w:p>
      <w:pPr>
        <w:spacing w:line="360" w:lineRule="auto"/>
        <w:ind w:firstLine="640" w:firstLineChars="200"/>
        <w:rPr>
          <w:rFonts w:hint="eastAsia" w:ascii="仿宋_GB2312" w:hAnsi="Times New Roman" w:eastAsia="仿宋_GB2312" w:cs="Times New Roman"/>
          <w:snapToGrid/>
          <w:kern w:val="2"/>
          <w:sz w:val="32"/>
          <w:szCs w:val="32"/>
          <w:lang w:val="en-US" w:eastAsia="zh-CN" w:bidi="ar-SA"/>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财政拨款</w:t>
      </w:r>
      <w:r>
        <w:rPr>
          <w:rFonts w:hint="eastAsia" w:asciiTheme="minorEastAsia" w:hAnsiTheme="minorEastAsia" w:eastAsiaTheme="minorEastAsia"/>
          <w:sz w:val="32"/>
          <w:szCs w:val="32"/>
        </w:rPr>
        <w:t>支出预算总额为</w:t>
      </w:r>
      <w:r>
        <w:rPr>
          <w:rFonts w:hint="eastAsia" w:asciiTheme="minorEastAsia" w:hAnsiTheme="minorEastAsia" w:eastAsiaTheme="minorEastAsia"/>
          <w:color w:val="FF0000"/>
          <w:sz w:val="32"/>
          <w:szCs w:val="32"/>
          <w:u w:val="single"/>
          <w:lang w:val="en-US" w:eastAsia="zh-CN"/>
        </w:rPr>
        <w:t>842.53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预算总额</w:t>
      </w:r>
      <w:r>
        <w:rPr>
          <w:rFonts w:hint="eastAsia" w:asciiTheme="minorEastAsia" w:hAnsiTheme="minorEastAsia" w:eastAsiaTheme="minorEastAsia"/>
          <w:sz w:val="32"/>
          <w:szCs w:val="32"/>
        </w:rPr>
        <w:t>比去年</w:t>
      </w:r>
      <w:r>
        <w:rPr>
          <w:rFonts w:hint="eastAsia" w:asciiTheme="minorEastAsia" w:hAnsiTheme="minorEastAsia" w:eastAsiaTheme="minorEastAsia"/>
          <w:color w:val="FF0000"/>
          <w:sz w:val="32"/>
          <w:szCs w:val="32"/>
          <w:u w:val="single"/>
          <w:lang w:eastAsia="zh-CN"/>
        </w:rPr>
        <w:t>减少</w:t>
      </w:r>
      <w:r>
        <w:rPr>
          <w:rFonts w:hint="eastAsia" w:asciiTheme="minorEastAsia" w:hAnsiTheme="minorEastAsia" w:eastAsiaTheme="minorEastAsia"/>
          <w:color w:val="FF0000"/>
          <w:sz w:val="32"/>
          <w:szCs w:val="32"/>
          <w:u w:val="single"/>
          <w:lang w:val="en-US" w:eastAsia="zh-CN"/>
        </w:rPr>
        <w:t>68.3</w:t>
      </w:r>
      <w:r>
        <w:rPr>
          <w:rFonts w:hint="eastAsia" w:asciiTheme="minorEastAsia" w:hAnsiTheme="minorEastAsia" w:eastAsiaTheme="minorEastAsia"/>
          <w:sz w:val="32"/>
          <w:szCs w:val="32"/>
        </w:rPr>
        <w:t>万元，主要由于</w:t>
      </w:r>
      <w:r>
        <w:rPr>
          <w:rFonts w:hint="eastAsia" w:asciiTheme="minorEastAsia" w:hAnsiTheme="minorEastAsia" w:eastAsiaTheme="minorEastAsia"/>
          <w:color w:val="FF0000"/>
          <w:sz w:val="32"/>
          <w:szCs w:val="32"/>
          <w:u w:val="single"/>
          <w:lang w:eastAsia="zh-CN"/>
        </w:rPr>
        <w:t>按照财政部门核定控制数填列。</w:t>
      </w:r>
      <w:r>
        <w:rPr>
          <w:rFonts w:hint="eastAsia" w:asciiTheme="minorEastAsia" w:hAnsiTheme="minorEastAsia" w:eastAsiaTheme="minorEastAsia"/>
          <w:color w:val="FF0000"/>
          <w:sz w:val="32"/>
          <w:szCs w:val="32"/>
          <w:u w:val="single"/>
        </w:rPr>
        <w:t xml:space="preserve"> </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(四)政府性基金情况</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2022年没有使用政府性基金预算拨款安排的支出。</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(五)国有资本经营情况</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2022年没有使用国有资本经营预算拨款安排的支出。</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(六)机关运行经费等重要事项的说明</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2022年部门机关运行费预算 92.57 万元，比2021年预算减少5.33万元，下降 5 %。</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按照财政部《地方预决算公开操作规程》明确的口径，机关运行费指各部门的公用经费，包括办</w:t>
      </w:r>
      <w:bookmarkStart w:id="0" w:name="_GoBack"/>
      <w:bookmarkEnd w:id="0"/>
      <w:r>
        <w:rPr>
          <w:rFonts w:hint="eastAsia" w:ascii="宋体" w:hAnsi="宋体" w:eastAsia="宋体" w:cs="宋体"/>
          <w:snapToGrid/>
          <w:kern w:val="2"/>
          <w:sz w:val="32"/>
          <w:szCs w:val="32"/>
          <w:lang w:val="en-US" w:eastAsia="zh-CN" w:bidi="ar-SA"/>
        </w:rPr>
        <w:t>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(七)政府采购情况</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2022年部门所属各单位政府采购总额3万元，其中:政府采购货物预算3万元。</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(八)国有资产占有使用情况</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截至2021年12月31日，部门共有车辆2辆，其中，专业车辆2辆。</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2022年部门预算安排购置车辆0辆。</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宋体" w:hAnsi="宋体" w:eastAsia="宋体" w:cs="宋体"/>
          <w:spacing w:val="13"/>
          <w:sz w:val="32"/>
          <w:szCs w:val="32"/>
        </w:rPr>
      </w:pPr>
      <w:r>
        <w:rPr>
          <w:rFonts w:hint="eastAsia" w:ascii="宋体" w:hAnsi="宋体" w:eastAsia="宋体" w:cs="宋体"/>
          <w:spacing w:val="13"/>
          <w:sz w:val="32"/>
          <w:szCs w:val="32"/>
        </w:rPr>
        <w:t>二、2022年"三公”经费预算情况说明</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2022年住房和城乡建设局"三公"经费一般公共预算安排万元。其中:</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因公出国(境)费0万元，比上年增(减)0万元，主要原因是无此项预算安排。</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公务接待费30万元，比上年增(减)10万元，主要原因</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是:机构合并后部门职能增加，来人来访数量也相应增加导致公务接待费用增加。</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公务用车运行维护费2.59万元，比上年增(减)2.59万元，</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主要原因是:根据上年实际支出列入本年预算。</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公务用车购置费0万元，比上年增(减)0万元，主要原因是:无此项预算安排。</w:t>
      </w:r>
    </w:p>
    <w:p>
      <w:pPr>
        <w:keepNext w:val="0"/>
        <w:keepLines w:val="0"/>
        <w:pageBreakBefore w:val="0"/>
        <w:widowControl/>
        <w:kinsoku w:val="0"/>
        <w:wordWrap/>
        <w:overflowPunct/>
        <w:topLinePunct w:val="0"/>
        <w:autoSpaceDE w:val="0"/>
        <w:autoSpaceDN w:val="0"/>
        <w:bidi w:val="0"/>
        <w:adjustRightInd w:val="0"/>
        <w:snapToGrid w:val="0"/>
        <w:spacing w:before="173" w:line="240" w:lineRule="auto"/>
        <w:ind w:right="49" w:firstLine="599"/>
        <w:textAlignment w:val="baseline"/>
        <w:rPr>
          <w:rFonts w:hint="eastAsia" w:ascii="宋体" w:hAnsi="宋体" w:eastAsia="宋体" w:cs="宋体"/>
          <w:spacing w:val="-15"/>
          <w:w w:val="94"/>
          <w:sz w:val="32"/>
          <w:szCs w:val="32"/>
        </w:rPr>
      </w:pPr>
    </w:p>
    <w:p>
      <w:pPr>
        <w:widowControl w:val="0"/>
        <w:kinsoku/>
        <w:autoSpaceDE/>
        <w:autoSpaceDN/>
        <w:adjustRightInd/>
        <w:snapToGrid/>
        <w:spacing w:line="240" w:lineRule="auto"/>
        <w:jc w:val="center"/>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宋体" w:hAnsi="宋体" w:eastAsia="宋体" w:cs="宋体"/>
          <w:spacing w:val="13"/>
          <w:sz w:val="32"/>
          <w:szCs w:val="32"/>
        </w:rPr>
      </w:pPr>
      <w:r>
        <w:rPr>
          <w:rFonts w:hint="eastAsia" w:ascii="宋体" w:hAnsi="宋体" w:eastAsia="宋体" w:cs="宋体"/>
          <w:spacing w:val="13"/>
          <w:sz w:val="32"/>
          <w:szCs w:val="32"/>
        </w:rPr>
        <w:t>一</w:t>
      </w:r>
      <w:r>
        <w:rPr>
          <w:rFonts w:hint="eastAsia" w:ascii="宋体" w:hAnsi="宋体" w:eastAsia="宋体" w:cs="宋体"/>
          <w:b w:val="0"/>
          <w:bCs w:val="0"/>
          <w:spacing w:val="13"/>
          <w:sz w:val="32"/>
          <w:szCs w:val="32"/>
        </w:rPr>
        <w:t>、收入科</w:t>
      </w:r>
      <w:r>
        <w:rPr>
          <w:rFonts w:hint="eastAsia" w:ascii="宋体" w:hAnsi="宋体" w:eastAsia="宋体" w:cs="宋体"/>
          <w:spacing w:val="13"/>
          <w:sz w:val="32"/>
          <w:szCs w:val="32"/>
        </w:rPr>
        <w:t>目</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各部门结合实际进行解释。</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(一)财政拨款:指省级财政当年拨付的资金。</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(三)事业收入:指事业单位开展专业业务活动及辅助活动取得的收入。</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(四)事业单位经营收入:指事业单位在专业业务活动及辅助活动之外开展非独立核算经营活动取得的收入。</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(六)上级补助收入:反映事业单位从主管部门和上级单位取得的非财政补助收入。</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(七)其他收入:指除财政拨款、事业收入、事业单位经营收入等以外的各项收入。</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(八)使用非财政拨款结余:填列历年滚存的非限定用途的非统计财政拨款结余弥补2022年收支差额的数额。</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(九)上年结转和结余:填列2021年全部结转和结余的资金数，包括当年结转结余资金和历年滚存结转结余资金。</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宋体" w:hAnsi="宋体" w:eastAsia="宋体" w:cs="宋体"/>
          <w:spacing w:val="13"/>
          <w:sz w:val="32"/>
          <w:szCs w:val="32"/>
        </w:rPr>
      </w:pPr>
      <w:r>
        <w:rPr>
          <w:rFonts w:hint="eastAsia" w:ascii="宋体" w:hAnsi="宋体" w:eastAsia="宋体" w:cs="宋体"/>
          <w:spacing w:val="13"/>
          <w:sz w:val="32"/>
          <w:szCs w:val="32"/>
          <w:lang w:eastAsia="zh-CN"/>
        </w:rPr>
        <w:t>二、</w:t>
      </w:r>
      <w:r>
        <w:rPr>
          <w:rFonts w:hint="eastAsia" w:ascii="宋体" w:hAnsi="宋体" w:eastAsia="宋体" w:cs="宋体"/>
          <w:spacing w:val="13"/>
          <w:sz w:val="32"/>
          <w:szCs w:val="32"/>
        </w:rPr>
        <w:t>支出科目</w:t>
      </w:r>
    </w:p>
    <w:p>
      <w:pPr>
        <w:widowControl w:val="0"/>
        <w:kinsoku/>
        <w:autoSpaceDE/>
        <w:autoSpaceDN/>
        <w:adjustRightInd/>
        <w:snapToGrid/>
        <w:spacing w:line="240" w:lineRule="auto"/>
        <w:ind w:firstLine="640" w:firstLineChars="200"/>
        <w:jc w:val="both"/>
        <w:textAlignment w:val="auto"/>
        <w:rPr>
          <w:rFonts w:hint="eastAsia" w:ascii="宋体" w:hAnsi="宋体" w:eastAsia="宋体" w:cs="宋体"/>
          <w:snapToGrid/>
          <w:kern w:val="2"/>
          <w:sz w:val="32"/>
          <w:szCs w:val="32"/>
          <w:lang w:val="en-US" w:eastAsia="zh-CN" w:bidi="ar-SA"/>
        </w:rPr>
      </w:pPr>
      <w:r>
        <w:rPr>
          <w:rFonts w:hint="eastAsia" w:ascii="宋体" w:hAnsi="宋体" w:eastAsia="宋体" w:cs="宋体"/>
          <w:snapToGrid/>
          <w:kern w:val="2"/>
          <w:sz w:val="32"/>
          <w:szCs w:val="32"/>
          <w:lang w:val="en-US" w:eastAsia="zh-CN" w:bidi="ar-SA"/>
        </w:rPr>
        <w:t>对部门预算中涉及的支出功能分类科目(明细到项级)，结合部门实际，参照《2022年政府收支分类科目》的规范说明进行解释。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宋体" w:hAnsi="宋体" w:eastAsia="宋体" w:cs="宋体"/>
          <w:b w:val="0"/>
          <w:bCs w:val="0"/>
          <w:spacing w:val="13"/>
          <w:sz w:val="32"/>
          <w:szCs w:val="32"/>
        </w:rPr>
      </w:pPr>
      <w:r>
        <w:rPr>
          <w:rFonts w:hint="eastAsia" w:ascii="宋体" w:hAnsi="宋体" w:eastAsia="宋体" w:cs="宋体"/>
          <w:b w:val="0"/>
          <w:bCs w:val="0"/>
          <w:spacing w:val="13"/>
          <w:sz w:val="32"/>
          <w:szCs w:val="32"/>
        </w:rPr>
        <w:t>三、部门涉及的专业名词</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宋体" w:hAnsi="宋体" w:eastAsia="宋体" w:cs="宋体"/>
          <w:snapToGrid/>
          <w:kern w:val="2"/>
          <w:sz w:val="32"/>
          <w:szCs w:val="32"/>
          <w:lang w:val="en-US" w:eastAsia="zh-CN" w:bidi="ar-SA"/>
        </w:rPr>
        <w:t>由部门结合实际填写。</w:t>
      </w:r>
    </w:p>
    <w:sectPr>
      <w:pgSz w:w="11900" w:h="16820"/>
      <w:pgMar w:top="1429" w:right="1647" w:bottom="1319" w:left="1539" w:header="0" w:footer="10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6021ED4"/>
    <w:rsid w:val="06E32D2F"/>
    <w:rsid w:val="0C44594F"/>
    <w:rsid w:val="0EAC50D3"/>
    <w:rsid w:val="151C7F2D"/>
    <w:rsid w:val="180A0D7A"/>
    <w:rsid w:val="1B5C2901"/>
    <w:rsid w:val="28B74E8B"/>
    <w:rsid w:val="2DA74F8B"/>
    <w:rsid w:val="325D7BAC"/>
    <w:rsid w:val="36FE1544"/>
    <w:rsid w:val="37AD49B3"/>
    <w:rsid w:val="43143C17"/>
    <w:rsid w:val="474E6296"/>
    <w:rsid w:val="476D2917"/>
    <w:rsid w:val="5092302E"/>
    <w:rsid w:val="535A3AA7"/>
    <w:rsid w:val="559419D2"/>
    <w:rsid w:val="5AF95F79"/>
    <w:rsid w:val="5CEE1DB8"/>
    <w:rsid w:val="5FE93BAA"/>
    <w:rsid w:val="60261D8F"/>
    <w:rsid w:val="632A0AAF"/>
    <w:rsid w:val="66EE1556"/>
    <w:rsid w:val="6A161E4A"/>
    <w:rsid w:val="6C0006DE"/>
    <w:rsid w:val="79776C40"/>
    <w:rsid w:val="7D067899"/>
    <w:rsid w:val="7D1608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心远地偏</cp:lastModifiedBy>
  <dcterms:modified xsi:type="dcterms:W3CDTF">2022-03-08T01:34:03Z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2052-11.1.0.11365</vt:lpwstr>
  </property>
  <property fmtid="{D5CDD505-2E9C-101B-9397-08002B2CF9AE}" pid="5" name="ICV">
    <vt:lpwstr>DCD23F7929B748DF8211AEDE5EB1EE15</vt:lpwstr>
  </property>
</Properties>
</file>