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1" w:lineRule="auto"/>
        <w:rPr>
          <w:rFonts w:ascii="Arial"/>
          <w:sz w:val="21"/>
        </w:rPr>
      </w:pPr>
    </w:p>
    <w:p>
      <w:pPr>
        <w:spacing w:line="341" w:lineRule="auto"/>
        <w:rPr>
          <w:rFonts w:ascii="Arial"/>
          <w:sz w:val="21"/>
        </w:rPr>
      </w:pPr>
    </w:p>
    <w:p>
      <w:pPr>
        <w:spacing w:before="110" w:line="224" w:lineRule="auto"/>
        <w:ind w:firstLine="14"/>
        <w:rPr>
          <w:rFonts w:hint="eastAsia" w:ascii="黑体" w:hAnsi="黑体" w:eastAsia="黑体" w:cs="黑体"/>
          <w:sz w:val="34"/>
          <w:szCs w:val="34"/>
          <w:lang w:val="en-US" w:eastAsia="zh-CN"/>
        </w:rPr>
      </w:pPr>
      <w:r>
        <w:rPr>
          <w:rFonts w:ascii="黑体" w:hAnsi="黑体" w:eastAsia="黑体" w:cs="黑体"/>
          <w:spacing w:val="3"/>
          <w:sz w:val="34"/>
          <w:szCs w:val="34"/>
          <w14:textOutline w14:w="6172" w14:cap="flat" w14:cmpd="sng">
            <w14:solidFill>
              <w14:srgbClr w14:val="000000"/>
            </w14:solidFill>
            <w14:prstDash w14:val="solid"/>
            <w14:miter w14:val="0"/>
          </w14:textOutline>
        </w:rPr>
        <w:t>附件</w:t>
      </w:r>
      <w:r>
        <w:rPr>
          <w:rFonts w:hint="eastAsia" w:ascii="黑体" w:hAnsi="黑体" w:eastAsia="黑体" w:cs="黑体"/>
          <w:spacing w:val="3"/>
          <w:sz w:val="34"/>
          <w:szCs w:val="34"/>
          <w:lang w:val="en-US" w:eastAsia="zh-CN"/>
          <w14:textOutline w14:w="6172" w14:cap="flat" w14:cmpd="sng">
            <w14:solidFill>
              <w14:srgbClr w14:val="000000"/>
            </w14:solidFill>
            <w14:prstDash w14:val="solid"/>
            <w14:miter w14:val="0"/>
          </w14:textOutline>
        </w:rPr>
        <w:t>1</w:t>
      </w:r>
    </w:p>
    <w:p>
      <w:pPr>
        <w:spacing w:line="289" w:lineRule="auto"/>
        <w:jc w:val="center"/>
        <w:rPr>
          <w:rFonts w:ascii="Arial"/>
          <w:sz w:val="21"/>
        </w:rPr>
      </w:pPr>
    </w:p>
    <w:p>
      <w:pPr>
        <w:spacing w:line="290" w:lineRule="auto"/>
        <w:jc w:val="center"/>
        <w:rPr>
          <w:rFonts w:ascii="Arial"/>
          <w:sz w:val="21"/>
        </w:rPr>
      </w:pPr>
    </w:p>
    <w:p>
      <w:pPr>
        <w:widowControl w:val="0"/>
        <w:kinsoku/>
        <w:autoSpaceDE/>
        <w:autoSpaceDN/>
        <w:adjustRightInd/>
        <w:snapToGrid/>
        <w:spacing w:line="860" w:lineRule="exact"/>
        <w:jc w:val="center"/>
        <w:textAlignment w:val="auto"/>
        <w:rPr>
          <w:rFonts w:hint="eastAsia" w:ascii="方正大标宋简体" w:hAnsi="Times New Roman" w:eastAsia="方正大标宋简体" w:cs="Times New Roman"/>
          <w:snapToGrid/>
          <w:kern w:val="2"/>
          <w:sz w:val="44"/>
          <w:szCs w:val="44"/>
          <w:lang w:val="en-US" w:eastAsia="zh-CN" w:bidi="ar-SA"/>
        </w:rPr>
      </w:pPr>
      <w:r>
        <w:rPr>
          <w:rFonts w:hint="eastAsia" w:ascii="方正大标宋简体" w:hAnsi="Times New Roman" w:eastAsia="方正大标宋简体" w:cs="Times New Roman"/>
          <w:snapToGrid/>
          <w:kern w:val="2"/>
          <w:sz w:val="44"/>
          <w:szCs w:val="44"/>
          <w:lang w:val="en-US" w:eastAsia="zh-CN" w:bidi="ar-SA"/>
        </w:rPr>
        <w:t>浮梁县住房和城乡建设局 2022年部门预算</w:t>
      </w:r>
    </w:p>
    <w:p>
      <w:pPr>
        <w:spacing w:before="143" w:line="219" w:lineRule="auto"/>
        <w:ind w:firstLine="1146"/>
        <w:jc w:val="center"/>
        <w:rPr>
          <w:rFonts w:ascii="宋体" w:hAnsi="宋体" w:eastAsia="宋体" w:cs="宋体"/>
          <w:spacing w:val="2"/>
          <w:sz w:val="44"/>
          <w:szCs w:val="44"/>
          <w14:textOutline w14:w="7988" w14:cap="flat" w14:cmpd="sng">
            <w14:solidFill>
              <w14:srgbClr w14:val="000000"/>
            </w14:solidFill>
            <w14:prstDash w14:val="solid"/>
            <w14:miter w14:val="0"/>
          </w14:textOutline>
        </w:rPr>
      </w:pPr>
    </w:p>
    <w:p>
      <w:pPr>
        <w:spacing w:line="334" w:lineRule="auto"/>
        <w:rPr>
          <w:rFonts w:ascii="Arial"/>
          <w:sz w:val="21"/>
        </w:rPr>
      </w:pPr>
    </w:p>
    <w:p>
      <w:pPr>
        <w:spacing w:line="334" w:lineRule="auto"/>
        <w:rPr>
          <w:rFonts w:hint="eastAsia" w:ascii="Arial" w:eastAsia="宋体"/>
          <w:sz w:val="21"/>
          <w:lang w:eastAsia="zh-CN"/>
        </w:rPr>
      </w:pPr>
    </w:p>
    <w:p>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目    录</w:t>
      </w:r>
    </w:p>
    <w:p>
      <w:pPr>
        <w:spacing w:line="347" w:lineRule="auto"/>
        <w:rPr>
          <w:rFonts w:ascii="Arial"/>
          <w:sz w:val="21"/>
        </w:rPr>
      </w:pPr>
    </w:p>
    <w:p>
      <w:pPr>
        <w:spacing w:line="347" w:lineRule="auto"/>
        <w:rPr>
          <w:rFonts w:ascii="Arial"/>
          <w:sz w:val="21"/>
        </w:rPr>
      </w:pP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第一部分 浮梁县住房和城乡建设局概况</w:t>
      </w:r>
    </w:p>
    <w:p>
      <w:pPr>
        <w:keepNext w:val="0"/>
        <w:keepLines w:val="0"/>
        <w:pageBreakBefore w:val="0"/>
        <w:widowControl/>
        <w:kinsoku w:val="0"/>
        <w:wordWrap/>
        <w:overflowPunct/>
        <w:topLinePunct w:val="0"/>
        <w:autoSpaceDE w:val="0"/>
        <w:autoSpaceDN w:val="0"/>
        <w:bidi w:val="0"/>
        <w:adjustRightInd w:val="0"/>
        <w:snapToGrid w:val="0"/>
        <w:spacing w:before="207" w:line="240" w:lineRule="auto"/>
        <w:ind w:firstLine="632" w:firstLineChars="200"/>
        <w:textAlignment w:val="baseline"/>
        <w:rPr>
          <w:rFonts w:ascii="楷体" w:hAnsi="楷体" w:eastAsia="楷体" w:cs="楷体"/>
          <w:sz w:val="32"/>
          <w:szCs w:val="32"/>
        </w:rPr>
      </w:pPr>
      <w:r>
        <w:rPr>
          <w:rFonts w:ascii="楷体" w:hAnsi="楷体" w:eastAsia="楷体" w:cs="楷体"/>
          <w:spacing w:val="-2"/>
          <w:sz w:val="32"/>
          <w:szCs w:val="32"/>
        </w:rPr>
        <w:t>一、部门主要职责</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ascii="楷体" w:hAnsi="楷体" w:eastAsia="楷体" w:cs="楷体"/>
          <w:sz w:val="32"/>
          <w:szCs w:val="32"/>
        </w:rPr>
      </w:pPr>
      <w:r>
        <w:rPr>
          <w:rFonts w:ascii="楷体" w:hAnsi="楷体" w:eastAsia="楷体" w:cs="楷体"/>
          <w:spacing w:val="1"/>
          <w:sz w:val="32"/>
          <w:szCs w:val="32"/>
        </w:rPr>
        <w:t>二、机构设置及人员情况</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第二部分 浮梁县住房和城乡建设局2022年部门预算表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一、《收支预算总表》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二、《部门收入总表》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三、《部门支出总表》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四、《财政拨款收支总表》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五、《一般公共预算支出表》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六、《一般公共预算基本支出表》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八、《政府性基金预算支出表》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九、《国有资本经营预算支出表》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十、《部门整体支出绩效目标表》</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ascii="楷体" w:hAnsi="楷体" w:eastAsia="楷体" w:cs="楷体"/>
          <w:spacing w:val="1"/>
          <w:sz w:val="32"/>
          <w:szCs w:val="32"/>
        </w:rPr>
      </w:pPr>
      <w:r>
        <w:rPr>
          <w:rFonts w:hint="eastAsia" w:ascii="楷体" w:hAnsi="楷体" w:eastAsia="楷体" w:cs="楷体"/>
          <w:spacing w:val="1"/>
          <w:sz w:val="32"/>
          <w:szCs w:val="32"/>
        </w:rPr>
        <w:t>十一、《重点项目绩效目标表》</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第三部分 浮梁县住房和城乡建设局2022年部门预算情况说明</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一、2022年部门预算收支情况说明</w:t>
      </w:r>
    </w:p>
    <w:p>
      <w:pPr>
        <w:keepNext w:val="0"/>
        <w:keepLines w:val="0"/>
        <w:pageBreakBefore w:val="0"/>
        <w:widowControl/>
        <w:kinsoku w:val="0"/>
        <w:wordWrap/>
        <w:overflowPunct/>
        <w:topLinePunct w:val="0"/>
        <w:autoSpaceDE w:val="0"/>
        <w:autoSpaceDN w:val="0"/>
        <w:bidi w:val="0"/>
        <w:adjustRightInd w:val="0"/>
        <w:snapToGrid w:val="0"/>
        <w:spacing w:before="200" w:line="240" w:lineRule="auto"/>
        <w:ind w:firstLine="644" w:firstLineChars="200"/>
        <w:textAlignment w:val="baseline"/>
        <w:rPr>
          <w:rFonts w:hint="eastAsia" w:ascii="楷体" w:hAnsi="楷体" w:eastAsia="楷体" w:cs="楷体"/>
          <w:spacing w:val="1"/>
          <w:sz w:val="32"/>
          <w:szCs w:val="32"/>
        </w:rPr>
      </w:pPr>
      <w:r>
        <w:rPr>
          <w:rFonts w:hint="eastAsia" w:ascii="楷体" w:hAnsi="楷体" w:eastAsia="楷体" w:cs="楷体"/>
          <w:spacing w:val="1"/>
          <w:sz w:val="32"/>
          <w:szCs w:val="32"/>
        </w:rPr>
        <w:t>二、2022年"三公”经费预算情况说明</w:t>
      </w:r>
    </w:p>
    <w:p>
      <w:pPr>
        <w:widowControl w:val="0"/>
        <w:kinsoku/>
        <w:autoSpaceDE/>
        <w:autoSpaceDN/>
        <w:adjustRightInd/>
        <w:snapToGrid/>
        <w:spacing w:line="240" w:lineRule="auto"/>
        <w:jc w:val="both"/>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第四部分 名词解释</w:t>
      </w: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widowControl w:val="0"/>
        <w:kinsoku/>
        <w:autoSpaceDE/>
        <w:autoSpaceDN/>
        <w:adjustRightInd/>
        <w:snapToGrid/>
        <w:spacing w:line="240" w:lineRule="auto"/>
        <w:jc w:val="center"/>
        <w:textAlignment w:val="auto"/>
        <w:rPr>
          <w:rFonts w:ascii="Arial"/>
          <w:sz w:val="21"/>
        </w:rPr>
      </w:pPr>
      <w:r>
        <w:rPr>
          <w:rFonts w:hint="eastAsia" w:ascii="黑体" w:hAnsi="黑体" w:eastAsia="黑体" w:cs="黑体"/>
          <w:snapToGrid/>
          <w:kern w:val="2"/>
          <w:sz w:val="32"/>
          <w:szCs w:val="32"/>
          <w:lang w:val="en-US" w:eastAsia="zh-CN" w:bidi="ar-SA"/>
        </w:rPr>
        <w:t>第一部分 浮梁县住房和城乡建设局概况</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一、部门主要职责</w:t>
      </w:r>
    </w:p>
    <w:p>
      <w:pPr>
        <w:spacing w:line="480" w:lineRule="exact"/>
        <w:ind w:firstLine="627" w:firstLineChars="196"/>
        <w:rPr>
          <w:rFonts w:hint="eastAsia" w:ascii="楷体" w:hAnsi="楷体" w:eastAsia="楷体" w:cs="楷体"/>
          <w:b w:val="0"/>
          <w:bCs w:val="0"/>
          <w:sz w:val="32"/>
          <w:szCs w:val="32"/>
        </w:rPr>
      </w:pPr>
      <w:r>
        <w:rPr>
          <w:rFonts w:hint="eastAsia" w:ascii="楷体" w:hAnsi="楷体" w:eastAsia="楷体" w:cs="楷体"/>
          <w:b w:val="0"/>
          <w:bCs w:val="0"/>
          <w:sz w:val="32"/>
          <w:szCs w:val="32"/>
        </w:rPr>
        <w:t>（一）贯彻执行国家</w:t>
      </w:r>
      <w:r>
        <w:rPr>
          <w:rFonts w:hint="eastAsia" w:ascii="楷体" w:hAnsi="楷体" w:eastAsia="楷体" w:cs="楷体"/>
          <w:b w:val="0"/>
          <w:bCs w:val="0"/>
          <w:sz w:val="32"/>
          <w:szCs w:val="32"/>
          <w:lang w:eastAsia="zh-CN"/>
        </w:rPr>
        <w:t>、省、市关于住房和城乡建设的方针上、政策和法律法规以及相关的发展战略</w:t>
      </w:r>
      <w:r>
        <w:rPr>
          <w:rFonts w:hint="eastAsia" w:ascii="楷体" w:hAnsi="楷体" w:eastAsia="楷体" w:cs="楷体"/>
          <w:b w:val="0"/>
          <w:bCs w:val="0"/>
          <w:sz w:val="32"/>
          <w:szCs w:val="32"/>
        </w:rPr>
        <w:t>、中长期规划、改革方案</w:t>
      </w:r>
      <w:r>
        <w:rPr>
          <w:rFonts w:hint="eastAsia" w:ascii="楷体" w:hAnsi="楷体" w:eastAsia="楷体" w:cs="楷体"/>
          <w:b w:val="0"/>
          <w:bCs w:val="0"/>
          <w:sz w:val="32"/>
          <w:szCs w:val="32"/>
          <w:lang w:eastAsia="zh-CN"/>
        </w:rPr>
        <w:t>；研究拟定全县住房和城乡建设的发展规划、计划及相关的政策、管理制度</w:t>
      </w:r>
      <w:r>
        <w:rPr>
          <w:rFonts w:hint="eastAsia" w:ascii="楷体" w:hAnsi="楷体" w:eastAsia="楷体" w:cs="楷体"/>
          <w:b w:val="0"/>
          <w:bCs w:val="0"/>
          <w:sz w:val="32"/>
          <w:szCs w:val="32"/>
        </w:rPr>
        <w:t>并组织实施。</w:t>
      </w:r>
    </w:p>
    <w:p>
      <w:pPr>
        <w:spacing w:line="480" w:lineRule="exact"/>
        <w:ind w:firstLine="627" w:firstLineChars="196"/>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rPr>
        <w:t>（二</w:t>
      </w:r>
      <w:r>
        <w:rPr>
          <w:rFonts w:hint="eastAsia" w:ascii="楷体" w:hAnsi="楷体" w:eastAsia="楷体" w:cs="楷体"/>
          <w:b w:val="0"/>
          <w:bCs w:val="0"/>
          <w:sz w:val="32"/>
          <w:szCs w:val="32"/>
          <w:lang w:eastAsia="zh-CN"/>
        </w:rPr>
        <w:t>）负责全县房地产业的行业管理。指导房地产开发经营、房屋商品化工作，规范房地产市场。</w:t>
      </w:r>
    </w:p>
    <w:p>
      <w:pPr>
        <w:spacing w:line="480" w:lineRule="exact"/>
        <w:ind w:firstLine="627" w:firstLineChars="196"/>
        <w:rPr>
          <w:rFonts w:hint="eastAsia" w:ascii="楷体" w:hAnsi="楷体" w:eastAsia="楷体" w:cs="楷体"/>
          <w:b w:val="0"/>
          <w:bCs w:val="0"/>
          <w:sz w:val="32"/>
          <w:szCs w:val="32"/>
        </w:rPr>
      </w:pPr>
      <w:r>
        <w:rPr>
          <w:rFonts w:hint="eastAsia" w:ascii="楷体" w:hAnsi="楷体" w:eastAsia="楷体" w:cs="楷体"/>
          <w:b w:val="0"/>
          <w:bCs w:val="0"/>
          <w:sz w:val="32"/>
          <w:szCs w:val="32"/>
        </w:rPr>
        <w:t>（三）综合管理全县建筑活动；规范建筑县场；负责建筑县场准入、工程招标投标、工程监理、工程质量与施工安全工作；拟订施工、建设监理和相关社会中介组织管理的规章并监督实施；管理全县安装、装饰（含室内装饰）行业；负责全县建筑行业的仲裁工作；组织协调建设企业参与国际工程承包和建筑劳务合作；负责城县地下空间的开发利用；负责工业建筑、民用建筑和县政工程的工程造价、工程定额和费用标准的管理。</w:t>
      </w:r>
    </w:p>
    <w:p>
      <w:pPr>
        <w:spacing w:line="480" w:lineRule="exact"/>
        <w:ind w:firstLine="627" w:firstLineChars="196"/>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rPr>
        <w:t>（四）负责城</w:t>
      </w:r>
      <w:r>
        <w:rPr>
          <w:rFonts w:hint="eastAsia" w:ascii="楷体" w:hAnsi="楷体" w:eastAsia="楷体" w:cs="楷体"/>
          <w:b w:val="0"/>
          <w:bCs w:val="0"/>
          <w:sz w:val="32"/>
          <w:szCs w:val="32"/>
          <w:lang w:eastAsia="zh-CN"/>
        </w:rPr>
        <w:t>乡</w:t>
      </w:r>
      <w:r>
        <w:rPr>
          <w:rFonts w:hint="eastAsia" w:ascii="楷体" w:hAnsi="楷体" w:eastAsia="楷体" w:cs="楷体"/>
          <w:b w:val="0"/>
          <w:bCs w:val="0"/>
          <w:sz w:val="32"/>
          <w:szCs w:val="32"/>
        </w:rPr>
        <w:t>建设和村镇建设工作；研究提出加快全县城镇化进程的发展战略；组织全县村镇规划的编制与实施</w:t>
      </w:r>
      <w:r>
        <w:rPr>
          <w:rFonts w:hint="eastAsia" w:ascii="楷体" w:hAnsi="楷体" w:eastAsia="楷体" w:cs="楷体"/>
          <w:b w:val="0"/>
          <w:bCs w:val="0"/>
          <w:sz w:val="32"/>
          <w:szCs w:val="32"/>
          <w:lang w:eastAsia="zh-CN"/>
        </w:rPr>
        <w:t>。</w:t>
      </w:r>
    </w:p>
    <w:p>
      <w:pPr>
        <w:spacing w:line="480" w:lineRule="exact"/>
        <w:ind w:firstLine="627" w:firstLineChars="196"/>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（五）</w:t>
      </w:r>
      <w:r>
        <w:rPr>
          <w:rFonts w:hint="eastAsia" w:ascii="楷体" w:hAnsi="楷体" w:eastAsia="楷体" w:cs="楷体"/>
          <w:b w:val="0"/>
          <w:bCs w:val="0"/>
          <w:sz w:val="32"/>
          <w:szCs w:val="32"/>
        </w:rPr>
        <w:t>负责</w:t>
      </w:r>
      <w:r>
        <w:rPr>
          <w:rFonts w:hint="eastAsia" w:ascii="楷体" w:hAnsi="楷体" w:eastAsia="楷体" w:cs="楷体"/>
          <w:b w:val="0"/>
          <w:bCs w:val="0"/>
          <w:sz w:val="32"/>
          <w:szCs w:val="32"/>
          <w:lang w:eastAsia="zh-CN"/>
        </w:rPr>
        <w:t>城建</w:t>
      </w:r>
      <w:r>
        <w:rPr>
          <w:rFonts w:hint="eastAsia" w:ascii="楷体" w:hAnsi="楷体" w:eastAsia="楷体" w:cs="楷体"/>
          <w:b w:val="0"/>
          <w:bCs w:val="0"/>
          <w:sz w:val="32"/>
          <w:szCs w:val="32"/>
        </w:rPr>
        <w:t>档案管理工作。</w:t>
      </w:r>
      <w:r>
        <w:rPr>
          <w:rFonts w:hint="eastAsia" w:ascii="楷体" w:hAnsi="楷体" w:eastAsia="楷体" w:cs="楷体"/>
          <w:b w:val="0"/>
          <w:bCs w:val="0"/>
          <w:sz w:val="32"/>
          <w:szCs w:val="32"/>
          <w:lang w:eastAsia="zh-CN"/>
        </w:rPr>
        <w:t>参加工程的竣工验收，对接收范围内的工程竣工档案进行预验收并出具工程档案认可文件，收集、整理、保管、利用城市建设档案和有关资料，为城市规划、建设、管理和经济发展服务。</w:t>
      </w:r>
    </w:p>
    <w:p>
      <w:pPr>
        <w:spacing w:line="480" w:lineRule="exact"/>
        <w:ind w:firstLine="627" w:firstLineChars="196"/>
        <w:rPr>
          <w:rFonts w:hint="eastAsia" w:ascii="楷体" w:hAnsi="楷体" w:eastAsia="楷体" w:cs="楷体"/>
          <w:b w:val="0"/>
          <w:bCs w:val="0"/>
          <w:sz w:val="32"/>
          <w:szCs w:val="32"/>
          <w:lang w:eastAsia="zh-CN"/>
        </w:rPr>
      </w:pPr>
    </w:p>
    <w:p>
      <w:pPr>
        <w:spacing w:line="480" w:lineRule="exact"/>
        <w:ind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六</w:t>
      </w:r>
      <w:r>
        <w:rPr>
          <w:rFonts w:hint="eastAsia" w:ascii="楷体" w:hAnsi="楷体" w:eastAsia="楷体" w:cs="楷体"/>
          <w:b w:val="0"/>
          <w:bCs w:val="0"/>
          <w:sz w:val="32"/>
          <w:szCs w:val="32"/>
        </w:rPr>
        <w:t>）制定全县建设行业科技发展规划和技术经济政策；组织科研项目攻关和新技术、新产品的引进；制定行业教育发展规划，指导行业教育培训工作；组织行业人才预测、信息交流、职工培训和统计工作；负责建设行业执业资格管理。</w:t>
      </w:r>
    </w:p>
    <w:p>
      <w:pPr>
        <w:spacing w:line="480" w:lineRule="exact"/>
        <w:ind w:firstLine="640" w:firstLineChars="200"/>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七</w:t>
      </w:r>
      <w:r>
        <w:rPr>
          <w:rFonts w:hint="eastAsia" w:ascii="楷体" w:hAnsi="楷体" w:eastAsia="楷体" w:cs="楷体"/>
          <w:b w:val="0"/>
          <w:bCs w:val="0"/>
          <w:sz w:val="32"/>
          <w:szCs w:val="32"/>
        </w:rPr>
        <w:t>）负责局机关和下属单位的人事管理、劳动工资、机构编制管理工作；负责局机关和下属单位的党群工作。</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ind w:firstLine="640" w:firstLineChars="200"/>
        <w:textAlignment w:val="baseline"/>
        <w:rPr>
          <w:rFonts w:hint="eastAsia" w:ascii="楷体" w:hAnsi="楷体" w:eastAsia="楷体" w:cs="楷体"/>
          <w:b w:val="0"/>
          <w:bCs w:val="0"/>
          <w:sz w:val="32"/>
          <w:szCs w:val="32"/>
        </w:rPr>
      </w:pPr>
      <w:r>
        <w:rPr>
          <w:rFonts w:hint="eastAsia" w:ascii="楷体" w:hAnsi="楷体" w:eastAsia="楷体" w:cs="楷体"/>
          <w:b w:val="0"/>
          <w:bCs w:val="0"/>
          <w:sz w:val="32"/>
          <w:szCs w:val="32"/>
        </w:rPr>
        <w:t>（</w:t>
      </w:r>
      <w:r>
        <w:rPr>
          <w:rFonts w:hint="eastAsia" w:ascii="楷体" w:hAnsi="楷体" w:eastAsia="楷体" w:cs="楷体"/>
          <w:b w:val="0"/>
          <w:bCs w:val="0"/>
          <w:sz w:val="32"/>
          <w:szCs w:val="32"/>
          <w:lang w:eastAsia="zh-CN"/>
        </w:rPr>
        <w:t>八</w:t>
      </w:r>
      <w:r>
        <w:rPr>
          <w:rFonts w:hint="eastAsia" w:ascii="楷体" w:hAnsi="楷体" w:eastAsia="楷体" w:cs="楷体"/>
          <w:b w:val="0"/>
          <w:bCs w:val="0"/>
          <w:sz w:val="32"/>
          <w:szCs w:val="32"/>
        </w:rPr>
        <w:t>）承办县政府交办的其他事项。</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ind w:firstLine="692" w:firstLineChars="200"/>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二、机构设置及人员情况</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楷体" w:hAnsi="楷体" w:eastAsia="楷体" w:cs="楷体"/>
          <w:b w:val="0"/>
          <w:bCs w:val="0"/>
          <w:sz w:val="32"/>
          <w:szCs w:val="32"/>
        </w:rPr>
        <w:t>本部门</w:t>
      </w:r>
      <w:r>
        <w:rPr>
          <w:rFonts w:hint="eastAsia" w:ascii="楷体" w:hAnsi="楷体" w:eastAsia="楷体" w:cs="楷体"/>
          <w:b w:val="0"/>
          <w:bCs w:val="0"/>
          <w:sz w:val="32"/>
          <w:szCs w:val="32"/>
          <w:lang w:eastAsia="zh-CN"/>
        </w:rPr>
        <w:t>包含浮梁县住房和城乡建设局本级及浮梁县城镇发展服务中心、浮梁县住房保障中心、浮梁县城建档案馆三个全额拨款事业单位。</w:t>
      </w:r>
      <w:r>
        <w:rPr>
          <w:rFonts w:hint="eastAsia" w:ascii="楷体" w:hAnsi="楷体" w:eastAsia="楷体" w:cs="楷体"/>
          <w:b w:val="0"/>
          <w:bCs w:val="0"/>
          <w:sz w:val="32"/>
          <w:szCs w:val="32"/>
        </w:rPr>
        <w:t>共有编制数为</w:t>
      </w:r>
      <w:r>
        <w:rPr>
          <w:rFonts w:hint="eastAsia" w:ascii="楷体" w:hAnsi="楷体" w:eastAsia="楷体" w:cs="楷体"/>
          <w:b w:val="0"/>
          <w:bCs w:val="0"/>
          <w:sz w:val="32"/>
          <w:szCs w:val="32"/>
          <w:lang w:val="en-US" w:eastAsia="zh-CN"/>
        </w:rPr>
        <w:t>38</w:t>
      </w:r>
      <w:r>
        <w:rPr>
          <w:rFonts w:hint="eastAsia" w:ascii="楷体" w:hAnsi="楷体" w:eastAsia="楷体" w:cs="楷体"/>
          <w:b w:val="0"/>
          <w:bCs w:val="0"/>
          <w:sz w:val="32"/>
          <w:szCs w:val="32"/>
        </w:rPr>
        <w:t>个，其中公务员</w:t>
      </w:r>
      <w:r>
        <w:rPr>
          <w:rFonts w:hint="eastAsia" w:ascii="楷体" w:hAnsi="楷体" w:eastAsia="楷体" w:cs="楷体"/>
          <w:b w:val="0"/>
          <w:bCs w:val="0"/>
          <w:sz w:val="32"/>
          <w:szCs w:val="32"/>
          <w:lang w:val="en-US" w:eastAsia="zh-CN"/>
        </w:rPr>
        <w:t>14</w:t>
      </w:r>
      <w:r>
        <w:rPr>
          <w:rFonts w:hint="eastAsia" w:ascii="楷体" w:hAnsi="楷体" w:eastAsia="楷体" w:cs="楷体"/>
          <w:b w:val="0"/>
          <w:bCs w:val="0"/>
          <w:sz w:val="32"/>
          <w:szCs w:val="32"/>
        </w:rPr>
        <w:t>个，全部补助事业编制</w:t>
      </w:r>
      <w:r>
        <w:rPr>
          <w:rFonts w:hint="eastAsia" w:ascii="楷体" w:hAnsi="楷体" w:eastAsia="楷体" w:cs="楷体"/>
          <w:b w:val="0"/>
          <w:bCs w:val="0"/>
          <w:sz w:val="32"/>
          <w:szCs w:val="32"/>
          <w:lang w:val="en-US" w:eastAsia="zh-CN"/>
        </w:rPr>
        <w:t>24</w:t>
      </w:r>
      <w:r>
        <w:rPr>
          <w:rFonts w:hint="eastAsia" w:ascii="楷体" w:hAnsi="楷体" w:eastAsia="楷体" w:cs="楷体"/>
          <w:b w:val="0"/>
          <w:bCs w:val="0"/>
          <w:sz w:val="32"/>
          <w:szCs w:val="32"/>
        </w:rPr>
        <w:t>个，参照公务员管理事业编制0个。实有人数</w:t>
      </w:r>
      <w:r>
        <w:rPr>
          <w:rFonts w:hint="eastAsia" w:ascii="楷体" w:hAnsi="楷体" w:eastAsia="楷体" w:cs="楷体"/>
          <w:b w:val="0"/>
          <w:bCs w:val="0"/>
          <w:sz w:val="32"/>
          <w:szCs w:val="32"/>
          <w:lang w:val="en-US" w:eastAsia="zh-CN"/>
        </w:rPr>
        <w:t>118</w:t>
      </w:r>
      <w:r>
        <w:rPr>
          <w:rFonts w:hint="eastAsia" w:ascii="楷体" w:hAnsi="楷体" w:eastAsia="楷体" w:cs="楷体"/>
          <w:b w:val="0"/>
          <w:bCs w:val="0"/>
          <w:sz w:val="32"/>
          <w:szCs w:val="32"/>
        </w:rPr>
        <w:t>人，其中在职</w:t>
      </w:r>
      <w:r>
        <w:rPr>
          <w:rFonts w:hint="eastAsia" w:ascii="楷体" w:hAnsi="楷体" w:eastAsia="楷体" w:cs="楷体"/>
          <w:b w:val="0"/>
          <w:bCs w:val="0"/>
          <w:sz w:val="32"/>
          <w:szCs w:val="32"/>
          <w:lang w:val="en-US" w:eastAsia="zh-CN"/>
        </w:rPr>
        <w:t>86</w:t>
      </w:r>
      <w:r>
        <w:rPr>
          <w:rFonts w:hint="eastAsia" w:ascii="楷体" w:hAnsi="楷体" w:eastAsia="楷体" w:cs="楷体"/>
          <w:b w:val="0"/>
          <w:bCs w:val="0"/>
          <w:sz w:val="32"/>
          <w:szCs w:val="32"/>
        </w:rPr>
        <w:t>人，离退休</w:t>
      </w:r>
      <w:r>
        <w:rPr>
          <w:rFonts w:hint="eastAsia" w:ascii="楷体" w:hAnsi="楷体" w:eastAsia="楷体" w:cs="楷体"/>
          <w:b w:val="0"/>
          <w:bCs w:val="0"/>
          <w:sz w:val="32"/>
          <w:szCs w:val="32"/>
          <w:lang w:val="en-US" w:eastAsia="zh-CN"/>
        </w:rPr>
        <w:t>29</w:t>
      </w:r>
      <w:r>
        <w:rPr>
          <w:rFonts w:hint="eastAsia" w:ascii="楷体" w:hAnsi="楷体" w:eastAsia="楷体" w:cs="楷体"/>
          <w:b w:val="0"/>
          <w:bCs w:val="0"/>
          <w:sz w:val="32"/>
          <w:szCs w:val="32"/>
        </w:rPr>
        <w:t>人</w:t>
      </w:r>
      <w:r>
        <w:rPr>
          <w:rFonts w:hint="eastAsia" w:ascii="楷体" w:hAnsi="楷体" w:eastAsia="楷体" w:cs="楷体"/>
          <w:b w:val="0"/>
          <w:bCs w:val="0"/>
          <w:sz w:val="32"/>
          <w:szCs w:val="32"/>
          <w:lang w:eastAsia="zh-CN"/>
        </w:rPr>
        <w:t>，遗属</w:t>
      </w:r>
      <w:r>
        <w:rPr>
          <w:rFonts w:hint="eastAsia" w:ascii="楷体" w:hAnsi="楷体" w:eastAsia="楷体" w:cs="楷体"/>
          <w:b w:val="0"/>
          <w:bCs w:val="0"/>
          <w:sz w:val="32"/>
          <w:szCs w:val="32"/>
          <w:lang w:val="en-US" w:eastAsia="zh-CN"/>
        </w:rPr>
        <w:t>3人</w:t>
      </w:r>
      <w:r>
        <w:rPr>
          <w:rFonts w:hint="eastAsia" w:ascii="楷体" w:hAnsi="楷体" w:eastAsia="楷体" w:cs="楷体"/>
          <w:b w:val="0"/>
          <w:bCs w:val="0"/>
          <w:sz w:val="32"/>
          <w:szCs w:val="32"/>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3" w:line="240" w:lineRule="auto"/>
        <w:ind w:right="52" w:rightChars="0"/>
        <w:textAlignment w:val="baseline"/>
        <w:rPr>
          <w:rFonts w:ascii="仿宋" w:hAnsi="仿宋" w:eastAsia="仿宋" w:cs="仿宋"/>
          <w:spacing w:val="-9"/>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widowControl w:val="0"/>
        <w:kinsoku/>
        <w:autoSpaceDE/>
        <w:autoSpaceDN/>
        <w:adjustRightInd/>
        <w:snapToGrid/>
        <w:spacing w:line="240" w:lineRule="auto"/>
        <w:jc w:val="center"/>
        <w:textAlignment w:val="auto"/>
        <w:rPr>
          <w:rFonts w:hint="eastAsia" w:ascii="黑体" w:hAnsi="黑体" w:eastAsia="黑体" w:cs="黑体"/>
          <w:snapToGrid/>
          <w:kern w:val="2"/>
          <w:sz w:val="32"/>
          <w:szCs w:val="32"/>
          <w:lang w:val="en-US" w:eastAsia="zh-CN" w:bidi="ar-SA"/>
        </w:rPr>
      </w:pPr>
      <w:r>
        <w:rPr>
          <w:rFonts w:hint="eastAsia" w:ascii="黑体" w:hAnsi="黑体" w:eastAsia="黑体" w:cs="黑体"/>
          <w:snapToGrid/>
          <w:kern w:val="2"/>
          <w:sz w:val="32"/>
          <w:szCs w:val="32"/>
          <w:lang w:val="en-US" w:eastAsia="zh-CN" w:bidi="ar-SA"/>
        </w:rPr>
        <w:t>第二部分 浮梁县住房和城乡建设局2022年部门预算表</w:t>
      </w:r>
    </w:p>
    <w:p>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3550"/>
        <w:textAlignment w:val="baseline"/>
        <w:rPr>
          <w:rFonts w:ascii="仿宋" w:hAnsi="仿宋" w:eastAsia="仿宋" w:cs="仿宋"/>
          <w:spacing w:val="17"/>
          <w:sz w:val="32"/>
          <w:szCs w:val="32"/>
        </w:rPr>
      </w:pPr>
      <w:r>
        <w:rPr>
          <w:rFonts w:ascii="仿宋" w:hAnsi="仿宋" w:eastAsia="仿宋" w:cs="仿宋"/>
          <w:spacing w:val="17"/>
          <w:sz w:val="32"/>
          <w:szCs w:val="32"/>
        </w:rPr>
        <w:t>(详见附表)</w:t>
      </w:r>
    </w:p>
    <w:p>
      <w:pPr>
        <w:keepNext w:val="0"/>
        <w:keepLines w:val="0"/>
        <w:pageBreakBefore w:val="0"/>
        <w:widowControl/>
        <w:kinsoku w:val="0"/>
        <w:wordWrap/>
        <w:overflowPunct/>
        <w:topLinePunct w:val="0"/>
        <w:autoSpaceDE w:val="0"/>
        <w:autoSpaceDN w:val="0"/>
        <w:bidi w:val="0"/>
        <w:adjustRightInd w:val="0"/>
        <w:snapToGrid w:val="0"/>
        <w:spacing w:before="215" w:line="240" w:lineRule="auto"/>
        <w:ind w:firstLine="3550"/>
        <w:textAlignment w:val="baseline"/>
        <w:rPr>
          <w:rFonts w:ascii="仿宋" w:hAnsi="仿宋" w:eastAsia="仿宋" w:cs="仿宋"/>
          <w:spacing w:val="1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240" w:lineRule="auto"/>
        <w:textAlignment w:val="baseline"/>
        <w:rPr>
          <w:rFonts w:ascii="Arial"/>
          <w:sz w:val="21"/>
        </w:rPr>
      </w:pPr>
    </w:p>
    <w:p>
      <w:pPr>
        <w:widowControl w:val="0"/>
        <w:kinsoku/>
        <w:autoSpaceDE/>
        <w:autoSpaceDN/>
        <w:adjustRightInd/>
        <w:snapToGrid/>
        <w:spacing w:line="240" w:lineRule="auto"/>
        <w:jc w:val="center"/>
        <w:textAlignment w:val="auto"/>
        <w:rPr>
          <w:rFonts w:ascii="Arial"/>
          <w:sz w:val="21"/>
        </w:rPr>
      </w:pPr>
      <w:r>
        <w:rPr>
          <w:rFonts w:hint="eastAsia" w:ascii="黑体" w:hAnsi="黑体" w:eastAsia="黑体" w:cs="黑体"/>
          <w:snapToGrid/>
          <w:kern w:val="2"/>
          <w:sz w:val="32"/>
          <w:szCs w:val="32"/>
          <w:lang w:val="en-US" w:eastAsia="zh-CN" w:bidi="ar-SA"/>
        </w:rPr>
        <w:t>第三部分 浮梁县住房和城乡建设局2022年部门预算情况说明</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楷体" w:hAnsi="楷体" w:eastAsia="楷体" w:cs="楷体"/>
          <w:spacing w:val="13"/>
          <w:sz w:val="32"/>
          <w:szCs w:val="32"/>
        </w:rPr>
      </w:pPr>
      <w:r>
        <w:rPr>
          <w:rFonts w:hint="eastAsia" w:ascii="楷体" w:hAnsi="楷体" w:eastAsia="楷体" w:cs="楷体"/>
          <w:spacing w:val="13"/>
          <w:sz w:val="32"/>
          <w:szCs w:val="32"/>
        </w:rPr>
        <w:t>一、2022年部门预算收支情况说明</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(一)收入预算情况</w:t>
      </w:r>
    </w:p>
    <w:p>
      <w:pPr>
        <w:spacing w:line="360" w:lineRule="auto"/>
        <w:ind w:firstLine="640" w:firstLineChars="200"/>
        <w:rPr>
          <w:rFonts w:asciiTheme="minorEastAsia" w:hAnsiTheme="minorEastAsia" w:eastAsiaTheme="minorEastAsia"/>
          <w:color w:val="FF0000"/>
          <w:sz w:val="32"/>
          <w:szCs w:val="32"/>
          <w:u w:val="single"/>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年收入预算总额</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color w:val="FF0000"/>
          <w:sz w:val="32"/>
          <w:szCs w:val="32"/>
          <w:u w:val="single"/>
          <w:lang w:val="en-US" w:eastAsia="zh-CN"/>
        </w:rPr>
        <w:t>842.53</w:t>
      </w:r>
      <w:r>
        <w:rPr>
          <w:rFonts w:hint="eastAsia" w:asciiTheme="minorEastAsia" w:hAnsiTheme="minorEastAsia" w:eastAsiaTheme="minorEastAsia"/>
          <w:sz w:val="32"/>
          <w:szCs w:val="32"/>
        </w:rPr>
        <w:t>万元，其中公共财政拨款收入</w:t>
      </w:r>
      <w:r>
        <w:rPr>
          <w:rFonts w:hint="eastAsia" w:asciiTheme="minorEastAsia" w:hAnsiTheme="minorEastAsia" w:eastAsiaTheme="minorEastAsia"/>
          <w:color w:val="FF0000"/>
          <w:sz w:val="32"/>
          <w:szCs w:val="32"/>
          <w:u w:val="single"/>
          <w:lang w:val="en-US" w:eastAsia="zh-CN"/>
        </w:rPr>
        <w:t>842.53</w:t>
      </w:r>
      <w:r>
        <w:rPr>
          <w:rFonts w:hint="eastAsia" w:asciiTheme="minorEastAsia" w:hAnsiTheme="minorEastAsia" w:eastAsiaTheme="minorEastAsia"/>
          <w:sz w:val="32"/>
          <w:szCs w:val="32"/>
        </w:rPr>
        <w:t>万元。预算总额比去年</w:t>
      </w:r>
      <w:r>
        <w:rPr>
          <w:rFonts w:hint="eastAsia" w:asciiTheme="minorEastAsia" w:hAnsiTheme="minorEastAsia" w:eastAsiaTheme="minorEastAsia"/>
          <w:color w:val="FF0000"/>
          <w:sz w:val="32"/>
          <w:szCs w:val="32"/>
          <w:u w:val="single"/>
          <w:lang w:eastAsia="zh-CN"/>
        </w:rPr>
        <w:t>减少</w:t>
      </w:r>
      <w:r>
        <w:rPr>
          <w:rFonts w:hint="eastAsia" w:asciiTheme="minorEastAsia" w:hAnsiTheme="minorEastAsia" w:eastAsiaTheme="minorEastAsia"/>
          <w:color w:val="FF0000"/>
          <w:sz w:val="32"/>
          <w:szCs w:val="32"/>
          <w:u w:val="single"/>
          <w:lang w:val="en-US" w:eastAsia="zh-CN"/>
        </w:rPr>
        <w:t>68.3</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sz w:val="32"/>
          <w:szCs w:val="32"/>
        </w:rPr>
        <w:t>万元，主要由于</w:t>
      </w:r>
      <w:r>
        <w:rPr>
          <w:rFonts w:hint="eastAsia" w:asciiTheme="minorEastAsia" w:hAnsiTheme="minorEastAsia" w:eastAsiaTheme="minorEastAsia"/>
          <w:color w:val="FF0000"/>
          <w:sz w:val="32"/>
          <w:szCs w:val="32"/>
          <w:u w:val="single"/>
        </w:rPr>
        <w:t xml:space="preserve"> </w:t>
      </w:r>
      <w:r>
        <w:rPr>
          <w:rFonts w:hint="eastAsia" w:asciiTheme="minorEastAsia" w:hAnsiTheme="minorEastAsia" w:eastAsiaTheme="minorEastAsia"/>
          <w:color w:val="FF0000"/>
          <w:sz w:val="32"/>
          <w:szCs w:val="32"/>
          <w:u w:val="single"/>
          <w:lang w:eastAsia="zh-CN"/>
        </w:rPr>
        <w:t>上年结余资金未计入本年预算内。</w:t>
      </w:r>
      <w:r>
        <w:rPr>
          <w:rFonts w:hint="eastAsia" w:asciiTheme="minorEastAsia" w:hAnsiTheme="minorEastAsia" w:eastAsiaTheme="minorEastAsia"/>
          <w:color w:val="FF0000"/>
          <w:sz w:val="32"/>
          <w:szCs w:val="32"/>
          <w:u w:val="single"/>
        </w:rPr>
        <w:t xml:space="preserve">  </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(二)支出预算情况</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年支出预算总额为</w:t>
      </w:r>
      <w:r>
        <w:rPr>
          <w:rFonts w:hint="eastAsia" w:asciiTheme="minorEastAsia" w:hAnsiTheme="minorEastAsia" w:eastAsiaTheme="minorEastAsia"/>
          <w:color w:val="FF0000"/>
          <w:sz w:val="32"/>
          <w:szCs w:val="32"/>
          <w:u w:val="single"/>
          <w:lang w:val="en-US" w:eastAsia="zh-CN"/>
        </w:rPr>
        <w:t>842.53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预算总额</w:t>
      </w:r>
      <w:r>
        <w:rPr>
          <w:rFonts w:hint="eastAsia" w:asciiTheme="minorEastAsia" w:hAnsiTheme="minorEastAsia" w:eastAsiaTheme="minorEastAsia"/>
          <w:sz w:val="32"/>
          <w:szCs w:val="32"/>
        </w:rPr>
        <w:t>比去年</w:t>
      </w:r>
      <w:r>
        <w:rPr>
          <w:rFonts w:hint="eastAsia" w:asciiTheme="minorEastAsia" w:hAnsiTheme="minorEastAsia" w:eastAsiaTheme="minorEastAsia"/>
          <w:color w:val="FF0000"/>
          <w:sz w:val="32"/>
          <w:szCs w:val="32"/>
          <w:u w:val="single"/>
          <w:lang w:eastAsia="zh-CN"/>
        </w:rPr>
        <w:t>减少</w:t>
      </w:r>
      <w:r>
        <w:rPr>
          <w:rFonts w:hint="eastAsia" w:asciiTheme="minorEastAsia" w:hAnsiTheme="minorEastAsia" w:eastAsiaTheme="minorEastAsia"/>
          <w:color w:val="FF0000"/>
          <w:sz w:val="32"/>
          <w:szCs w:val="32"/>
          <w:u w:val="single"/>
          <w:lang w:val="en-US" w:eastAsia="zh-CN"/>
        </w:rPr>
        <w:t>68.3</w:t>
      </w:r>
      <w:r>
        <w:rPr>
          <w:rFonts w:hint="eastAsia" w:asciiTheme="minorEastAsia" w:hAnsiTheme="minorEastAsia" w:eastAsiaTheme="minorEastAsia"/>
          <w:sz w:val="32"/>
          <w:szCs w:val="32"/>
        </w:rPr>
        <w:t>万元，主要由于</w:t>
      </w:r>
      <w:r>
        <w:rPr>
          <w:rFonts w:hint="eastAsia" w:asciiTheme="minorEastAsia" w:hAnsiTheme="minorEastAsia" w:eastAsiaTheme="minorEastAsia"/>
          <w:color w:val="FF0000"/>
          <w:sz w:val="32"/>
          <w:szCs w:val="32"/>
          <w:u w:val="single"/>
          <w:lang w:eastAsia="zh-CN"/>
        </w:rPr>
        <w:t>按照财政部门核定控制数填列。</w:t>
      </w:r>
      <w:r>
        <w:rPr>
          <w:rFonts w:hint="eastAsia" w:asciiTheme="minorEastAsia" w:hAnsiTheme="minorEastAsia" w:eastAsiaTheme="minorEastAsia"/>
          <w:color w:val="FF0000"/>
          <w:sz w:val="32"/>
          <w:szCs w:val="32"/>
          <w:u w:val="single"/>
        </w:rPr>
        <w:t xml:space="preserve"> </w:t>
      </w:r>
    </w:p>
    <w:p>
      <w:pPr>
        <w:spacing w:line="360" w:lineRule="auto"/>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按支出项目类别划分：基本支出</w:t>
      </w:r>
      <w:r>
        <w:rPr>
          <w:rFonts w:hint="eastAsia" w:asciiTheme="minorEastAsia" w:hAnsiTheme="minorEastAsia" w:eastAsiaTheme="minorEastAsia"/>
          <w:color w:val="FF0000"/>
          <w:sz w:val="32"/>
          <w:szCs w:val="32"/>
          <w:u w:val="single"/>
          <w:lang w:val="en-US" w:eastAsia="zh-CN"/>
        </w:rPr>
        <w:t>842.53</w:t>
      </w:r>
      <w:r>
        <w:rPr>
          <w:rFonts w:hint="eastAsia" w:asciiTheme="minorEastAsia" w:hAnsiTheme="minorEastAsia" w:eastAsiaTheme="minorEastAsia"/>
          <w:sz w:val="32"/>
          <w:szCs w:val="32"/>
        </w:rPr>
        <w:t>万元。</w:t>
      </w:r>
    </w:p>
    <w:p>
      <w:pPr>
        <w:spacing w:line="360" w:lineRule="auto"/>
        <w:ind w:firstLine="600" w:firstLineChars="200"/>
        <w:rPr>
          <w:rFonts w:hint="eastAsia" w:asciiTheme="minorEastAsia" w:hAnsiTheme="minorEastAsia" w:eastAsiaTheme="minorEastAsia"/>
          <w:sz w:val="32"/>
          <w:szCs w:val="32"/>
        </w:rPr>
      </w:pPr>
      <w:r>
        <w:rPr>
          <w:rFonts w:hint="eastAsia" w:asciiTheme="minorEastAsia" w:hAnsiTheme="minorEastAsia" w:eastAsiaTheme="minorEastAsia" w:cstheme="minorEastAsia"/>
          <w:b w:val="0"/>
          <w:bCs w:val="0"/>
          <w:color w:val="auto"/>
          <w:sz w:val="30"/>
          <w:szCs w:val="30"/>
          <w:u w:val="none"/>
        </w:rPr>
        <w:t>按支出功能科目分类：</w:t>
      </w:r>
      <w:r>
        <w:rPr>
          <w:rFonts w:hint="eastAsia" w:asciiTheme="minorEastAsia" w:hAnsiTheme="minorEastAsia" w:eastAsiaTheme="minorEastAsia" w:cstheme="minorEastAsia"/>
          <w:b w:val="0"/>
          <w:bCs w:val="0"/>
          <w:color w:val="auto"/>
          <w:sz w:val="30"/>
          <w:szCs w:val="30"/>
          <w:u w:val="none"/>
          <w:lang w:eastAsia="zh-CN"/>
        </w:rPr>
        <w:t>机关事业单位基本养老保险缴费支出</w:t>
      </w:r>
      <w:r>
        <w:rPr>
          <w:rFonts w:hint="eastAsia" w:asciiTheme="minorEastAsia" w:hAnsiTheme="minorEastAsia" w:eastAsiaTheme="minorEastAsia" w:cstheme="minorEastAsia"/>
          <w:b w:val="0"/>
          <w:bCs w:val="0"/>
          <w:color w:val="auto"/>
          <w:sz w:val="30"/>
          <w:szCs w:val="30"/>
          <w:u w:val="none"/>
          <w:lang w:val="en-US" w:eastAsia="zh-CN"/>
        </w:rPr>
        <w:t>58.66万元，行政单位医疗支出19.58万元，行政运行支出754.01万元，</w:t>
      </w:r>
      <w:r>
        <w:rPr>
          <w:rFonts w:hint="eastAsia" w:asciiTheme="minorEastAsia" w:hAnsiTheme="minorEastAsia" w:eastAsiaTheme="minorEastAsia" w:cstheme="minorEastAsia"/>
          <w:b w:val="0"/>
          <w:bCs w:val="0"/>
          <w:color w:val="auto"/>
          <w:sz w:val="30"/>
          <w:szCs w:val="30"/>
          <w:u w:val="none"/>
          <w:lang w:eastAsia="zh-CN"/>
        </w:rPr>
        <w:t>其他城乡社区管理事务支出</w:t>
      </w:r>
      <w:r>
        <w:rPr>
          <w:rFonts w:hint="eastAsia" w:asciiTheme="minorEastAsia" w:hAnsiTheme="minorEastAsia" w:eastAsiaTheme="minorEastAsia" w:cstheme="minorEastAsia"/>
          <w:b w:val="0"/>
          <w:bCs w:val="0"/>
          <w:color w:val="auto"/>
          <w:sz w:val="30"/>
          <w:szCs w:val="30"/>
          <w:u w:val="none"/>
          <w:lang w:val="en-US" w:eastAsia="zh-CN"/>
        </w:rPr>
        <w:t>10.29</w:t>
      </w:r>
      <w:r>
        <w:rPr>
          <w:rFonts w:hint="eastAsia" w:asciiTheme="minorEastAsia" w:hAnsiTheme="minorEastAsia" w:eastAsiaTheme="minorEastAsia" w:cstheme="minorEastAsia"/>
          <w:b w:val="0"/>
          <w:bCs w:val="0"/>
          <w:color w:val="auto"/>
          <w:sz w:val="30"/>
          <w:szCs w:val="30"/>
          <w:u w:val="none"/>
        </w:rPr>
        <w:t>万元。</w:t>
      </w:r>
    </w:p>
    <w:p>
      <w:pPr>
        <w:spacing w:line="360" w:lineRule="auto"/>
        <w:ind w:firstLine="640" w:firstLineChars="20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sz w:val="32"/>
          <w:szCs w:val="32"/>
        </w:rPr>
        <w:t>按经济功能科目分类：</w:t>
      </w:r>
      <w:r>
        <w:rPr>
          <w:rFonts w:hint="eastAsia" w:asciiTheme="minorEastAsia" w:hAnsiTheme="minorEastAsia" w:eastAsiaTheme="minorEastAsia"/>
          <w:color w:val="000000" w:themeColor="text1"/>
          <w:sz w:val="32"/>
          <w:szCs w:val="32"/>
          <w14:textFill>
            <w14:solidFill>
              <w14:schemeClr w14:val="tx1"/>
            </w14:solidFill>
          </w14:textFill>
        </w:rPr>
        <w:t>工资福利支出</w:t>
      </w:r>
      <w:r>
        <w:rPr>
          <w:rFonts w:hint="eastAsia" w:asciiTheme="minorEastAsia" w:hAnsiTheme="minorEastAsia" w:eastAsiaTheme="minorEastAsia"/>
          <w:color w:val="FF0000"/>
          <w:sz w:val="32"/>
          <w:szCs w:val="32"/>
          <w:lang w:val="en-US" w:eastAsia="zh-CN"/>
        </w:rPr>
        <w:t>746.93</w:t>
      </w:r>
      <w:r>
        <w:rPr>
          <w:rFonts w:hint="eastAsia" w:asciiTheme="minorEastAsia" w:hAnsiTheme="minorEastAsia" w:eastAsiaTheme="minorEastAsia"/>
          <w:color w:val="000000" w:themeColor="text1"/>
          <w:sz w:val="32"/>
          <w:szCs w:val="32"/>
          <w14:textFill>
            <w14:solidFill>
              <w14:schemeClr w14:val="tx1"/>
            </w14:solidFill>
          </w14:textFill>
        </w:rPr>
        <w:t>万元，商品服务支出</w:t>
      </w:r>
      <w:r>
        <w:rPr>
          <w:rFonts w:hint="eastAsia" w:asciiTheme="minorEastAsia" w:hAnsiTheme="minorEastAsia" w:eastAsiaTheme="minorEastAsia"/>
          <w:color w:val="FF0000"/>
          <w:sz w:val="32"/>
          <w:szCs w:val="32"/>
          <w:lang w:val="en-US" w:eastAsia="zh-CN"/>
        </w:rPr>
        <w:t>89.57</w:t>
      </w:r>
      <w:r>
        <w:rPr>
          <w:rFonts w:hint="eastAsia" w:asciiTheme="minorEastAsia" w:hAnsiTheme="minorEastAsia" w:eastAsiaTheme="minorEastAsia"/>
          <w:color w:val="000000" w:themeColor="text1"/>
          <w:sz w:val="32"/>
          <w:szCs w:val="32"/>
          <w14:textFill>
            <w14:solidFill>
              <w14:schemeClr w14:val="tx1"/>
            </w14:solidFill>
          </w14:textFill>
        </w:rPr>
        <w:t>万元，对个人和家庭补助支出</w:t>
      </w:r>
      <w:r>
        <w:rPr>
          <w:rFonts w:hint="eastAsia" w:asciiTheme="minorEastAsia" w:hAnsiTheme="minorEastAsia" w:eastAsiaTheme="minorEastAsia"/>
          <w:color w:val="FF0000"/>
          <w:sz w:val="32"/>
          <w:szCs w:val="32"/>
          <w:lang w:val="en-US" w:eastAsia="zh-CN"/>
        </w:rPr>
        <w:t>3.03</w:t>
      </w:r>
      <w:r>
        <w:rPr>
          <w:rFonts w:hint="eastAsia" w:asciiTheme="minorEastAsia" w:hAnsiTheme="minorEastAsia" w:eastAsiaTheme="minorEastAsia"/>
          <w:color w:val="000000" w:themeColor="text1"/>
          <w:sz w:val="32"/>
          <w:szCs w:val="32"/>
          <w14:textFill>
            <w14:solidFill>
              <w14:schemeClr w14:val="tx1"/>
            </w14:solidFill>
          </w14:textFill>
        </w:rPr>
        <w:t>万</w:t>
      </w:r>
      <w:r>
        <w:rPr>
          <w:rFonts w:hint="eastAsia" w:asciiTheme="minorEastAsia" w:hAnsiTheme="minorEastAsia" w:eastAsiaTheme="minorEastAsia"/>
          <w:color w:val="000000" w:themeColor="text1"/>
          <w:sz w:val="32"/>
          <w:szCs w:val="32"/>
          <w:lang w:eastAsia="zh-CN"/>
          <w14:textFill>
            <w14:solidFill>
              <w14:schemeClr w14:val="tx1"/>
            </w14:solidFill>
          </w14:textFill>
        </w:rPr>
        <w:t>元，资本</w:t>
      </w:r>
      <w:r>
        <w:rPr>
          <w:rFonts w:hint="eastAsia" w:asciiTheme="minorEastAsia" w:hAnsiTheme="minorEastAsia" w:eastAsiaTheme="minorEastAsia"/>
          <w:color w:val="000000" w:themeColor="text1"/>
          <w:sz w:val="32"/>
          <w:szCs w:val="32"/>
          <w14:textFill>
            <w14:solidFill>
              <w14:schemeClr w14:val="tx1"/>
            </w14:solidFill>
          </w14:textFill>
        </w:rPr>
        <w:t>支出</w:t>
      </w:r>
      <w:r>
        <w:rPr>
          <w:rFonts w:hint="eastAsia" w:asciiTheme="minorEastAsia" w:hAnsiTheme="minorEastAsia" w:eastAsiaTheme="minorEastAsia"/>
          <w:color w:val="FF0000"/>
          <w:sz w:val="32"/>
          <w:szCs w:val="32"/>
          <w:lang w:val="en-US" w:eastAsia="zh-CN"/>
        </w:rPr>
        <w:t>3</w:t>
      </w:r>
      <w:r>
        <w:rPr>
          <w:rFonts w:hint="eastAsia" w:asciiTheme="minorEastAsia" w:hAnsiTheme="minorEastAsia" w:eastAsiaTheme="minorEastAsia"/>
          <w:color w:val="000000" w:themeColor="text1"/>
          <w:sz w:val="32"/>
          <w:szCs w:val="32"/>
          <w14:textFill>
            <w14:solidFill>
              <w14:schemeClr w14:val="tx1"/>
            </w14:solidFill>
          </w14:textFill>
        </w:rPr>
        <w:t>万元。</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仿宋_GB2312" w:hAnsi="Times New Roman" w:eastAsia="仿宋_GB2312" w:cs="Times New Roman"/>
          <w:snapToGrid/>
          <w:kern w:val="2"/>
          <w:sz w:val="32"/>
          <w:szCs w:val="32"/>
          <w:lang w:val="en-US" w:eastAsia="zh-CN" w:bidi="ar-SA"/>
        </w:rPr>
        <w:t>(三)财政拨款支出情况</w:t>
      </w:r>
    </w:p>
    <w:p>
      <w:pPr>
        <w:spacing w:line="360" w:lineRule="auto"/>
        <w:ind w:firstLine="640" w:firstLineChars="200"/>
        <w:rPr>
          <w:rFonts w:hint="eastAsia" w:ascii="仿宋_GB2312" w:hAnsi="Times New Roman" w:eastAsia="仿宋_GB2312" w:cs="Times New Roman"/>
          <w:snapToGrid/>
          <w:kern w:val="2"/>
          <w:sz w:val="32"/>
          <w:szCs w:val="32"/>
          <w:lang w:val="en-US" w:eastAsia="zh-CN" w:bidi="ar-SA"/>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2</w:t>
      </w:r>
      <w:r>
        <w:rPr>
          <w:rFonts w:hint="eastAsia" w:asciiTheme="minorEastAsia" w:hAnsiTheme="minorEastAsia" w:eastAsiaTheme="minorEastAsia"/>
          <w:sz w:val="32"/>
          <w:szCs w:val="32"/>
        </w:rPr>
        <w:t>年</w:t>
      </w:r>
      <w:r>
        <w:rPr>
          <w:rFonts w:hint="eastAsia" w:asciiTheme="minorEastAsia" w:hAnsiTheme="minorEastAsia" w:eastAsiaTheme="minorEastAsia"/>
          <w:sz w:val="32"/>
          <w:szCs w:val="32"/>
          <w:lang w:eastAsia="zh-CN"/>
        </w:rPr>
        <w:t>财政拨款</w:t>
      </w:r>
      <w:r>
        <w:rPr>
          <w:rFonts w:hint="eastAsia" w:asciiTheme="minorEastAsia" w:hAnsiTheme="minorEastAsia" w:eastAsiaTheme="minorEastAsia"/>
          <w:sz w:val="32"/>
          <w:szCs w:val="32"/>
        </w:rPr>
        <w:t>支出预算总额为</w:t>
      </w:r>
      <w:r>
        <w:rPr>
          <w:rFonts w:hint="eastAsia" w:asciiTheme="minorEastAsia" w:hAnsiTheme="minorEastAsia" w:eastAsiaTheme="minorEastAsia"/>
          <w:color w:val="FF0000"/>
          <w:sz w:val="32"/>
          <w:szCs w:val="32"/>
          <w:u w:val="single"/>
          <w:lang w:val="en-US" w:eastAsia="zh-CN"/>
        </w:rPr>
        <w:t>842.53</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预算总额</w:t>
      </w:r>
      <w:r>
        <w:rPr>
          <w:rFonts w:hint="eastAsia" w:asciiTheme="minorEastAsia" w:hAnsiTheme="minorEastAsia" w:eastAsiaTheme="minorEastAsia"/>
          <w:sz w:val="32"/>
          <w:szCs w:val="32"/>
        </w:rPr>
        <w:t>比去年</w:t>
      </w:r>
      <w:r>
        <w:rPr>
          <w:rFonts w:hint="eastAsia" w:asciiTheme="minorEastAsia" w:hAnsiTheme="minorEastAsia" w:eastAsiaTheme="minorEastAsia"/>
          <w:color w:val="FF0000"/>
          <w:sz w:val="32"/>
          <w:szCs w:val="32"/>
          <w:u w:val="single"/>
          <w:lang w:eastAsia="zh-CN"/>
        </w:rPr>
        <w:t>减少</w:t>
      </w:r>
      <w:r>
        <w:rPr>
          <w:rFonts w:hint="eastAsia" w:asciiTheme="minorEastAsia" w:hAnsiTheme="minorEastAsia" w:eastAsiaTheme="minorEastAsia"/>
          <w:color w:val="FF0000"/>
          <w:sz w:val="32"/>
          <w:szCs w:val="32"/>
          <w:u w:val="single"/>
          <w:lang w:val="en-US" w:eastAsia="zh-CN"/>
        </w:rPr>
        <w:t>68.3</w:t>
      </w:r>
      <w:r>
        <w:rPr>
          <w:rFonts w:hint="eastAsia" w:asciiTheme="minorEastAsia" w:hAnsiTheme="minorEastAsia" w:eastAsiaTheme="minorEastAsia"/>
          <w:sz w:val="32"/>
          <w:szCs w:val="32"/>
        </w:rPr>
        <w:t>万元，主要由于</w:t>
      </w:r>
      <w:r>
        <w:rPr>
          <w:rFonts w:hint="eastAsia" w:asciiTheme="minorEastAsia" w:hAnsiTheme="minorEastAsia" w:eastAsiaTheme="minorEastAsia"/>
          <w:color w:val="FF0000"/>
          <w:sz w:val="32"/>
          <w:szCs w:val="32"/>
          <w:u w:val="single"/>
          <w:lang w:eastAsia="zh-CN"/>
        </w:rPr>
        <w:t>按照财政部门核定控制数填列。</w:t>
      </w:r>
      <w:r>
        <w:rPr>
          <w:rFonts w:hint="eastAsia" w:asciiTheme="minorEastAsia" w:hAnsiTheme="minorEastAsia" w:eastAsiaTheme="minorEastAsia"/>
          <w:color w:val="FF0000"/>
          <w:sz w:val="32"/>
          <w:szCs w:val="32"/>
          <w:u w:val="single"/>
        </w:rPr>
        <w:t xml:space="preserve"> </w:t>
      </w:r>
    </w:p>
    <w:p>
      <w:pPr>
        <w:widowControl w:val="0"/>
        <w:kinsoku/>
        <w:autoSpaceDE/>
        <w:autoSpaceDN/>
        <w:adjustRightInd/>
        <w:snapToGrid/>
        <w:spacing w:line="240" w:lineRule="auto"/>
        <w:ind w:firstLine="640" w:firstLineChars="200"/>
        <w:jc w:val="both"/>
        <w:textAlignment w:val="auto"/>
        <w:rPr>
          <w:rFonts w:hint="eastAsia" w:ascii="宋体" w:hAnsi="宋体" w:eastAsia="宋体" w:cs="宋体"/>
          <w:snapToGrid/>
          <w:kern w:val="2"/>
          <w:sz w:val="32"/>
          <w:szCs w:val="32"/>
          <w:lang w:val="en-US" w:eastAsia="zh-CN" w:bidi="ar-SA"/>
        </w:rPr>
      </w:pPr>
      <w:r>
        <w:rPr>
          <w:rFonts w:hint="eastAsia" w:ascii="宋体" w:hAnsi="宋体" w:eastAsia="宋体" w:cs="宋体"/>
          <w:snapToGrid/>
          <w:kern w:val="2"/>
          <w:sz w:val="32"/>
          <w:szCs w:val="32"/>
          <w:lang w:val="en-US" w:eastAsia="zh-CN" w:bidi="ar-SA"/>
        </w:rPr>
        <w:t>(四)政府性基金情况</w:t>
      </w:r>
    </w:p>
    <w:p>
      <w:pPr>
        <w:widowControl w:val="0"/>
        <w:kinsoku/>
        <w:autoSpaceDE/>
        <w:autoSpaceDN/>
        <w:adjustRightInd/>
        <w:snapToGrid/>
        <w:spacing w:line="240" w:lineRule="auto"/>
        <w:ind w:firstLine="640" w:firstLineChars="200"/>
        <w:jc w:val="both"/>
        <w:textAlignment w:val="auto"/>
        <w:rPr>
          <w:rFonts w:hint="eastAsia" w:ascii="宋体" w:hAnsi="宋体" w:eastAsia="宋体" w:cs="宋体"/>
          <w:snapToGrid/>
          <w:kern w:val="2"/>
          <w:sz w:val="32"/>
          <w:szCs w:val="32"/>
          <w:lang w:val="en-US" w:eastAsia="zh-CN" w:bidi="ar-SA"/>
        </w:rPr>
      </w:pPr>
      <w:r>
        <w:rPr>
          <w:rFonts w:hint="eastAsia" w:ascii="宋体" w:hAnsi="宋体" w:eastAsia="宋体" w:cs="宋体"/>
          <w:snapToGrid/>
          <w:kern w:val="2"/>
          <w:sz w:val="32"/>
          <w:szCs w:val="32"/>
          <w:lang w:val="en-US" w:eastAsia="zh-CN" w:bidi="ar-SA"/>
        </w:rPr>
        <w:t>2022年没有使用政府性基金预算拨款安排的支出。</w:t>
      </w:r>
    </w:p>
    <w:p>
      <w:pPr>
        <w:widowControl w:val="0"/>
        <w:kinsoku/>
        <w:autoSpaceDE/>
        <w:autoSpaceDN/>
        <w:adjustRightInd/>
        <w:snapToGrid/>
        <w:spacing w:line="240" w:lineRule="auto"/>
        <w:ind w:firstLine="640" w:firstLineChars="200"/>
        <w:jc w:val="both"/>
        <w:textAlignment w:val="auto"/>
        <w:rPr>
          <w:rFonts w:hint="eastAsia" w:ascii="宋体" w:hAnsi="宋体" w:eastAsia="宋体" w:cs="宋体"/>
          <w:snapToGrid/>
          <w:kern w:val="2"/>
          <w:sz w:val="32"/>
          <w:szCs w:val="32"/>
          <w:lang w:val="en-US" w:eastAsia="zh-CN" w:bidi="ar-SA"/>
        </w:rPr>
      </w:pPr>
      <w:r>
        <w:rPr>
          <w:rFonts w:hint="eastAsia" w:ascii="宋体" w:hAnsi="宋体" w:eastAsia="宋体" w:cs="宋体"/>
          <w:snapToGrid/>
          <w:kern w:val="2"/>
          <w:sz w:val="32"/>
          <w:szCs w:val="32"/>
          <w:lang w:val="en-US" w:eastAsia="zh-CN" w:bidi="ar-SA"/>
        </w:rPr>
        <w:t>(五)国有资本经营情况</w:t>
      </w:r>
    </w:p>
    <w:p>
      <w:pPr>
        <w:widowControl w:val="0"/>
        <w:kinsoku/>
        <w:autoSpaceDE/>
        <w:autoSpaceDN/>
        <w:adjustRightInd/>
        <w:snapToGrid/>
        <w:spacing w:line="240" w:lineRule="auto"/>
        <w:ind w:firstLine="640" w:firstLineChars="200"/>
        <w:jc w:val="both"/>
        <w:textAlignment w:val="auto"/>
        <w:rPr>
          <w:rFonts w:hint="eastAsia" w:ascii="宋体" w:hAnsi="宋体" w:eastAsia="宋体" w:cs="宋体"/>
          <w:snapToGrid/>
          <w:kern w:val="2"/>
          <w:sz w:val="32"/>
          <w:szCs w:val="32"/>
          <w:lang w:val="en-US" w:eastAsia="zh-CN" w:bidi="ar-SA"/>
        </w:rPr>
      </w:pPr>
      <w:r>
        <w:rPr>
          <w:rFonts w:hint="eastAsia" w:ascii="宋体" w:hAnsi="宋体" w:eastAsia="宋体" w:cs="宋体"/>
          <w:snapToGrid/>
          <w:kern w:val="2"/>
          <w:sz w:val="32"/>
          <w:szCs w:val="32"/>
          <w:lang w:val="en-US" w:eastAsia="zh-CN" w:bidi="ar-SA"/>
        </w:rPr>
        <w:t>2022年没有使用国有资本经营预算拨款安排的支出。</w:t>
      </w:r>
    </w:p>
    <w:p>
      <w:pPr>
        <w:widowControl w:val="0"/>
        <w:kinsoku/>
        <w:autoSpaceDE/>
        <w:autoSpaceDN/>
        <w:adjustRightInd/>
        <w:snapToGrid/>
        <w:spacing w:line="240" w:lineRule="auto"/>
        <w:ind w:firstLine="640" w:firstLineChars="200"/>
        <w:jc w:val="both"/>
        <w:textAlignment w:val="auto"/>
        <w:rPr>
          <w:rFonts w:hint="eastAsia" w:ascii="宋体" w:hAnsi="宋体" w:eastAsia="宋体" w:cs="宋体"/>
          <w:snapToGrid/>
          <w:kern w:val="2"/>
          <w:sz w:val="32"/>
          <w:szCs w:val="32"/>
          <w:lang w:val="en-US" w:eastAsia="zh-CN" w:bidi="ar-SA"/>
        </w:rPr>
      </w:pPr>
      <w:r>
        <w:rPr>
          <w:rFonts w:hint="eastAsia" w:ascii="宋体" w:hAnsi="宋体" w:eastAsia="宋体" w:cs="宋体"/>
          <w:snapToGrid/>
          <w:kern w:val="2"/>
          <w:sz w:val="32"/>
          <w:szCs w:val="32"/>
          <w:lang w:val="en-US" w:eastAsia="zh-CN" w:bidi="ar-SA"/>
        </w:rPr>
        <w:t>(六)机关运行经费等重要事项的说明</w:t>
      </w:r>
    </w:p>
    <w:p>
      <w:pPr>
        <w:widowControl w:val="0"/>
        <w:kinsoku/>
        <w:autoSpaceDE/>
        <w:autoSpaceDN/>
        <w:adjustRightInd/>
        <w:snapToGrid/>
        <w:spacing w:line="240" w:lineRule="auto"/>
        <w:ind w:firstLine="640" w:firstLineChars="200"/>
        <w:jc w:val="both"/>
        <w:textAlignment w:val="auto"/>
        <w:rPr>
          <w:rFonts w:hint="eastAsia" w:ascii="宋体" w:hAnsi="宋体" w:eastAsia="宋体" w:cs="宋体"/>
          <w:snapToGrid/>
          <w:kern w:val="2"/>
          <w:sz w:val="32"/>
          <w:szCs w:val="32"/>
          <w:lang w:val="en-US" w:eastAsia="zh-CN" w:bidi="ar-SA"/>
        </w:rPr>
      </w:pPr>
      <w:r>
        <w:rPr>
          <w:rFonts w:hint="eastAsia" w:ascii="宋体" w:hAnsi="宋体" w:eastAsia="宋体" w:cs="宋体"/>
          <w:snapToGrid/>
          <w:kern w:val="2"/>
          <w:sz w:val="32"/>
          <w:szCs w:val="32"/>
          <w:lang w:val="en-US" w:eastAsia="zh-CN" w:bidi="ar-SA"/>
        </w:rPr>
        <w:t>2022年部门机关运行费预算 92.57 万元，比2021年预算减少5.33万元，下降 5 %。</w:t>
      </w:r>
    </w:p>
    <w:p>
      <w:pPr>
        <w:widowControl w:val="0"/>
        <w:kinsoku/>
        <w:autoSpaceDE/>
        <w:autoSpaceDN/>
        <w:adjustRightInd/>
        <w:snapToGrid/>
        <w:spacing w:line="240" w:lineRule="auto"/>
        <w:ind w:firstLine="640" w:firstLineChars="200"/>
        <w:jc w:val="both"/>
        <w:textAlignment w:val="auto"/>
        <w:rPr>
          <w:rFonts w:hint="eastAsia" w:ascii="宋体" w:hAnsi="宋体" w:eastAsia="宋体" w:cs="宋体"/>
          <w:snapToGrid/>
          <w:kern w:val="2"/>
          <w:sz w:val="32"/>
          <w:szCs w:val="32"/>
          <w:lang w:val="en-US" w:eastAsia="zh-CN" w:bidi="ar-SA"/>
        </w:rPr>
      </w:pPr>
      <w:r>
        <w:rPr>
          <w:rFonts w:hint="eastAsia" w:ascii="宋体" w:hAnsi="宋体" w:eastAsia="宋体" w:cs="宋体"/>
          <w:snapToGrid/>
          <w:kern w:val="2"/>
          <w:sz w:val="32"/>
          <w:szCs w:val="32"/>
          <w:lang w:val="en-US" w:eastAsia="zh-CN" w:bidi="ar-SA"/>
        </w:rPr>
        <w:t>按照财政部《地方预决算公开操作规程》明确的口径，机关运行费指各部门的公用经费，包括办</w:t>
      </w:r>
      <w:bookmarkStart w:id="0" w:name="_GoBack"/>
      <w:bookmarkEnd w:id="0"/>
      <w:r>
        <w:rPr>
          <w:rFonts w:hint="eastAsia" w:ascii="宋体" w:hAnsi="宋体" w:eastAsia="宋体" w:cs="宋体"/>
          <w:snapToGrid/>
          <w:kern w:val="2"/>
          <w:sz w:val="32"/>
          <w:szCs w:val="32"/>
          <w:lang w:val="en-US" w:eastAsia="zh-CN" w:bidi="ar-SA"/>
        </w:rPr>
        <w:t>公及印刷费、邮电费、差旅费、会议费、福利费、日常维修费、专用材料及一般设备购置费、办公用房水电费、办公用房取暖费、办公用房物业管理费、公务用车运行维护费以及其他费用。</w:t>
      </w:r>
    </w:p>
    <w:p>
      <w:pPr>
        <w:widowControl w:val="0"/>
        <w:kinsoku/>
        <w:autoSpaceDE/>
        <w:autoSpaceDN/>
        <w:adjustRightInd/>
        <w:snapToGrid/>
        <w:spacing w:line="240" w:lineRule="auto"/>
        <w:ind w:firstLine="640" w:firstLineChars="200"/>
        <w:jc w:val="both"/>
        <w:textAlignment w:val="auto"/>
        <w:rPr>
          <w:rFonts w:hint="eastAsia" w:ascii="宋体" w:hAnsi="宋体" w:eastAsia="宋体" w:cs="宋体"/>
          <w:snapToGrid/>
          <w:kern w:val="2"/>
          <w:sz w:val="32"/>
          <w:szCs w:val="32"/>
          <w:lang w:val="en-US" w:eastAsia="zh-CN" w:bidi="ar-SA"/>
        </w:rPr>
      </w:pPr>
      <w:r>
        <w:rPr>
          <w:rFonts w:hint="eastAsia" w:ascii="宋体" w:hAnsi="宋体" w:eastAsia="宋体" w:cs="宋体"/>
          <w:snapToGrid/>
          <w:kern w:val="2"/>
          <w:sz w:val="32"/>
          <w:szCs w:val="32"/>
          <w:lang w:val="en-US" w:eastAsia="zh-CN" w:bidi="ar-SA"/>
        </w:rPr>
        <w:t>(七)政府采购情况</w:t>
      </w:r>
    </w:p>
    <w:p>
      <w:pPr>
        <w:widowControl w:val="0"/>
        <w:kinsoku/>
        <w:autoSpaceDE/>
        <w:autoSpaceDN/>
        <w:adjustRightInd/>
        <w:snapToGrid/>
        <w:spacing w:line="240" w:lineRule="auto"/>
        <w:ind w:firstLine="640" w:firstLineChars="200"/>
        <w:jc w:val="both"/>
        <w:textAlignment w:val="auto"/>
        <w:rPr>
          <w:rFonts w:hint="eastAsia" w:ascii="宋体" w:hAnsi="宋体" w:eastAsia="宋体" w:cs="宋体"/>
          <w:snapToGrid/>
          <w:kern w:val="2"/>
          <w:sz w:val="32"/>
          <w:szCs w:val="32"/>
          <w:lang w:val="en-US" w:eastAsia="zh-CN" w:bidi="ar-SA"/>
        </w:rPr>
      </w:pPr>
      <w:r>
        <w:rPr>
          <w:rFonts w:hint="eastAsia" w:ascii="宋体" w:hAnsi="宋体" w:eastAsia="宋体" w:cs="宋体"/>
          <w:snapToGrid/>
          <w:kern w:val="2"/>
          <w:sz w:val="32"/>
          <w:szCs w:val="32"/>
          <w:lang w:val="en-US" w:eastAsia="zh-CN" w:bidi="ar-SA"/>
        </w:rPr>
        <w:t>2022年部门所属各单位政府采购总额3万元，其中:政府采购货物预算3万元。</w:t>
      </w:r>
    </w:p>
    <w:p>
      <w:pPr>
        <w:widowControl w:val="0"/>
        <w:kinsoku/>
        <w:autoSpaceDE/>
        <w:autoSpaceDN/>
        <w:adjustRightInd/>
        <w:snapToGrid/>
        <w:spacing w:line="240" w:lineRule="auto"/>
        <w:ind w:firstLine="640" w:firstLineChars="200"/>
        <w:jc w:val="both"/>
        <w:textAlignment w:val="auto"/>
        <w:rPr>
          <w:rFonts w:hint="eastAsia" w:ascii="宋体" w:hAnsi="宋体" w:eastAsia="宋体" w:cs="宋体"/>
          <w:snapToGrid/>
          <w:kern w:val="2"/>
          <w:sz w:val="32"/>
          <w:szCs w:val="32"/>
          <w:lang w:val="en-US" w:eastAsia="zh-CN" w:bidi="ar-SA"/>
        </w:rPr>
      </w:pPr>
      <w:r>
        <w:rPr>
          <w:rFonts w:hint="eastAsia" w:ascii="宋体" w:hAnsi="宋体" w:eastAsia="宋体" w:cs="宋体"/>
          <w:snapToGrid/>
          <w:kern w:val="2"/>
          <w:sz w:val="32"/>
          <w:szCs w:val="32"/>
          <w:lang w:val="en-US" w:eastAsia="zh-CN" w:bidi="ar-SA"/>
        </w:rPr>
        <w:t>(八)国有资产占有使用情况</w:t>
      </w:r>
    </w:p>
    <w:p>
      <w:pPr>
        <w:widowControl w:val="0"/>
        <w:kinsoku/>
        <w:autoSpaceDE/>
        <w:autoSpaceDN/>
        <w:adjustRightInd/>
        <w:snapToGrid/>
        <w:spacing w:line="240" w:lineRule="auto"/>
        <w:ind w:firstLine="640" w:firstLineChars="200"/>
        <w:jc w:val="both"/>
        <w:textAlignment w:val="auto"/>
        <w:rPr>
          <w:rFonts w:hint="eastAsia" w:ascii="宋体" w:hAnsi="宋体" w:eastAsia="宋体" w:cs="宋体"/>
          <w:snapToGrid/>
          <w:kern w:val="2"/>
          <w:sz w:val="32"/>
          <w:szCs w:val="32"/>
          <w:lang w:val="en-US" w:eastAsia="zh-CN" w:bidi="ar-SA"/>
        </w:rPr>
      </w:pPr>
      <w:r>
        <w:rPr>
          <w:rFonts w:hint="eastAsia" w:ascii="宋体" w:hAnsi="宋体" w:eastAsia="宋体" w:cs="宋体"/>
          <w:snapToGrid/>
          <w:kern w:val="2"/>
          <w:sz w:val="32"/>
          <w:szCs w:val="32"/>
          <w:lang w:val="en-US" w:eastAsia="zh-CN" w:bidi="ar-SA"/>
        </w:rPr>
        <w:t>截至2021年12月31日，部门共有车辆2辆，其中，专业车辆2辆。</w:t>
      </w:r>
    </w:p>
    <w:p>
      <w:pPr>
        <w:widowControl w:val="0"/>
        <w:kinsoku/>
        <w:autoSpaceDE/>
        <w:autoSpaceDN/>
        <w:adjustRightInd/>
        <w:snapToGrid/>
        <w:spacing w:line="240" w:lineRule="auto"/>
        <w:ind w:firstLine="640" w:firstLineChars="200"/>
        <w:jc w:val="both"/>
        <w:textAlignment w:val="auto"/>
        <w:rPr>
          <w:rFonts w:hint="eastAsia" w:ascii="宋体" w:hAnsi="宋体" w:eastAsia="宋体" w:cs="宋体"/>
          <w:snapToGrid/>
          <w:kern w:val="2"/>
          <w:sz w:val="32"/>
          <w:szCs w:val="32"/>
          <w:lang w:val="en-US" w:eastAsia="zh-CN" w:bidi="ar-SA"/>
        </w:rPr>
      </w:pPr>
      <w:r>
        <w:rPr>
          <w:rFonts w:hint="eastAsia" w:ascii="宋体" w:hAnsi="宋体" w:eastAsia="宋体" w:cs="宋体"/>
          <w:snapToGrid/>
          <w:kern w:val="2"/>
          <w:sz w:val="32"/>
          <w:szCs w:val="32"/>
          <w:lang w:val="en-US" w:eastAsia="zh-CN" w:bidi="ar-SA"/>
        </w:rPr>
        <w:t>2022年部门预算安排购置车辆0辆。</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宋体" w:hAnsi="宋体" w:eastAsia="宋体" w:cs="宋体"/>
          <w:spacing w:val="13"/>
          <w:sz w:val="32"/>
          <w:szCs w:val="32"/>
        </w:rPr>
      </w:pPr>
      <w:r>
        <w:rPr>
          <w:rFonts w:hint="eastAsia" w:ascii="宋体" w:hAnsi="宋体" w:eastAsia="宋体" w:cs="宋体"/>
          <w:spacing w:val="13"/>
          <w:sz w:val="32"/>
          <w:szCs w:val="32"/>
        </w:rPr>
        <w:t>二、2022年"三公”经费预算情况说明</w:t>
      </w:r>
    </w:p>
    <w:p>
      <w:pPr>
        <w:widowControl w:val="0"/>
        <w:kinsoku/>
        <w:autoSpaceDE/>
        <w:autoSpaceDN/>
        <w:adjustRightInd/>
        <w:snapToGrid/>
        <w:spacing w:line="240" w:lineRule="auto"/>
        <w:ind w:firstLine="640" w:firstLineChars="200"/>
        <w:jc w:val="both"/>
        <w:textAlignment w:val="auto"/>
        <w:rPr>
          <w:rFonts w:hint="eastAsia" w:ascii="宋体" w:hAnsi="宋体" w:eastAsia="宋体" w:cs="宋体"/>
          <w:snapToGrid/>
          <w:kern w:val="2"/>
          <w:sz w:val="32"/>
          <w:szCs w:val="32"/>
          <w:lang w:val="en-US" w:eastAsia="zh-CN" w:bidi="ar-SA"/>
        </w:rPr>
      </w:pPr>
      <w:r>
        <w:rPr>
          <w:rFonts w:hint="eastAsia" w:ascii="宋体" w:hAnsi="宋体" w:eastAsia="宋体" w:cs="宋体"/>
          <w:snapToGrid/>
          <w:kern w:val="2"/>
          <w:sz w:val="32"/>
          <w:szCs w:val="32"/>
          <w:lang w:val="en-US" w:eastAsia="zh-CN" w:bidi="ar-SA"/>
        </w:rPr>
        <w:t>2022年住房和城乡建设局"三公"经费一般公共预算安排万元。其中:</w:t>
      </w:r>
    </w:p>
    <w:p>
      <w:pPr>
        <w:widowControl w:val="0"/>
        <w:kinsoku/>
        <w:autoSpaceDE/>
        <w:autoSpaceDN/>
        <w:adjustRightInd/>
        <w:snapToGrid/>
        <w:spacing w:line="240" w:lineRule="auto"/>
        <w:ind w:firstLine="640" w:firstLineChars="200"/>
        <w:jc w:val="both"/>
        <w:textAlignment w:val="auto"/>
        <w:rPr>
          <w:rFonts w:hint="eastAsia" w:ascii="宋体" w:hAnsi="宋体" w:eastAsia="宋体" w:cs="宋体"/>
          <w:snapToGrid/>
          <w:kern w:val="2"/>
          <w:sz w:val="32"/>
          <w:szCs w:val="32"/>
          <w:lang w:val="en-US" w:eastAsia="zh-CN" w:bidi="ar-SA"/>
        </w:rPr>
      </w:pPr>
      <w:r>
        <w:rPr>
          <w:rFonts w:hint="eastAsia" w:ascii="宋体" w:hAnsi="宋体" w:eastAsia="宋体" w:cs="宋体"/>
          <w:snapToGrid/>
          <w:kern w:val="2"/>
          <w:sz w:val="32"/>
          <w:szCs w:val="32"/>
          <w:lang w:val="en-US" w:eastAsia="zh-CN" w:bidi="ar-SA"/>
        </w:rPr>
        <w:t>因公出国(境)费0万元，比上年增(减)0万元，主要原因是无此项预算安排。</w:t>
      </w:r>
    </w:p>
    <w:p>
      <w:pPr>
        <w:widowControl w:val="0"/>
        <w:kinsoku/>
        <w:autoSpaceDE/>
        <w:autoSpaceDN/>
        <w:adjustRightInd/>
        <w:snapToGrid/>
        <w:spacing w:line="240" w:lineRule="auto"/>
        <w:ind w:firstLine="640" w:firstLineChars="200"/>
        <w:jc w:val="both"/>
        <w:textAlignment w:val="auto"/>
        <w:rPr>
          <w:rFonts w:hint="eastAsia" w:ascii="宋体" w:hAnsi="宋体" w:eastAsia="宋体" w:cs="宋体"/>
          <w:snapToGrid/>
          <w:kern w:val="2"/>
          <w:sz w:val="32"/>
          <w:szCs w:val="32"/>
          <w:lang w:val="en-US" w:eastAsia="zh-CN" w:bidi="ar-SA"/>
        </w:rPr>
      </w:pPr>
      <w:r>
        <w:rPr>
          <w:rFonts w:hint="eastAsia" w:ascii="宋体" w:hAnsi="宋体" w:eastAsia="宋体" w:cs="宋体"/>
          <w:snapToGrid/>
          <w:kern w:val="2"/>
          <w:sz w:val="32"/>
          <w:szCs w:val="32"/>
          <w:lang w:val="en-US" w:eastAsia="zh-CN" w:bidi="ar-SA"/>
        </w:rPr>
        <w:t>公务接待费30万元，比上年增(减)10万元，主要原因</w:t>
      </w:r>
    </w:p>
    <w:p>
      <w:pPr>
        <w:widowControl w:val="0"/>
        <w:kinsoku/>
        <w:autoSpaceDE/>
        <w:autoSpaceDN/>
        <w:adjustRightInd/>
        <w:snapToGrid/>
        <w:spacing w:line="240" w:lineRule="auto"/>
        <w:ind w:firstLine="640" w:firstLineChars="200"/>
        <w:jc w:val="both"/>
        <w:textAlignment w:val="auto"/>
        <w:rPr>
          <w:rFonts w:hint="eastAsia" w:ascii="宋体" w:hAnsi="宋体" w:eastAsia="宋体" w:cs="宋体"/>
          <w:snapToGrid/>
          <w:kern w:val="2"/>
          <w:sz w:val="32"/>
          <w:szCs w:val="32"/>
          <w:lang w:val="en-US" w:eastAsia="zh-CN" w:bidi="ar-SA"/>
        </w:rPr>
      </w:pPr>
      <w:r>
        <w:rPr>
          <w:rFonts w:hint="eastAsia" w:ascii="宋体" w:hAnsi="宋体" w:eastAsia="宋体" w:cs="宋体"/>
          <w:snapToGrid/>
          <w:kern w:val="2"/>
          <w:sz w:val="32"/>
          <w:szCs w:val="32"/>
          <w:lang w:val="en-US" w:eastAsia="zh-CN" w:bidi="ar-SA"/>
        </w:rPr>
        <w:t>是:机构合并后部门职能增加，来人来访数量也相应增加导致公务接待费用增加。</w:t>
      </w:r>
    </w:p>
    <w:p>
      <w:pPr>
        <w:widowControl w:val="0"/>
        <w:kinsoku/>
        <w:autoSpaceDE/>
        <w:autoSpaceDN/>
        <w:adjustRightInd/>
        <w:snapToGrid/>
        <w:spacing w:line="240" w:lineRule="auto"/>
        <w:ind w:firstLine="640" w:firstLineChars="200"/>
        <w:jc w:val="both"/>
        <w:textAlignment w:val="auto"/>
        <w:rPr>
          <w:rFonts w:hint="eastAsia" w:ascii="宋体" w:hAnsi="宋体" w:eastAsia="宋体" w:cs="宋体"/>
          <w:snapToGrid/>
          <w:kern w:val="2"/>
          <w:sz w:val="32"/>
          <w:szCs w:val="32"/>
          <w:lang w:val="en-US" w:eastAsia="zh-CN" w:bidi="ar-SA"/>
        </w:rPr>
      </w:pPr>
      <w:r>
        <w:rPr>
          <w:rFonts w:hint="eastAsia" w:ascii="宋体" w:hAnsi="宋体" w:eastAsia="宋体" w:cs="宋体"/>
          <w:snapToGrid/>
          <w:kern w:val="2"/>
          <w:sz w:val="32"/>
          <w:szCs w:val="32"/>
          <w:lang w:val="en-US" w:eastAsia="zh-CN" w:bidi="ar-SA"/>
        </w:rPr>
        <w:t>公务用车运行维护费2.59万元，比上年增(减)2.59万元，</w:t>
      </w:r>
    </w:p>
    <w:p>
      <w:pPr>
        <w:widowControl w:val="0"/>
        <w:kinsoku/>
        <w:autoSpaceDE/>
        <w:autoSpaceDN/>
        <w:adjustRightInd/>
        <w:snapToGrid/>
        <w:spacing w:line="240" w:lineRule="auto"/>
        <w:ind w:firstLine="640" w:firstLineChars="200"/>
        <w:jc w:val="both"/>
        <w:textAlignment w:val="auto"/>
        <w:rPr>
          <w:rFonts w:hint="eastAsia" w:ascii="宋体" w:hAnsi="宋体" w:eastAsia="宋体" w:cs="宋体"/>
          <w:snapToGrid/>
          <w:kern w:val="2"/>
          <w:sz w:val="32"/>
          <w:szCs w:val="32"/>
          <w:lang w:val="en-US" w:eastAsia="zh-CN" w:bidi="ar-SA"/>
        </w:rPr>
      </w:pPr>
      <w:r>
        <w:rPr>
          <w:rFonts w:hint="eastAsia" w:ascii="宋体" w:hAnsi="宋体" w:eastAsia="宋体" w:cs="宋体"/>
          <w:snapToGrid/>
          <w:kern w:val="2"/>
          <w:sz w:val="32"/>
          <w:szCs w:val="32"/>
          <w:lang w:val="en-US" w:eastAsia="zh-CN" w:bidi="ar-SA"/>
        </w:rPr>
        <w:t>主要原因是:根据上年实际支出列入本年预算。</w:t>
      </w:r>
    </w:p>
    <w:p>
      <w:pPr>
        <w:widowControl w:val="0"/>
        <w:kinsoku/>
        <w:autoSpaceDE/>
        <w:autoSpaceDN/>
        <w:adjustRightInd/>
        <w:snapToGrid/>
        <w:spacing w:line="240" w:lineRule="auto"/>
        <w:ind w:firstLine="640" w:firstLineChars="200"/>
        <w:jc w:val="both"/>
        <w:textAlignment w:val="auto"/>
        <w:rPr>
          <w:rFonts w:hint="eastAsia" w:ascii="宋体" w:hAnsi="宋体" w:eastAsia="宋体" w:cs="宋体"/>
          <w:snapToGrid/>
          <w:kern w:val="2"/>
          <w:sz w:val="32"/>
          <w:szCs w:val="32"/>
          <w:lang w:val="en-US" w:eastAsia="zh-CN" w:bidi="ar-SA"/>
        </w:rPr>
      </w:pPr>
      <w:r>
        <w:rPr>
          <w:rFonts w:hint="eastAsia" w:ascii="宋体" w:hAnsi="宋体" w:eastAsia="宋体" w:cs="宋体"/>
          <w:snapToGrid/>
          <w:kern w:val="2"/>
          <w:sz w:val="32"/>
          <w:szCs w:val="32"/>
          <w:lang w:val="en-US" w:eastAsia="zh-CN" w:bidi="ar-SA"/>
        </w:rPr>
        <w:t>公务用车购置费0万元，比上年增(减)0万元，主要原因是:无此项预算安排。</w:t>
      </w:r>
    </w:p>
    <w:p>
      <w:pPr>
        <w:keepNext w:val="0"/>
        <w:keepLines w:val="0"/>
        <w:pageBreakBefore w:val="0"/>
        <w:widowControl/>
        <w:kinsoku w:val="0"/>
        <w:wordWrap/>
        <w:overflowPunct/>
        <w:topLinePunct w:val="0"/>
        <w:autoSpaceDE w:val="0"/>
        <w:autoSpaceDN w:val="0"/>
        <w:bidi w:val="0"/>
        <w:adjustRightInd w:val="0"/>
        <w:snapToGrid w:val="0"/>
        <w:spacing w:before="173" w:line="240" w:lineRule="auto"/>
        <w:ind w:right="49" w:firstLine="599"/>
        <w:textAlignment w:val="baseline"/>
        <w:rPr>
          <w:rFonts w:hint="eastAsia" w:ascii="宋体" w:hAnsi="宋体" w:eastAsia="宋体" w:cs="宋体"/>
          <w:spacing w:val="-15"/>
          <w:w w:val="94"/>
          <w:sz w:val="32"/>
          <w:szCs w:val="32"/>
        </w:rPr>
      </w:pPr>
    </w:p>
    <w:p>
      <w:pPr>
        <w:widowControl w:val="0"/>
        <w:kinsoku/>
        <w:autoSpaceDE/>
        <w:autoSpaceDN/>
        <w:adjustRightInd/>
        <w:snapToGrid/>
        <w:spacing w:line="240" w:lineRule="auto"/>
        <w:jc w:val="center"/>
        <w:textAlignment w:val="auto"/>
        <w:rPr>
          <w:rFonts w:hint="eastAsia" w:ascii="宋体" w:hAnsi="宋体" w:eastAsia="宋体" w:cs="宋体"/>
          <w:snapToGrid/>
          <w:kern w:val="2"/>
          <w:sz w:val="32"/>
          <w:szCs w:val="32"/>
          <w:lang w:val="en-US" w:eastAsia="zh-CN" w:bidi="ar-SA"/>
        </w:rPr>
      </w:pPr>
      <w:r>
        <w:rPr>
          <w:rFonts w:hint="eastAsia" w:ascii="宋体" w:hAnsi="宋体" w:eastAsia="宋体" w:cs="宋体"/>
          <w:snapToGrid/>
          <w:kern w:val="2"/>
          <w:sz w:val="32"/>
          <w:szCs w:val="32"/>
          <w:lang w:val="en-US" w:eastAsia="zh-CN" w:bidi="ar-SA"/>
        </w:rPr>
        <w:t>第四部分   名词解释</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宋体" w:hAnsi="宋体" w:eastAsia="宋体" w:cs="宋体"/>
          <w:spacing w:val="13"/>
          <w:sz w:val="32"/>
          <w:szCs w:val="32"/>
        </w:rPr>
      </w:pPr>
      <w:r>
        <w:rPr>
          <w:rFonts w:hint="eastAsia" w:ascii="宋体" w:hAnsi="宋体" w:eastAsia="宋体" w:cs="宋体"/>
          <w:spacing w:val="13"/>
          <w:sz w:val="32"/>
          <w:szCs w:val="32"/>
        </w:rPr>
        <w:t>一</w:t>
      </w:r>
      <w:r>
        <w:rPr>
          <w:rFonts w:hint="eastAsia" w:ascii="宋体" w:hAnsi="宋体" w:eastAsia="宋体" w:cs="宋体"/>
          <w:b w:val="0"/>
          <w:bCs w:val="0"/>
          <w:spacing w:val="13"/>
          <w:sz w:val="32"/>
          <w:szCs w:val="32"/>
        </w:rPr>
        <w:t>、收入科</w:t>
      </w:r>
      <w:r>
        <w:rPr>
          <w:rFonts w:hint="eastAsia" w:ascii="宋体" w:hAnsi="宋体" w:eastAsia="宋体" w:cs="宋体"/>
          <w:spacing w:val="13"/>
          <w:sz w:val="32"/>
          <w:szCs w:val="32"/>
        </w:rPr>
        <w:t>目</w:t>
      </w:r>
    </w:p>
    <w:p>
      <w:pPr>
        <w:widowControl w:val="0"/>
        <w:kinsoku/>
        <w:autoSpaceDE/>
        <w:autoSpaceDN/>
        <w:adjustRightInd/>
        <w:snapToGrid/>
        <w:spacing w:line="240" w:lineRule="auto"/>
        <w:ind w:firstLine="640" w:firstLineChars="200"/>
        <w:jc w:val="both"/>
        <w:textAlignment w:val="auto"/>
        <w:rPr>
          <w:rFonts w:hint="eastAsia" w:ascii="宋体" w:hAnsi="宋体" w:eastAsia="宋体" w:cs="宋体"/>
          <w:snapToGrid/>
          <w:kern w:val="2"/>
          <w:sz w:val="32"/>
          <w:szCs w:val="32"/>
          <w:lang w:val="en-US" w:eastAsia="zh-CN" w:bidi="ar-SA"/>
        </w:rPr>
      </w:pPr>
      <w:r>
        <w:rPr>
          <w:rFonts w:hint="eastAsia" w:ascii="宋体" w:hAnsi="宋体" w:eastAsia="宋体" w:cs="宋体"/>
          <w:snapToGrid/>
          <w:kern w:val="2"/>
          <w:sz w:val="32"/>
          <w:szCs w:val="32"/>
          <w:lang w:val="en-US" w:eastAsia="zh-CN" w:bidi="ar-SA"/>
        </w:rPr>
        <w:t>各部门结合实际进行解释。</w:t>
      </w:r>
    </w:p>
    <w:p>
      <w:pPr>
        <w:widowControl w:val="0"/>
        <w:kinsoku/>
        <w:autoSpaceDE/>
        <w:autoSpaceDN/>
        <w:adjustRightInd/>
        <w:snapToGrid/>
        <w:spacing w:line="240" w:lineRule="auto"/>
        <w:ind w:firstLine="640" w:firstLineChars="200"/>
        <w:jc w:val="both"/>
        <w:textAlignment w:val="auto"/>
        <w:rPr>
          <w:rFonts w:hint="eastAsia" w:ascii="宋体" w:hAnsi="宋体" w:eastAsia="宋体" w:cs="宋体"/>
          <w:snapToGrid/>
          <w:kern w:val="2"/>
          <w:sz w:val="32"/>
          <w:szCs w:val="32"/>
          <w:lang w:val="en-US" w:eastAsia="zh-CN" w:bidi="ar-SA"/>
        </w:rPr>
      </w:pPr>
      <w:r>
        <w:rPr>
          <w:rFonts w:hint="eastAsia" w:ascii="宋体" w:hAnsi="宋体" w:eastAsia="宋体" w:cs="宋体"/>
          <w:snapToGrid/>
          <w:kern w:val="2"/>
          <w:sz w:val="32"/>
          <w:szCs w:val="32"/>
          <w:lang w:val="en-US" w:eastAsia="zh-CN" w:bidi="ar-SA"/>
        </w:rPr>
        <w:t>(一)财政拨款:指省级财政当年拨付的资金。</w:t>
      </w:r>
    </w:p>
    <w:p>
      <w:pPr>
        <w:widowControl w:val="0"/>
        <w:kinsoku/>
        <w:autoSpaceDE/>
        <w:autoSpaceDN/>
        <w:adjustRightInd/>
        <w:snapToGrid/>
        <w:spacing w:line="240" w:lineRule="auto"/>
        <w:ind w:firstLine="640" w:firstLineChars="200"/>
        <w:jc w:val="both"/>
        <w:textAlignment w:val="auto"/>
        <w:rPr>
          <w:rFonts w:hint="eastAsia" w:ascii="宋体" w:hAnsi="宋体" w:eastAsia="宋体" w:cs="宋体"/>
          <w:snapToGrid/>
          <w:kern w:val="2"/>
          <w:sz w:val="32"/>
          <w:szCs w:val="32"/>
          <w:lang w:val="en-US" w:eastAsia="zh-CN" w:bidi="ar-SA"/>
        </w:rPr>
      </w:pPr>
      <w:r>
        <w:rPr>
          <w:rFonts w:hint="eastAsia" w:ascii="宋体" w:hAnsi="宋体" w:eastAsia="宋体" w:cs="宋体"/>
          <w:snapToGrid/>
          <w:kern w:val="2"/>
          <w:sz w:val="32"/>
          <w:szCs w:val="32"/>
          <w:lang w:val="en-US" w:eastAsia="zh-CN" w:bidi="ar-SA"/>
        </w:rPr>
        <w:t>(二)教育收费资金收入:反映实行专项管理的高中以上学费、住宿费，高校委托培养费，函大、电大、夜大及短训班培训费等教育收费取得的收入。</w:t>
      </w:r>
    </w:p>
    <w:p>
      <w:pPr>
        <w:widowControl w:val="0"/>
        <w:kinsoku/>
        <w:autoSpaceDE/>
        <w:autoSpaceDN/>
        <w:adjustRightInd/>
        <w:snapToGrid/>
        <w:spacing w:line="240" w:lineRule="auto"/>
        <w:ind w:firstLine="640" w:firstLineChars="200"/>
        <w:jc w:val="both"/>
        <w:textAlignment w:val="auto"/>
        <w:rPr>
          <w:rFonts w:hint="eastAsia" w:ascii="宋体" w:hAnsi="宋体" w:eastAsia="宋体" w:cs="宋体"/>
          <w:snapToGrid/>
          <w:kern w:val="2"/>
          <w:sz w:val="32"/>
          <w:szCs w:val="32"/>
          <w:lang w:val="en-US" w:eastAsia="zh-CN" w:bidi="ar-SA"/>
        </w:rPr>
      </w:pPr>
      <w:r>
        <w:rPr>
          <w:rFonts w:hint="eastAsia" w:ascii="宋体" w:hAnsi="宋体" w:eastAsia="宋体" w:cs="宋体"/>
          <w:snapToGrid/>
          <w:kern w:val="2"/>
          <w:sz w:val="32"/>
          <w:szCs w:val="32"/>
          <w:lang w:val="en-US" w:eastAsia="zh-CN" w:bidi="ar-SA"/>
        </w:rPr>
        <w:t>(三)事业收入:指事业单位开展专业业务活动及辅助活动取得的收入。</w:t>
      </w:r>
    </w:p>
    <w:p>
      <w:pPr>
        <w:widowControl w:val="0"/>
        <w:kinsoku/>
        <w:autoSpaceDE/>
        <w:autoSpaceDN/>
        <w:adjustRightInd/>
        <w:snapToGrid/>
        <w:spacing w:line="240" w:lineRule="auto"/>
        <w:ind w:firstLine="640" w:firstLineChars="200"/>
        <w:jc w:val="both"/>
        <w:textAlignment w:val="auto"/>
        <w:rPr>
          <w:rFonts w:hint="eastAsia" w:ascii="宋体" w:hAnsi="宋体" w:eastAsia="宋体" w:cs="宋体"/>
          <w:snapToGrid/>
          <w:kern w:val="2"/>
          <w:sz w:val="32"/>
          <w:szCs w:val="32"/>
          <w:lang w:val="en-US" w:eastAsia="zh-CN" w:bidi="ar-SA"/>
        </w:rPr>
      </w:pPr>
      <w:r>
        <w:rPr>
          <w:rFonts w:hint="eastAsia" w:ascii="宋体" w:hAnsi="宋体" w:eastAsia="宋体" w:cs="宋体"/>
          <w:snapToGrid/>
          <w:kern w:val="2"/>
          <w:sz w:val="32"/>
          <w:szCs w:val="32"/>
          <w:lang w:val="en-US" w:eastAsia="zh-CN" w:bidi="ar-SA"/>
        </w:rPr>
        <w:t>(四)事业单位经营收入:指事业单位在专业业务活动及辅助活动之外开展非独立核算经营活动取得的收入。</w:t>
      </w:r>
    </w:p>
    <w:p>
      <w:pPr>
        <w:widowControl w:val="0"/>
        <w:kinsoku/>
        <w:autoSpaceDE/>
        <w:autoSpaceDN/>
        <w:adjustRightInd/>
        <w:snapToGrid/>
        <w:spacing w:line="240" w:lineRule="auto"/>
        <w:ind w:firstLine="640" w:firstLineChars="200"/>
        <w:jc w:val="both"/>
        <w:textAlignment w:val="auto"/>
        <w:rPr>
          <w:rFonts w:hint="eastAsia" w:ascii="宋体" w:hAnsi="宋体" w:eastAsia="宋体" w:cs="宋体"/>
          <w:snapToGrid/>
          <w:kern w:val="2"/>
          <w:sz w:val="32"/>
          <w:szCs w:val="32"/>
          <w:lang w:val="en-US" w:eastAsia="zh-CN" w:bidi="ar-SA"/>
        </w:rPr>
      </w:pPr>
      <w:r>
        <w:rPr>
          <w:rFonts w:hint="eastAsia" w:ascii="宋体" w:hAnsi="宋体" w:eastAsia="宋体" w:cs="宋体"/>
          <w:snapToGrid/>
          <w:kern w:val="2"/>
          <w:sz w:val="32"/>
          <w:szCs w:val="32"/>
          <w:lang w:val="en-US" w:eastAsia="zh-CN" w:bidi="ar-SA"/>
        </w:rPr>
        <w:t>(五)附属单位上缴收入:反映事业单位附属的独立核算单位按规定标准或比例缴纳的各项收入。包括附属的事业单位上缴的收入和附属的企业上缴的利润等。</w:t>
      </w:r>
    </w:p>
    <w:p>
      <w:pPr>
        <w:widowControl w:val="0"/>
        <w:kinsoku/>
        <w:autoSpaceDE/>
        <w:autoSpaceDN/>
        <w:adjustRightInd/>
        <w:snapToGrid/>
        <w:spacing w:line="240" w:lineRule="auto"/>
        <w:ind w:firstLine="640" w:firstLineChars="200"/>
        <w:jc w:val="both"/>
        <w:textAlignment w:val="auto"/>
        <w:rPr>
          <w:rFonts w:hint="eastAsia" w:ascii="宋体" w:hAnsi="宋体" w:eastAsia="宋体" w:cs="宋体"/>
          <w:snapToGrid/>
          <w:kern w:val="2"/>
          <w:sz w:val="32"/>
          <w:szCs w:val="32"/>
          <w:lang w:val="en-US" w:eastAsia="zh-CN" w:bidi="ar-SA"/>
        </w:rPr>
      </w:pPr>
      <w:r>
        <w:rPr>
          <w:rFonts w:hint="eastAsia" w:ascii="宋体" w:hAnsi="宋体" w:eastAsia="宋体" w:cs="宋体"/>
          <w:snapToGrid/>
          <w:kern w:val="2"/>
          <w:sz w:val="32"/>
          <w:szCs w:val="32"/>
          <w:lang w:val="en-US" w:eastAsia="zh-CN" w:bidi="ar-SA"/>
        </w:rPr>
        <w:t>(六)上级补助收入:反映事业单位从主管部门和上级单位取得的非财政补助收入。</w:t>
      </w:r>
    </w:p>
    <w:p>
      <w:pPr>
        <w:widowControl w:val="0"/>
        <w:kinsoku/>
        <w:autoSpaceDE/>
        <w:autoSpaceDN/>
        <w:adjustRightInd/>
        <w:snapToGrid/>
        <w:spacing w:line="240" w:lineRule="auto"/>
        <w:ind w:firstLine="640" w:firstLineChars="200"/>
        <w:jc w:val="both"/>
        <w:textAlignment w:val="auto"/>
        <w:rPr>
          <w:rFonts w:hint="eastAsia" w:ascii="宋体" w:hAnsi="宋体" w:eastAsia="宋体" w:cs="宋体"/>
          <w:snapToGrid/>
          <w:kern w:val="2"/>
          <w:sz w:val="32"/>
          <w:szCs w:val="32"/>
          <w:lang w:val="en-US" w:eastAsia="zh-CN" w:bidi="ar-SA"/>
        </w:rPr>
      </w:pPr>
      <w:r>
        <w:rPr>
          <w:rFonts w:hint="eastAsia" w:ascii="宋体" w:hAnsi="宋体" w:eastAsia="宋体" w:cs="宋体"/>
          <w:snapToGrid/>
          <w:kern w:val="2"/>
          <w:sz w:val="32"/>
          <w:szCs w:val="32"/>
          <w:lang w:val="en-US" w:eastAsia="zh-CN" w:bidi="ar-SA"/>
        </w:rPr>
        <w:t>(七)其他收入:指除财政拨款、事业收入、事业单位经营收入等以外的各项收入。</w:t>
      </w:r>
    </w:p>
    <w:p>
      <w:pPr>
        <w:widowControl w:val="0"/>
        <w:kinsoku/>
        <w:autoSpaceDE/>
        <w:autoSpaceDN/>
        <w:adjustRightInd/>
        <w:snapToGrid/>
        <w:spacing w:line="240" w:lineRule="auto"/>
        <w:ind w:firstLine="640" w:firstLineChars="200"/>
        <w:jc w:val="both"/>
        <w:textAlignment w:val="auto"/>
        <w:rPr>
          <w:rFonts w:hint="eastAsia" w:ascii="宋体" w:hAnsi="宋体" w:eastAsia="宋体" w:cs="宋体"/>
          <w:snapToGrid/>
          <w:kern w:val="2"/>
          <w:sz w:val="32"/>
          <w:szCs w:val="32"/>
          <w:lang w:val="en-US" w:eastAsia="zh-CN" w:bidi="ar-SA"/>
        </w:rPr>
      </w:pPr>
      <w:r>
        <w:rPr>
          <w:rFonts w:hint="eastAsia" w:ascii="宋体" w:hAnsi="宋体" w:eastAsia="宋体" w:cs="宋体"/>
          <w:snapToGrid/>
          <w:kern w:val="2"/>
          <w:sz w:val="32"/>
          <w:szCs w:val="32"/>
          <w:lang w:val="en-US" w:eastAsia="zh-CN" w:bidi="ar-SA"/>
        </w:rPr>
        <w:t>(八)使用非财政拨款结余:填列历年滚存的非限定用途的非统计财政拨款结余弥补2022年收支差额的数额。</w:t>
      </w:r>
    </w:p>
    <w:p>
      <w:pPr>
        <w:widowControl w:val="0"/>
        <w:kinsoku/>
        <w:autoSpaceDE/>
        <w:autoSpaceDN/>
        <w:adjustRightInd/>
        <w:snapToGrid/>
        <w:spacing w:line="240" w:lineRule="auto"/>
        <w:ind w:firstLine="640" w:firstLineChars="200"/>
        <w:jc w:val="both"/>
        <w:textAlignment w:val="auto"/>
        <w:rPr>
          <w:rFonts w:hint="eastAsia" w:ascii="宋体" w:hAnsi="宋体" w:eastAsia="宋体" w:cs="宋体"/>
          <w:snapToGrid/>
          <w:kern w:val="2"/>
          <w:sz w:val="32"/>
          <w:szCs w:val="32"/>
          <w:lang w:val="en-US" w:eastAsia="zh-CN" w:bidi="ar-SA"/>
        </w:rPr>
      </w:pPr>
      <w:r>
        <w:rPr>
          <w:rFonts w:hint="eastAsia" w:ascii="宋体" w:hAnsi="宋体" w:eastAsia="宋体" w:cs="宋体"/>
          <w:snapToGrid/>
          <w:kern w:val="2"/>
          <w:sz w:val="32"/>
          <w:szCs w:val="32"/>
          <w:lang w:val="en-US" w:eastAsia="zh-CN" w:bidi="ar-SA"/>
        </w:rPr>
        <w:t>(九)上年结转和结余:填列2021年全部结转和结余的资金数，包括当年结转结余资金和历年滚存结转结余资金。</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宋体" w:hAnsi="宋体" w:eastAsia="宋体" w:cs="宋体"/>
          <w:spacing w:val="13"/>
          <w:sz w:val="32"/>
          <w:szCs w:val="32"/>
        </w:rPr>
      </w:pPr>
      <w:r>
        <w:rPr>
          <w:rFonts w:hint="eastAsia" w:ascii="宋体" w:hAnsi="宋体" w:eastAsia="宋体" w:cs="宋体"/>
          <w:spacing w:val="13"/>
          <w:sz w:val="32"/>
          <w:szCs w:val="32"/>
          <w:lang w:eastAsia="zh-CN"/>
        </w:rPr>
        <w:t>二、</w:t>
      </w:r>
      <w:r>
        <w:rPr>
          <w:rFonts w:hint="eastAsia" w:ascii="宋体" w:hAnsi="宋体" w:eastAsia="宋体" w:cs="宋体"/>
          <w:spacing w:val="13"/>
          <w:sz w:val="32"/>
          <w:szCs w:val="32"/>
        </w:rPr>
        <w:t>支出科目</w:t>
      </w:r>
    </w:p>
    <w:p>
      <w:pPr>
        <w:widowControl w:val="0"/>
        <w:kinsoku/>
        <w:autoSpaceDE/>
        <w:autoSpaceDN/>
        <w:adjustRightInd/>
        <w:snapToGrid/>
        <w:spacing w:line="240" w:lineRule="auto"/>
        <w:ind w:firstLine="640" w:firstLineChars="200"/>
        <w:jc w:val="both"/>
        <w:textAlignment w:val="auto"/>
        <w:rPr>
          <w:rFonts w:hint="eastAsia" w:ascii="宋体" w:hAnsi="宋体" w:eastAsia="宋体" w:cs="宋体"/>
          <w:snapToGrid/>
          <w:kern w:val="2"/>
          <w:sz w:val="32"/>
          <w:szCs w:val="32"/>
          <w:lang w:val="en-US" w:eastAsia="zh-CN" w:bidi="ar-SA"/>
        </w:rPr>
      </w:pPr>
      <w:r>
        <w:rPr>
          <w:rFonts w:hint="eastAsia" w:ascii="宋体" w:hAnsi="宋体" w:eastAsia="宋体" w:cs="宋体"/>
          <w:snapToGrid/>
          <w:kern w:val="2"/>
          <w:sz w:val="32"/>
          <w:szCs w:val="32"/>
          <w:lang w:val="en-US" w:eastAsia="zh-CN" w:bidi="ar-SA"/>
        </w:rPr>
        <w:t>对部门预算中涉及的支出功能分类科目(明细到项级)，结合部门实际，参照《2022年政府收支分类科目》的规范说明进行解释。</w:t>
      </w:r>
    </w:p>
    <w:p>
      <w:pPr>
        <w:keepNext w:val="0"/>
        <w:keepLines w:val="0"/>
        <w:pageBreakBefore w:val="0"/>
        <w:widowControl/>
        <w:kinsoku w:val="0"/>
        <w:wordWrap/>
        <w:overflowPunct/>
        <w:topLinePunct w:val="0"/>
        <w:autoSpaceDE w:val="0"/>
        <w:autoSpaceDN w:val="0"/>
        <w:bidi w:val="0"/>
        <w:adjustRightInd w:val="0"/>
        <w:snapToGrid w:val="0"/>
        <w:spacing w:before="214" w:line="240" w:lineRule="auto"/>
        <w:textAlignment w:val="baseline"/>
        <w:rPr>
          <w:rFonts w:hint="eastAsia" w:ascii="宋体" w:hAnsi="宋体" w:eastAsia="宋体" w:cs="宋体"/>
          <w:b w:val="0"/>
          <w:bCs w:val="0"/>
          <w:spacing w:val="13"/>
          <w:sz w:val="32"/>
          <w:szCs w:val="32"/>
        </w:rPr>
      </w:pPr>
      <w:r>
        <w:rPr>
          <w:rFonts w:hint="eastAsia" w:ascii="宋体" w:hAnsi="宋体" w:eastAsia="宋体" w:cs="宋体"/>
          <w:b w:val="0"/>
          <w:bCs w:val="0"/>
          <w:spacing w:val="13"/>
          <w:sz w:val="32"/>
          <w:szCs w:val="32"/>
        </w:rPr>
        <w:t>三、部门涉及的专业名词</w:t>
      </w:r>
    </w:p>
    <w:p>
      <w:pPr>
        <w:widowControl w:val="0"/>
        <w:kinsoku/>
        <w:autoSpaceDE/>
        <w:autoSpaceDN/>
        <w:adjustRightInd/>
        <w:snapToGrid/>
        <w:spacing w:line="240" w:lineRule="auto"/>
        <w:ind w:firstLine="640" w:firstLineChars="200"/>
        <w:jc w:val="both"/>
        <w:textAlignment w:val="auto"/>
        <w:rPr>
          <w:rFonts w:hint="eastAsia" w:ascii="仿宋_GB2312" w:hAnsi="Times New Roman" w:eastAsia="仿宋_GB2312" w:cs="Times New Roman"/>
          <w:snapToGrid/>
          <w:kern w:val="2"/>
          <w:sz w:val="32"/>
          <w:szCs w:val="32"/>
          <w:lang w:val="en-US" w:eastAsia="zh-CN" w:bidi="ar-SA"/>
        </w:rPr>
      </w:pPr>
      <w:r>
        <w:rPr>
          <w:rFonts w:hint="eastAsia" w:ascii="宋体" w:hAnsi="宋体" w:eastAsia="宋体" w:cs="宋体"/>
          <w:snapToGrid/>
          <w:kern w:val="2"/>
          <w:sz w:val="32"/>
          <w:szCs w:val="32"/>
          <w:lang w:val="en-US" w:eastAsia="zh-CN" w:bidi="ar-SA"/>
        </w:rPr>
        <w:t>由部门结合实际填写。</w:t>
      </w:r>
    </w:p>
    <w:sectPr>
      <w:pgSz w:w="11900" w:h="16820"/>
      <w:pgMar w:top="1429" w:right="1647" w:bottom="1319" w:left="1539" w:header="0" w:footer="109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6021ED4"/>
    <w:rsid w:val="06E32D2F"/>
    <w:rsid w:val="0C44594F"/>
    <w:rsid w:val="0EAC50D3"/>
    <w:rsid w:val="151C7F2D"/>
    <w:rsid w:val="180A0D7A"/>
    <w:rsid w:val="1B5C2901"/>
    <w:rsid w:val="28B74E8B"/>
    <w:rsid w:val="2DA74F8B"/>
    <w:rsid w:val="325D7BAC"/>
    <w:rsid w:val="36FE1544"/>
    <w:rsid w:val="37AD49B3"/>
    <w:rsid w:val="43143C17"/>
    <w:rsid w:val="474E6296"/>
    <w:rsid w:val="476D2917"/>
    <w:rsid w:val="5092302E"/>
    <w:rsid w:val="535A3AA7"/>
    <w:rsid w:val="559419D2"/>
    <w:rsid w:val="5AF95F79"/>
    <w:rsid w:val="5CEE1DB8"/>
    <w:rsid w:val="5FE93BAA"/>
    <w:rsid w:val="60261D8F"/>
    <w:rsid w:val="632A0AAF"/>
    <w:rsid w:val="66EE1556"/>
    <w:rsid w:val="6A161E4A"/>
    <w:rsid w:val="6C0006DE"/>
    <w:rsid w:val="79776C40"/>
    <w:rsid w:val="7D067899"/>
    <w:rsid w:val="7D1608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24</TotalTime>
  <ScaleCrop>false</ScaleCrop>
  <LinksUpToDate>false</LinksUpToDate>
  <Application>WPS Office_11.1.0.11365_F1E327BC-269C-435d-A152-05C5408002CA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心远地偏</cp:lastModifiedBy>
  <dcterms:modified xsi:type="dcterms:W3CDTF">2022-03-08T01:34:03Z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2052-11.1.0.11365</vt:lpwstr>
  </property>
  <property fmtid="{D5CDD505-2E9C-101B-9397-08002B2CF9AE}" pid="5" name="ICV">
    <vt:lpwstr>DCD23F7929B748DF8211AEDE5EB1EE15</vt:lpwstr>
  </property>
</Properties>
</file>