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B24C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44"/>
          <w:szCs w:val="44"/>
          <w:u w:val="none"/>
        </w:rPr>
      </w:pP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2024年浮梁县民生十件事任务完成情况汇总表</w:t>
      </w:r>
    </w:p>
    <w:tbl>
      <w:tblPr>
        <w:tblStyle w:val="13"/>
        <w:tblW w:w="15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9"/>
        <w:gridCol w:w="954"/>
        <w:gridCol w:w="2246"/>
        <w:gridCol w:w="877"/>
        <w:gridCol w:w="1062"/>
        <w:gridCol w:w="1307"/>
        <w:gridCol w:w="6554"/>
        <w:gridCol w:w="835"/>
        <w:gridCol w:w="1126"/>
      </w:tblGrid>
      <w:tr w14:paraId="3500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B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民生实事事项</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B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工作任务和要求</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E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牵头</w:t>
            </w:r>
          </w:p>
          <w:p w14:paraId="7D653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领导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F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牵头单位</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责任单位</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4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进展情况</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存在</w:t>
            </w:r>
          </w:p>
          <w:p w14:paraId="49AC7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问题</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8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完成情况</w:t>
            </w:r>
          </w:p>
        </w:tc>
      </w:tr>
      <w:tr w14:paraId="516B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154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DC4819">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一、浮梁县十件民生实事。</w:t>
            </w:r>
          </w:p>
        </w:tc>
      </w:tr>
      <w:tr w14:paraId="5678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BC76">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BD82">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新增500个充电桩</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AB23">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在全县范围内新增建设500个充电桩，提高充电设施的普及性，满足新能源电动车车主充电需求。</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F9A4">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段铖松</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D5A9">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县发改委</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72B9">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浮梁投控集团</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B973">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托浮梁投资控股集团有限公司建设和运营的“浮梁县城区新能源充电桩建设一期项目”，在全县各乡镇、各行政事业单位、交通流量聚集区、大型乡村及旅游重点区域建设充电桩项目，截至目前，我县共计新增充电桩车位1346个，其中个人充电桩车位799个，公共充电桩车位547个（330个投入运营，217个正在建设中）。</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D09D">
            <w:pPr>
              <w:keepNext w:val="0"/>
              <w:keepLines w:val="0"/>
              <w:pageBreakBefore w:val="0"/>
              <w:kinsoku/>
              <w:wordWrap/>
              <w:overflowPunct/>
              <w:topLinePunct w:val="0"/>
              <w:bidi w:val="0"/>
              <w:snapToGrid/>
              <w:spacing w:line="360" w:lineRule="exact"/>
              <w:jc w:val="left"/>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7E00">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3C12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51"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B6C4">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AE89">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物业服务规范管理提升行动</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7830">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全县已实施物业管理的小区开展物业服务质效提升行动，通过建立共管账户，小区实行“点单式”服务，实行季度考评，依据考评结果按比例拨付物业费，从而搭建物业企业与业主之间信任的桥梁，增强居民幸福指数，建立和完善质价相符的物业服务市场机制。每年对物业企业进行星级评定，依据考核办法进行奖励。</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080A">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曹火根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6FA2">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0F17">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各有关乡（镇）人民政府</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84D0">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今年以来成立了由县政府分管领导为组长，10个相关职能单位为成员的物业服务质效提升工作专班，主要采取设立共管账户、实行代扣代收、推行"点单式"服务、组织季度考评及考评结果运用等十项强有力的工作措施，为便于推行"点单式"服务，制定了《浮梁县普通住宅小区物业服务分类指导标准及收费参考价格》,前期根据物业企业、业主委员会自愿申请情况在我县住宅小区选出4个物管小区（即：绿锦翡翠城、瓷都名府、金域蓝湾和荣翔庭苑）开展试点，并由县住建局及城市社区管委会牵头，各质效提升行动成员单位选派工作人员，组建4个工作专班，分别负责4个试点小区，待试点小区运行成熟后，分步在全县推广。进展情况为：目前4个小区试点工作正在稳步推进。一是前期实施准备阶段中择优选择办理银行、协调建立代收平台、开设共管账户、选定4个试点区、工作动员等相关工作内容均已完成。二是目前试点实施阶段向业主发放物业服务质效提升协助告知书（一户一码，可扫码支付物业费）4个试点小区已全面完成。共计签字确认发放告知书1583户，社区及物业公司正在指导业主通过扣款或者扫码支付的方式缴纳物业费至共管账户，截止12月，共管账户共代收物业费约50.5万元。近几个月来，经过物业质效提升领导小组进一步加大推进力度，同时把符合物业质效提升条件的16个小区纳入共管账户范围，累计共管账户的小区达20个，今年基本实现物业服务质效提升范围成熟区全覆盖。。</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50D1">
            <w:pPr>
              <w:keepNext w:val="0"/>
              <w:keepLines w:val="0"/>
              <w:pageBreakBefore w:val="0"/>
              <w:kinsoku/>
              <w:wordWrap/>
              <w:overflowPunct/>
              <w:topLinePunct w:val="0"/>
              <w:bidi w:val="0"/>
              <w:snapToGrid/>
              <w:spacing w:line="360" w:lineRule="exact"/>
              <w:jc w:val="left"/>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C526">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6444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8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DEE0">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96D4">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实施“5+2”就业之家</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0FE5">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建成1家县级就业服务平台，为企业和劳动者提供就业需求摸排、就业岗位筹集、就业供需匹配、职业技能培训、就业援助帮扶、就业创业指导服务等就业创业服务，新增城镇就业2650人。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FDE0">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段铖松</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8042">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县人社局</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9653">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县就业创业中心</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E4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按照构建城区15分钟就业服务圈和农村15公里就业服务网的要求，对网点位置进行统筹规划，合理布局。浮梁县目前建设有县本级、浮梁产业园区、16个乡镇及33个村（社区）共51家就业之家，为劳动者及企业提供政策咨询、信息发布、职业培训及创业等服务，做好劳动力资源调查、就业援助及重点就业群体及用人单位需求调查工作，积极完善就业公共服务体系，着力解决结构性就业矛盾。目前浮梁县就业之家线上注册企业322家，发布岗位信息总数1200条，招聘总人数5789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1.县级“5+2就业之家”创新推出“推荐官+微短剧”项目，自项目启动以来，成功制作了《趣味求职》、《我要双休》等23部微短剧。这些微短剧在各大短视频平台上的总播放量达到了11万次。就业“推荐官”直播17场，点对点做职业指导，并推送就业信息，吸引5350名求职者参与，帮助近800人成功就业。通过对比参与项目前后的求职者数据，我们发现参与项目的求职者获得面试邀请的比例提高了10%，最终成功就业的比例提高了15%，推动了我县劳动者高质量充分就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为更大程度发挥“5+2就业之家”的作用，切实解决人民群众找工作难，找好工作难，信息闭塞等问题。积极推进江西省浮梁县勒功乡就业之家与安徽省祁门县闪里镇及箬坑乡为民服务中心签订《关于推进赣皖边界劳务就业合作协议》，共同促进边界地区高质量充分就业，更好保障和改善两地间的民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通过在公交站台发布就业之家宣传广告及在公交车身印制广告等方式扩大在“5+2就业之家”基层群众中的知晓度，让就业之家工作的延伸能直达末梢。为各乡镇印发宣传海报，要求基层就业之家服务人员在人口聚集区域张贴，扩大宣传面。</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546E">
            <w:pPr>
              <w:keepNext w:val="0"/>
              <w:keepLines w:val="0"/>
              <w:pageBreakBefore w:val="0"/>
              <w:kinsoku/>
              <w:wordWrap/>
              <w:overflowPunct/>
              <w:topLinePunct w:val="0"/>
              <w:bidi w:val="0"/>
              <w:snapToGrid/>
              <w:spacing w:line="360" w:lineRule="exact"/>
              <w:jc w:val="center"/>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6DB3">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5F4E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5"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5160">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5112">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改扩建三小分校和新建一小综合楼</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C821">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新建三小分校（旧城小学）教学楼，新增200个学位；新建一小综合楼，新增300个学位。 </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5F21">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黄晓红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B2AE">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县教体局</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6020">
            <w:pPr>
              <w:keepNext w:val="0"/>
              <w:keepLines w:val="0"/>
              <w:pageBreakBefore w:val="0"/>
              <w:kinsoku/>
              <w:wordWrap/>
              <w:overflowPunct/>
              <w:topLinePunct w:val="0"/>
              <w:bidi w:val="0"/>
              <w:snapToGrid/>
              <w:spacing w:line="360" w:lineRule="exact"/>
              <w:jc w:val="center"/>
              <w:rPr>
                <w:rFonts w:hint="eastAsia" w:ascii="仿宋_GB2312" w:hAnsi="宋体" w:eastAsia="仿宋_GB2312" w:cs="仿宋_GB2312"/>
                <w:i w:val="0"/>
                <w:iCs w:val="0"/>
                <w:color w:val="000000"/>
                <w:sz w:val="24"/>
                <w:szCs w:val="24"/>
                <w:u w:val="none"/>
              </w:rPr>
            </w:pP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C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浮梁三小旧城分校项目：2023年11月29日竣工，2024年2月投入使用。总建筑面积为658平方米，总投资180万元。浮梁一小启智楼项目：2024年3月8日启智楼项目开工，截止目前启智楼工程正常封顶，一、二、三层内部完成装修和水、电安装，2025年招生投入使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B3A2">
            <w:pPr>
              <w:keepNext w:val="0"/>
              <w:keepLines w:val="0"/>
              <w:pageBreakBefore w:val="0"/>
              <w:kinsoku/>
              <w:wordWrap/>
              <w:overflowPunct/>
              <w:topLinePunct w:val="0"/>
              <w:bidi w:val="0"/>
              <w:snapToGrid/>
              <w:spacing w:line="360" w:lineRule="exact"/>
              <w:jc w:val="left"/>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4AC5">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7091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7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62A5">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9F7">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车田至中洲公路20公里改造提升</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8B19">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完成车田至中洲公路20公里改造提升，便于群众出行。</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7349">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  飞</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0AE0">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1BA">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各有关乡（镇）人民政府</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74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于2024年1月底完成招投标工作，目前车中线路基、桥梁、涵洞、浆砌片石挡土墙、混凝土挡土墙、级配碎石基层、水泥稳定基层、沥青路面、混凝土排水沟、变更后新增生态箱防护工程、路基培土、波形护栏防护工程全部完工。截止11月底，车田至中洲公路20公里公路改造提升项目已完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60E9">
            <w:pPr>
              <w:keepNext w:val="0"/>
              <w:keepLines w:val="0"/>
              <w:pageBreakBefore w:val="0"/>
              <w:kinsoku/>
              <w:wordWrap/>
              <w:overflowPunct/>
              <w:topLinePunct w:val="0"/>
              <w:bidi w:val="0"/>
              <w:snapToGrid/>
              <w:spacing w:line="360" w:lineRule="exact"/>
              <w:jc w:val="center"/>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18FA">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7159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B50F">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D63">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口袋公园建设</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8E7E">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新建1个朱家港社区公园和1个乌珠段口袋公园</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E00F">
            <w:pPr>
              <w:keepNext w:val="0"/>
              <w:keepLines w:val="0"/>
              <w:pageBreakBefore w:val="0"/>
              <w:kinsoku/>
              <w:wordWrap/>
              <w:overflowPunct/>
              <w:topLinePunct w:val="0"/>
              <w:bidi w:val="0"/>
              <w:snapToGrid/>
              <w:spacing w:line="360" w:lineRule="exact"/>
              <w:jc w:val="center"/>
              <w:rPr>
                <w:rFonts w:hint="eastAsia" w:ascii="仿宋_GB2312" w:hAnsi="宋体" w:eastAsia="仿宋_GB2312" w:cs="仿宋_GB2312"/>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4B8">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县城管局</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C59F">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浮梁镇人民政府</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1B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口袋公园项目基本情况根据县政府2024年度民生实事计划，我局拟建口袋公园2座，初步选址为乌珠段安置地路口及朱家港安置地内空闲地。因乌珠段安置地口袋公园选址问题更换选址为大石口。朱家港安置地口袋公园建设面积约800平方米，预计总投资30万元。为确保口袋公园建设有序推进，县城管局协同社区、村委会、自规局和建设局，对县城内多处潜在地块进行了详细比对和筛选，确定位于县城中心朱家港安置地一处闲置地块作为口袋公园的选址，并积极与社区和村委会沟通，广泛征求居民意见，了解居民的需求，确保规划方案符合实际情况和居民意愿。确定选址后，县自规局测量队对地块进行场地勘测和现状调研，由第三方公司完成口袋公园的最终设计方案，包含设计规划平面图、效果图、功能分区、植物配置以及配套设施的布置等，经测量核实符合公园设计标准。口袋公园已于10月30日开工，截止于12月9日已完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4238">
            <w:pPr>
              <w:keepNext w:val="0"/>
              <w:keepLines w:val="0"/>
              <w:pageBreakBefore w:val="0"/>
              <w:kinsoku/>
              <w:wordWrap/>
              <w:overflowPunct/>
              <w:topLinePunct w:val="0"/>
              <w:bidi w:val="0"/>
              <w:snapToGrid/>
              <w:spacing w:line="360" w:lineRule="exact"/>
              <w:jc w:val="left"/>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4ED">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7BD2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E6C">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19A6">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建设智慧医疗系统，提升基层诊疗服务管理水平</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9B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依托江西省电子政务云，利用电子政务外网和省医保专线等资源，建设一朵云、一张网、一套应用平台，联通省市县乡村五级智慧医疗系统，提升基层诊疗、药品购置等服务智慧管理水平。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F025">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黄晓红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7F98">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县卫健委</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C52E">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各乡（镇）人民政府</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0D1C">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去年全县列入全省基层人工智能辅助智慧医疗系统建设工作试点以来，坚持高位推动，一手抓系统建设，一手抓推广运用，推动试点工作取得不错成效。2023年11月，18家乡镇卫生院完成新系统的上线，2024年6月全县205家村卫生室全部上线运行。</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07C">
            <w:pPr>
              <w:keepNext w:val="0"/>
              <w:keepLines w:val="0"/>
              <w:pageBreakBefore w:val="0"/>
              <w:kinsoku/>
              <w:wordWrap/>
              <w:overflowPunct/>
              <w:topLinePunct w:val="0"/>
              <w:bidi w:val="0"/>
              <w:snapToGrid/>
              <w:spacing w:line="360" w:lineRule="exact"/>
              <w:jc w:val="center"/>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040">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4BFD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15"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3E2">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0FC1">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新(改)建1500个户厕</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44CD">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完成新改(建)户厕1500个，新建乡村标准化公厕5个。</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ABE5">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刘继莲</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D3BB">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0D98">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各乡（镇）人民政府</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72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目前，正组织全面开展改厕意愿摸底，自下而上提出改厕计划，确定改厕对象，待市农业农村局确定我县2024年度中央改厕资金额度后，再制定出台我县今年厕所革命工作实施方案。今年改厕工作的主要思路：1.把农村改厕与“四融一共”和美乡村建设相结合，示范村优先推进农村改厕，整村推进，打造统一标准的示范户厕，以示范带动推进全县规范化改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2.对整村推进行政村以外有改厕意愿和需求的农户，只要农户提出申请，一律满足；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以农村社区综合服务中心、文化活动中心、中小学、集贸市场等公共场所以及中心村等流动人口较集中区域为重点，推进农村公共厕所建设，如果资金允许将增加农村公厕建设数量。全县18个“四融一共”示范村（约6200户）预计改厕数量在2000个左右，新农村建设村点（共4030户）改厕预计在500个左右，预计全县全年能完成改厕2500个左右，新建农村公厕8个左右。截止12月初完成1417个（任务完成率94.15%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24F">
            <w:pPr>
              <w:keepNext w:val="0"/>
              <w:keepLines w:val="0"/>
              <w:pageBreakBefore w:val="0"/>
              <w:kinsoku/>
              <w:wordWrap/>
              <w:overflowPunct/>
              <w:topLinePunct w:val="0"/>
              <w:bidi w:val="0"/>
              <w:snapToGrid/>
              <w:spacing w:line="360" w:lineRule="exact"/>
              <w:jc w:val="left"/>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4A02">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3DD8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7550">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FB83">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湘湖镇北安水厂新建工程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F2B">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在湘湖镇北安村新建一座设计日供水400吨的水厂，保障北安、长源两村近3000人安全稳定供水。</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6DA4">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刘继莲</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EFE4">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县水利局</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8893">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湘湖镇人民政府</w:t>
            </w: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D359">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安水厂位于湘湖镇北安村内，占地面积1.5亩，取水水源为南河。该工程设计日供水400吨，可满足3051人的用水需求，主要建设内容包括新建取水设施1处、新建厂房1处、新建配水主管12.67公里、村内管网11.78公里等，工程设计总投资920万元。截至2024年10月底，水厂厂房、取水口、取水和输水主管网均已完成，正在根据农户需求，进行入户挂表安装自来水。</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F4E">
            <w:pPr>
              <w:keepNext w:val="0"/>
              <w:keepLines w:val="0"/>
              <w:pageBreakBefore w:val="0"/>
              <w:kinsoku/>
              <w:wordWrap/>
              <w:overflowPunct/>
              <w:topLinePunct w:val="0"/>
              <w:bidi w:val="0"/>
              <w:snapToGrid/>
              <w:spacing w:line="360" w:lineRule="exact"/>
              <w:jc w:val="left"/>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CCFA">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r w14:paraId="24EF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F5DE">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7F7">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医保一站式结算服务提升</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47E0">
            <w:pPr>
              <w:keepNext w:val="0"/>
              <w:keepLines w:val="0"/>
              <w:pageBreakBefore w:val="0"/>
              <w:widowControl/>
              <w:suppressLineNumbers w:val="0"/>
              <w:kinsoku/>
              <w:wordWrap/>
              <w:overflowPunct/>
              <w:topLinePunct w:val="0"/>
              <w:bidi w:val="0"/>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建立浮梁县参保人员零星报销“一站式”结算全覆盖模式，即零星报销只需提供一份申请材料，基本医疗保险、大病补充医疗保险、医疗救助三条保障线一次性享受，建立参保人员实时跟踪报销全流程跟踪。</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BA7A">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黄晓红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AA98">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县医保局</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90D0">
            <w:pPr>
              <w:keepNext w:val="0"/>
              <w:keepLines w:val="0"/>
              <w:pageBreakBefore w:val="0"/>
              <w:kinsoku/>
              <w:wordWrap/>
              <w:overflowPunct/>
              <w:topLinePunct w:val="0"/>
              <w:bidi w:val="0"/>
              <w:snapToGrid/>
              <w:spacing w:line="360" w:lineRule="exact"/>
              <w:jc w:val="center"/>
              <w:rPr>
                <w:rFonts w:hint="eastAsia" w:ascii="仿宋_GB2312" w:hAnsi="宋体" w:eastAsia="仿宋_GB2312" w:cs="仿宋_GB2312"/>
                <w:i w:val="0"/>
                <w:iCs w:val="0"/>
                <w:color w:val="000000"/>
                <w:sz w:val="24"/>
                <w:szCs w:val="24"/>
                <w:u w:val="none"/>
              </w:rPr>
            </w:pPr>
          </w:p>
        </w:tc>
        <w:tc>
          <w:tcPr>
            <w:tcW w:w="6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C79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建设OCR智能扫描系统，提高工作效率。2024年7月1日，上线智能零星报销扫描系统（简称OCR系统），此系统建设的意义在于进一步提升医保零星报销一站式结算的工作效率，原来工作人员每受理一单零星报销材料整改审核过程需要耗时1个小时，现在由原来的手工录入转变为智能扫描审核录入后，每单审核仅需20分钟，极大地提高了医保工作效率和智能审核录入的精准性。目前，共受理了854人次，医保基金支付364.18万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是建设0SS全流程跟踪系统，实现全流程跟踪查询。2024年9月4日，上线0SS零星报销全流程跟踪系统，让老百姓感受到医保的透明性。OSS系统分为微信群众服务端、医保部门管理端。微信群众端涵盖报销业务处理、医保政策宣传、民情民意收集三大版块，无需下载APP，关注“浮梁医保”微信公众号后，点击快捷键进入一站式服务网页，即可以实现报销登记、报销进度查询全流程跟踪，还可以进行医保政策查询、办事流程查询，提交意见建议反馈；医保部门管理端，工作人员线上对参保群众报销材料进行预审核，对材料缺少的群众进行补充提醒，无需群众来回跑腿，对材料齐全的群众进行下个报销环节，在报销完成后通过OSS系统以短信形式告知群众报销金额，如基本医疗保险、大病报销、医疗救助等信息。同时，工作人员根据老百姓报销的材料进行数据分析，对符合门诊慢特病范畴的老百姓进行短信主动提醒，告知可提供相关材料办理门诊慢特病证，享受相关待遇。目前已经为2000余人次群众提供了短信提醒服务，已对收到短信和自主查询的参保的200余名群众进行电话回访和现场回访，获得群众高度认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503D">
            <w:pPr>
              <w:keepNext w:val="0"/>
              <w:keepLines w:val="0"/>
              <w:pageBreakBefore w:val="0"/>
              <w:kinsoku/>
              <w:wordWrap/>
              <w:overflowPunct/>
              <w:topLinePunct w:val="0"/>
              <w:bidi w:val="0"/>
              <w:snapToGrid/>
              <w:spacing w:line="360" w:lineRule="exact"/>
              <w:jc w:val="left"/>
              <w:rPr>
                <w:rFonts w:hint="eastAsia" w:ascii="仿宋_GB2312" w:hAnsi="宋体" w:eastAsia="仿宋_GB2312" w:cs="仿宋_GB2312"/>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788">
            <w:pPr>
              <w:keepNext w:val="0"/>
              <w:keepLines w:val="0"/>
              <w:pageBreakBefore w:val="0"/>
              <w:widowControl/>
              <w:suppressLineNumbers w:val="0"/>
              <w:kinsoku/>
              <w:wordWrap/>
              <w:overflowPunct/>
              <w:topLinePunct w:val="0"/>
              <w:bidi w:val="0"/>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已完成</w:t>
            </w:r>
          </w:p>
        </w:tc>
      </w:tr>
    </w:tbl>
    <w:p w14:paraId="5AF7C7F3">
      <w:pPr>
        <w:pStyle w:val="18"/>
        <w:keepNext w:val="0"/>
        <w:keepLines w:val="0"/>
        <w:pageBreakBefore w:val="0"/>
        <w:kinsoku/>
        <w:wordWrap/>
        <w:overflowPunct/>
        <w:topLinePunct w:val="0"/>
        <w:bidi w:val="0"/>
        <w:snapToGrid/>
        <w:spacing w:line="360" w:lineRule="exact"/>
        <w:rPr>
          <w:rFonts w:hint="eastAsia"/>
          <w:sz w:val="24"/>
          <w:szCs w:val="24"/>
        </w:rPr>
      </w:pPr>
    </w:p>
    <w:sectPr>
      <w:footerReference r:id="rId3" w:type="default"/>
      <w:pgSz w:w="16838" w:h="11906" w:orient="landscape"/>
      <w:pgMar w:top="1134" w:right="1134" w:bottom="1134" w:left="1134" w:header="850" w:footer="1417" w:gutter="0"/>
      <w:pgBorders>
        <w:top w:val="none" w:sz="0" w:space="0"/>
        <w:left w:val="none" w:sz="0" w:space="0"/>
        <w:bottom w:val="none" w:sz="0" w:space="0"/>
        <w:right w:val="none" w:sz="0" w:space="0"/>
      </w:pgBorders>
      <w:cols w:space="0" w:num="1"/>
      <w:rtlGutter w:val="0"/>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9748553F-70DE-4F6F-BDA5-268BB58C1F17}"/>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75352F2-EE0A-408A-821D-E631491C6347}"/>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8214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FD873">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4FFD873">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ZTlkYzk3NTk5NGQxMzYxYjlhODEzNDgwMDliNWEifQ=="/>
  </w:docVars>
  <w:rsids>
    <w:rsidRoot w:val="00172A27"/>
    <w:rsid w:val="000A0221"/>
    <w:rsid w:val="002B1AF7"/>
    <w:rsid w:val="002B3557"/>
    <w:rsid w:val="00342123"/>
    <w:rsid w:val="00391398"/>
    <w:rsid w:val="005B2BDF"/>
    <w:rsid w:val="00620CD4"/>
    <w:rsid w:val="00652199"/>
    <w:rsid w:val="006B4D04"/>
    <w:rsid w:val="00810F6F"/>
    <w:rsid w:val="00B6258B"/>
    <w:rsid w:val="00BD0729"/>
    <w:rsid w:val="00E97D9A"/>
    <w:rsid w:val="00EA5D4E"/>
    <w:rsid w:val="00EB23D0"/>
    <w:rsid w:val="0156126F"/>
    <w:rsid w:val="016539DF"/>
    <w:rsid w:val="02825860"/>
    <w:rsid w:val="02C741D5"/>
    <w:rsid w:val="04D05CEB"/>
    <w:rsid w:val="05A963DA"/>
    <w:rsid w:val="05C917A2"/>
    <w:rsid w:val="05CF7C1B"/>
    <w:rsid w:val="072E0AA7"/>
    <w:rsid w:val="086C1887"/>
    <w:rsid w:val="08C07832"/>
    <w:rsid w:val="0A9B1EDA"/>
    <w:rsid w:val="0AFA13CC"/>
    <w:rsid w:val="0C2A3F98"/>
    <w:rsid w:val="0CB042E8"/>
    <w:rsid w:val="0DA058BD"/>
    <w:rsid w:val="0E794767"/>
    <w:rsid w:val="0FF7237E"/>
    <w:rsid w:val="10A2678D"/>
    <w:rsid w:val="11686C87"/>
    <w:rsid w:val="11E93637"/>
    <w:rsid w:val="12E05BC2"/>
    <w:rsid w:val="13072A44"/>
    <w:rsid w:val="1454426D"/>
    <w:rsid w:val="14A95BF0"/>
    <w:rsid w:val="1602744F"/>
    <w:rsid w:val="168D4FBD"/>
    <w:rsid w:val="16CC2E05"/>
    <w:rsid w:val="17650515"/>
    <w:rsid w:val="186E0387"/>
    <w:rsid w:val="18D35332"/>
    <w:rsid w:val="19DC3F9D"/>
    <w:rsid w:val="1B522B5E"/>
    <w:rsid w:val="1CB17D58"/>
    <w:rsid w:val="1CB908AC"/>
    <w:rsid w:val="1CE955F7"/>
    <w:rsid w:val="1D632E00"/>
    <w:rsid w:val="1E4413B6"/>
    <w:rsid w:val="1E9B00A8"/>
    <w:rsid w:val="1EB5185B"/>
    <w:rsid w:val="1F070103"/>
    <w:rsid w:val="1FAD554E"/>
    <w:rsid w:val="20971013"/>
    <w:rsid w:val="21FA1A5B"/>
    <w:rsid w:val="22D369FC"/>
    <w:rsid w:val="24541CB5"/>
    <w:rsid w:val="249C4E4A"/>
    <w:rsid w:val="24ED33BC"/>
    <w:rsid w:val="2510196B"/>
    <w:rsid w:val="252B272B"/>
    <w:rsid w:val="25A71CF8"/>
    <w:rsid w:val="25C02563"/>
    <w:rsid w:val="263537A8"/>
    <w:rsid w:val="26961823"/>
    <w:rsid w:val="26CB6AFF"/>
    <w:rsid w:val="27B32BD6"/>
    <w:rsid w:val="28DC43AF"/>
    <w:rsid w:val="28EF36B9"/>
    <w:rsid w:val="2A0E2346"/>
    <w:rsid w:val="2A257690"/>
    <w:rsid w:val="2A500D37"/>
    <w:rsid w:val="2AFC6642"/>
    <w:rsid w:val="2B021EE1"/>
    <w:rsid w:val="2B25203D"/>
    <w:rsid w:val="2BAD5F9E"/>
    <w:rsid w:val="2BD57578"/>
    <w:rsid w:val="2C4A0F09"/>
    <w:rsid w:val="2E3A5DFF"/>
    <w:rsid w:val="2ED00512"/>
    <w:rsid w:val="2F4A02C4"/>
    <w:rsid w:val="2FA774C5"/>
    <w:rsid w:val="2FE53B49"/>
    <w:rsid w:val="30C6550E"/>
    <w:rsid w:val="312B1A2F"/>
    <w:rsid w:val="320C0799"/>
    <w:rsid w:val="322070BA"/>
    <w:rsid w:val="32C23BC5"/>
    <w:rsid w:val="33274478"/>
    <w:rsid w:val="3454129D"/>
    <w:rsid w:val="351F1A65"/>
    <w:rsid w:val="36064CF0"/>
    <w:rsid w:val="37175F14"/>
    <w:rsid w:val="38463F61"/>
    <w:rsid w:val="3923325A"/>
    <w:rsid w:val="3A2D5DE4"/>
    <w:rsid w:val="3A3B7187"/>
    <w:rsid w:val="3A843CC4"/>
    <w:rsid w:val="3AE8140D"/>
    <w:rsid w:val="3AF13CEA"/>
    <w:rsid w:val="3B907FC7"/>
    <w:rsid w:val="3BBC01CE"/>
    <w:rsid w:val="3CB54E59"/>
    <w:rsid w:val="3CDE1D32"/>
    <w:rsid w:val="3DC079A3"/>
    <w:rsid w:val="3E946E66"/>
    <w:rsid w:val="3EAF3CA0"/>
    <w:rsid w:val="3F126659"/>
    <w:rsid w:val="3F214472"/>
    <w:rsid w:val="3F2C52F0"/>
    <w:rsid w:val="3F675313"/>
    <w:rsid w:val="3FF43934"/>
    <w:rsid w:val="3FF598DF"/>
    <w:rsid w:val="404B79F8"/>
    <w:rsid w:val="40A64B37"/>
    <w:rsid w:val="418764F6"/>
    <w:rsid w:val="418E71B7"/>
    <w:rsid w:val="421538F8"/>
    <w:rsid w:val="42CB3697"/>
    <w:rsid w:val="42D57A4D"/>
    <w:rsid w:val="43E3106F"/>
    <w:rsid w:val="44923C8C"/>
    <w:rsid w:val="47C45F32"/>
    <w:rsid w:val="47CA16E7"/>
    <w:rsid w:val="48313978"/>
    <w:rsid w:val="490A3487"/>
    <w:rsid w:val="491A6989"/>
    <w:rsid w:val="499A72FA"/>
    <w:rsid w:val="49BC176D"/>
    <w:rsid w:val="4A0963DA"/>
    <w:rsid w:val="4B1C090F"/>
    <w:rsid w:val="4C0C69D1"/>
    <w:rsid w:val="4C6836E0"/>
    <w:rsid w:val="4C74152F"/>
    <w:rsid w:val="4CC36B6C"/>
    <w:rsid w:val="4D3F78BE"/>
    <w:rsid w:val="4ED5210E"/>
    <w:rsid w:val="4F764780"/>
    <w:rsid w:val="4F7B17E1"/>
    <w:rsid w:val="4FB862CC"/>
    <w:rsid w:val="518D29ED"/>
    <w:rsid w:val="51953BDB"/>
    <w:rsid w:val="51B178D7"/>
    <w:rsid w:val="51C03533"/>
    <w:rsid w:val="51E062AA"/>
    <w:rsid w:val="51FE7EC6"/>
    <w:rsid w:val="5292254D"/>
    <w:rsid w:val="53B92A73"/>
    <w:rsid w:val="53CC6C4A"/>
    <w:rsid w:val="55472A2C"/>
    <w:rsid w:val="556709D9"/>
    <w:rsid w:val="55A97028"/>
    <w:rsid w:val="563E2D63"/>
    <w:rsid w:val="56E46059"/>
    <w:rsid w:val="56ED315F"/>
    <w:rsid w:val="58005114"/>
    <w:rsid w:val="58114C35"/>
    <w:rsid w:val="597A56F6"/>
    <w:rsid w:val="59C550A6"/>
    <w:rsid w:val="5A89319F"/>
    <w:rsid w:val="5B7C4AB2"/>
    <w:rsid w:val="5C9E5B6C"/>
    <w:rsid w:val="5CA644DC"/>
    <w:rsid w:val="5CE15514"/>
    <w:rsid w:val="5D6E0CD9"/>
    <w:rsid w:val="5DBF7A2C"/>
    <w:rsid w:val="5DC14497"/>
    <w:rsid w:val="5ED61EBE"/>
    <w:rsid w:val="5EDA221B"/>
    <w:rsid w:val="5EDA6E30"/>
    <w:rsid w:val="5F0A0E0B"/>
    <w:rsid w:val="5F1742A8"/>
    <w:rsid w:val="5F585836"/>
    <w:rsid w:val="60011A2A"/>
    <w:rsid w:val="607246D5"/>
    <w:rsid w:val="60E432B1"/>
    <w:rsid w:val="60E73121"/>
    <w:rsid w:val="61BC02FE"/>
    <w:rsid w:val="61EE158C"/>
    <w:rsid w:val="620E49EA"/>
    <w:rsid w:val="62165C60"/>
    <w:rsid w:val="6294694F"/>
    <w:rsid w:val="62A52B40"/>
    <w:rsid w:val="63141A74"/>
    <w:rsid w:val="63BF5E84"/>
    <w:rsid w:val="63EA0AFD"/>
    <w:rsid w:val="65223CBD"/>
    <w:rsid w:val="65664CF9"/>
    <w:rsid w:val="656767D3"/>
    <w:rsid w:val="658550F6"/>
    <w:rsid w:val="66900B95"/>
    <w:rsid w:val="66BB72AA"/>
    <w:rsid w:val="671B2A21"/>
    <w:rsid w:val="671C1427"/>
    <w:rsid w:val="67475299"/>
    <w:rsid w:val="68FD3D38"/>
    <w:rsid w:val="696E6D88"/>
    <w:rsid w:val="6B252A70"/>
    <w:rsid w:val="6B560E7C"/>
    <w:rsid w:val="6C8D2FC3"/>
    <w:rsid w:val="6F132E50"/>
    <w:rsid w:val="6F340D22"/>
    <w:rsid w:val="7051726A"/>
    <w:rsid w:val="70703C30"/>
    <w:rsid w:val="72031631"/>
    <w:rsid w:val="72416B1C"/>
    <w:rsid w:val="74681C20"/>
    <w:rsid w:val="74850E15"/>
    <w:rsid w:val="749D7C41"/>
    <w:rsid w:val="75B9294E"/>
    <w:rsid w:val="75CD61DE"/>
    <w:rsid w:val="75D6384F"/>
    <w:rsid w:val="763D1825"/>
    <w:rsid w:val="77620D9B"/>
    <w:rsid w:val="782A06CF"/>
    <w:rsid w:val="799C7F3C"/>
    <w:rsid w:val="7A141937"/>
    <w:rsid w:val="7A4822D7"/>
    <w:rsid w:val="7B971768"/>
    <w:rsid w:val="7BC938EC"/>
    <w:rsid w:val="7C4D0D3C"/>
    <w:rsid w:val="7CA3440B"/>
    <w:rsid w:val="7D1F76AC"/>
    <w:rsid w:val="7D470F6C"/>
    <w:rsid w:val="7DB472E6"/>
    <w:rsid w:val="7DEB2D7B"/>
    <w:rsid w:val="7EA47CF8"/>
    <w:rsid w:val="CFDB5E17"/>
    <w:rsid w:val="FFF74C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Autospacing="0" w:after="330" w:afterAutospacing="0" w:line="576" w:lineRule="auto"/>
      <w:outlineLvl w:val="0"/>
    </w:pPr>
    <w:rPr>
      <w:rFonts w:eastAsia="方正小标宋简体"/>
      <w:kern w:val="44"/>
      <w:sz w:val="44"/>
    </w:rPr>
  </w:style>
  <w:style w:type="paragraph" w:styleId="5">
    <w:name w:val="heading 3"/>
    <w:basedOn w:val="1"/>
    <w:next w:val="1"/>
    <w:qFormat/>
    <w:uiPriority w:val="0"/>
    <w:pPr>
      <w:keepNext/>
      <w:keepLines/>
      <w:spacing w:before="260" w:beforeAutospacing="0" w:after="260" w:afterAutospacing="0" w:line="413" w:lineRule="auto"/>
      <w:outlineLvl w:val="2"/>
    </w:pPr>
    <w:rPr>
      <w:rFonts w:eastAsia="楷体"/>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spacing w:before="100" w:beforeAutospacing="1" w:after="100" w:afterAutospacing="1"/>
      <w:jc w:val="left"/>
    </w:pPr>
    <w:rPr>
      <w:rFonts w:ascii="宋体" w:hAnsi="宋体" w:eastAsia="宋体" w:cs="宋体"/>
      <w:kern w:val="0"/>
      <w:sz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Indent"/>
    <w:basedOn w:val="1"/>
    <w:qFormat/>
    <w:uiPriority w:val="99"/>
    <w:pPr>
      <w:spacing w:line="300" w:lineRule="auto"/>
      <w:ind w:firstLine="482" w:firstLineChars="200"/>
    </w:pPr>
    <w:rPr>
      <w:rFonts w:ascii="宋体" w:cs="宋体"/>
      <w:kern w:val="0"/>
      <w:sz w:val="24"/>
      <w:szCs w:val="24"/>
      <w:lang w:val="zh-CN"/>
    </w:rPr>
  </w:style>
  <w:style w:type="paragraph" w:styleId="7">
    <w:name w:val="Body Text"/>
    <w:basedOn w:val="1"/>
    <w:next w:val="1"/>
    <w:qFormat/>
    <w:uiPriority w:val="0"/>
    <w:pPr>
      <w:spacing w:after="120"/>
    </w:pPr>
  </w:style>
  <w:style w:type="paragraph" w:styleId="8">
    <w:name w:val="Body Text Indent"/>
    <w:basedOn w:val="1"/>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7"/>
    <w:next w:val="1"/>
    <w:qFormat/>
    <w:uiPriority w:val="0"/>
    <w:pPr>
      <w:ind w:firstLine="420" w:firstLineChars="100"/>
    </w:pPr>
  </w:style>
  <w:style w:type="paragraph" w:styleId="12">
    <w:name w:val="Body Text First Indent 2"/>
    <w:basedOn w:val="8"/>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Hyperlink"/>
    <w:qFormat/>
    <w:uiPriority w:val="0"/>
    <w:rPr>
      <w:color w:val="0000FF"/>
      <w:u w:val="single"/>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BlockQuote"/>
    <w:basedOn w:val="1"/>
    <w:qFormat/>
    <w:uiPriority w:val="0"/>
    <w:pPr>
      <w:ind w:left="1440" w:leftChars="700" w:right="700" w:rightChars="700"/>
      <w:jc w:val="both"/>
      <w:textAlignment w:val="baseline"/>
    </w:pPr>
    <w:rPr>
      <w:rFonts w:ascii="Times New Roman" w:hAnsi="Times New Roman" w:eastAsia="宋体" w:cs="Times New Roman"/>
    </w:rPr>
  </w:style>
  <w:style w:type="character" w:customStyle="1" w:styleId="20">
    <w:name w:val="正文文本 (2)_"/>
    <w:link w:val="21"/>
    <w:qFormat/>
    <w:uiPriority w:val="0"/>
    <w:rPr>
      <w:rFonts w:ascii="黑体" w:hAnsi="黑体" w:eastAsia="黑体" w:cs="黑体"/>
      <w:sz w:val="28"/>
      <w:szCs w:val="28"/>
      <w:u w:val="none"/>
      <w:lang w:val="zh-CN" w:eastAsia="zh-CN" w:bidi="zh-CN"/>
    </w:rPr>
  </w:style>
  <w:style w:type="paragraph" w:customStyle="1" w:styleId="21">
    <w:name w:val="正文文本 (2)"/>
    <w:basedOn w:val="1"/>
    <w:link w:val="20"/>
    <w:qFormat/>
    <w:uiPriority w:val="0"/>
    <w:pPr>
      <w:widowControl w:val="0"/>
      <w:shd w:val="clear" w:color="auto" w:fill="auto"/>
      <w:spacing w:line="599" w:lineRule="exact"/>
      <w:ind w:firstLine="310"/>
    </w:pPr>
    <w:rPr>
      <w:rFonts w:ascii="黑体" w:hAnsi="黑体" w:eastAsia="黑体" w:cs="黑体"/>
      <w:sz w:val="28"/>
      <w:szCs w:val="28"/>
      <w:u w:val="none"/>
      <w:lang w:val="zh-CN" w:eastAsia="zh-CN" w:bidi="zh-CN"/>
    </w:rPr>
  </w:style>
  <w:style w:type="character" w:customStyle="1" w:styleId="22">
    <w:name w:val="font21"/>
    <w:qFormat/>
    <w:uiPriority w:val="0"/>
    <w:rPr>
      <w:rFonts w:hint="eastAsia" w:ascii="宋体" w:hAnsi="宋体" w:eastAsia="宋体" w:cs="宋体"/>
      <w:color w:val="000000"/>
      <w:sz w:val="22"/>
      <w:szCs w:val="22"/>
      <w:u w:val="none"/>
    </w:rPr>
  </w:style>
  <w:style w:type="character" w:customStyle="1" w:styleId="23">
    <w:name w:val="font01"/>
    <w:qFormat/>
    <w:uiPriority w:val="0"/>
    <w:rPr>
      <w:rFonts w:hint="eastAsia" w:ascii="宋体" w:hAnsi="宋体" w:eastAsia="宋体" w:cs="宋体"/>
      <w:color w:val="000000"/>
      <w:sz w:val="22"/>
      <w:szCs w:val="22"/>
      <w:u w:val="none"/>
    </w:rPr>
  </w:style>
  <w:style w:type="paragraph" w:customStyle="1" w:styleId="24">
    <w:name w:val="正文首行缩进 21"/>
    <w:qFormat/>
    <w:uiPriority w:val="2457"/>
    <w:pPr>
      <w:widowControl w:val="0"/>
      <w:spacing w:after="120"/>
      <w:ind w:left="420" w:firstLine="420"/>
      <w:jc w:val="both"/>
    </w:pPr>
    <w:rPr>
      <w:rFonts w:ascii="Times New Roman" w:hAnsi="Times New Roman" w:eastAsia="宋体" w:cs="Times New Roman"/>
      <w:kern w:val="2"/>
      <w:sz w:val="21"/>
      <w:lang w:val="en-US" w:eastAsia="zh-CN" w:bidi="ar-SA"/>
    </w:rPr>
  </w:style>
  <w:style w:type="paragraph" w:customStyle="1" w:styleId="25">
    <w:name w:val="正文文本1"/>
    <w:basedOn w:val="1"/>
    <w:qFormat/>
    <w:uiPriority w:val="0"/>
    <w:pPr>
      <w:widowControl w:val="0"/>
      <w:shd w:val="clear" w:color="auto" w:fill="auto"/>
      <w:spacing w:line="425" w:lineRule="auto"/>
      <w:ind w:firstLine="400"/>
    </w:pPr>
    <w:rPr>
      <w:rFonts w:ascii="宋体" w:hAnsi="宋体" w:eastAsia="宋体" w:cs="宋体"/>
      <w:sz w:val="30"/>
      <w:szCs w:val="30"/>
      <w:u w:val="none"/>
      <w:lang w:val="zh-CN" w:eastAsia="zh-CN" w:bidi="zh-CN"/>
    </w:rPr>
  </w:style>
  <w:style w:type="paragraph" w:customStyle="1" w:styleId="26">
    <w:name w:val="样式1"/>
    <w:basedOn w:val="1"/>
    <w:qFormat/>
    <w:uiPriority w:val="0"/>
    <w:pPr>
      <w:spacing w:line="560" w:lineRule="exact"/>
    </w:pPr>
    <w:rPr>
      <w:rFonts w:ascii="仿宋_GB2312" w:eastAsia="仿宋_GB2312"/>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8092</Words>
  <Characters>8461</Characters>
  <Lines>169</Lines>
  <Paragraphs>47</Paragraphs>
  <TotalTime>77</TotalTime>
  <ScaleCrop>false</ScaleCrop>
  <LinksUpToDate>false</LinksUpToDate>
  <CharactersWithSpaces>8498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2024-01-05T19:11:00Z</dcterms:created>
  <dc:creator>jdzadmin</dc:creator>
  <cp:lastModifiedBy>188----2751</cp:lastModifiedBy>
  <cp:lastPrinted>2024-12-06T03:06:00Z</cp:lastPrinted>
  <dcterms:modified xsi:type="dcterms:W3CDTF">2024-12-25T08:12:44Z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F985FE79A2A245EA9928B3FDADEC0CF8_13</vt:lpwstr>
  </property>
</Properties>
</file>