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D734448">
      <w:pPr>
        <w:spacing w:before="75" w:line="221" w:lineRule="auto"/>
        <w:jc w:val="center"/>
        <w:rPr>
          <w:rFonts w:hint="eastAsia" w:ascii="黑体" w:hAnsi="黑体" w:eastAsia="黑体" w:cs="黑体"/>
          <w:b/>
          <w:bCs/>
          <w:spacing w:val="-4"/>
          <w:sz w:val="28"/>
          <w:szCs w:val="28"/>
          <w:lang w:eastAsia="zh-CN"/>
        </w:rPr>
      </w:pPr>
      <w:bookmarkStart w:id="0" w:name="heading_0"/>
    </w:p>
    <w:p w14:paraId="3D8BF406">
      <w:pPr>
        <w:spacing w:before="75" w:line="221" w:lineRule="auto"/>
        <w:jc w:val="center"/>
        <w:rPr>
          <w:rFonts w:hint="eastAsia" w:ascii="黑体" w:hAnsi="黑体" w:eastAsia="黑体" w:cs="黑体"/>
          <w:b/>
          <w:bCs/>
          <w:spacing w:val="-4"/>
          <w:sz w:val="44"/>
          <w:szCs w:val="44"/>
          <w:lang w:eastAsia="zh-CN"/>
        </w:rPr>
      </w:pPr>
    </w:p>
    <w:p w14:paraId="031659C1">
      <w:pPr>
        <w:spacing w:before="97" w:line="218" w:lineRule="auto"/>
        <w:jc w:val="center"/>
        <w:outlineLvl w:val="0"/>
        <w:rPr>
          <w:rFonts w:ascii="宋体" w:hAnsi="宋体" w:eastAsia="宋体" w:cs="宋体"/>
          <w:sz w:val="44"/>
          <w:szCs w:val="44"/>
        </w:rPr>
      </w:pPr>
      <w:r>
        <w:rPr>
          <w:rFonts w:ascii="宋体" w:hAnsi="宋体" w:eastAsia="宋体" w:cs="宋体"/>
          <w:b/>
          <w:bCs/>
          <w:spacing w:val="-6"/>
          <w:sz w:val="44"/>
          <w:szCs w:val="44"/>
        </w:rPr>
        <w:t>部门评价报告</w:t>
      </w:r>
    </w:p>
    <w:p w14:paraId="6A8DF123">
      <w:pPr>
        <w:pStyle w:val="2"/>
        <w:spacing w:line="274" w:lineRule="auto"/>
        <w:rPr>
          <w:sz w:val="28"/>
          <w:szCs w:val="28"/>
        </w:rPr>
      </w:pPr>
    </w:p>
    <w:p w14:paraId="1ECBA8F0">
      <w:pPr>
        <w:pStyle w:val="2"/>
        <w:spacing w:line="274" w:lineRule="auto"/>
        <w:rPr>
          <w:sz w:val="28"/>
          <w:szCs w:val="28"/>
        </w:rPr>
      </w:pPr>
    </w:p>
    <w:p w14:paraId="626AB8DF">
      <w:pPr>
        <w:pStyle w:val="2"/>
        <w:spacing w:line="274" w:lineRule="auto"/>
        <w:rPr>
          <w:sz w:val="28"/>
          <w:szCs w:val="28"/>
        </w:rPr>
      </w:pPr>
    </w:p>
    <w:p w14:paraId="690A3FA4">
      <w:pPr>
        <w:pStyle w:val="2"/>
        <w:spacing w:line="274" w:lineRule="auto"/>
        <w:rPr>
          <w:sz w:val="28"/>
          <w:szCs w:val="28"/>
        </w:rPr>
      </w:pPr>
    </w:p>
    <w:p w14:paraId="184FA13A">
      <w:pPr>
        <w:pStyle w:val="2"/>
        <w:spacing w:line="274" w:lineRule="auto"/>
        <w:rPr>
          <w:sz w:val="28"/>
          <w:szCs w:val="28"/>
        </w:rPr>
      </w:pPr>
    </w:p>
    <w:p w14:paraId="6FB1D0CF">
      <w:pPr>
        <w:spacing w:before="69" w:line="231" w:lineRule="auto"/>
        <w:ind w:left="1393"/>
        <w:rPr>
          <w:rFonts w:ascii="仿宋" w:hAnsi="仿宋" w:eastAsia="仿宋" w:cs="仿宋"/>
          <w:sz w:val="28"/>
          <w:szCs w:val="28"/>
        </w:rPr>
      </w:pPr>
      <w:r>
        <w:rPr>
          <w:rFonts w:ascii="仿宋" w:hAnsi="仿宋" w:eastAsia="仿宋" w:cs="仿宋"/>
          <w:spacing w:val="14"/>
          <w:sz w:val="28"/>
          <w:szCs w:val="28"/>
        </w:rPr>
        <w:t xml:space="preserve">评价类型：□实施过程评价       </w:t>
      </w:r>
      <w:r>
        <w:rPr>
          <w:rFonts w:ascii="MS Gothic" w:hAnsi="MS Gothic" w:eastAsia="MS Gothic" w:cs="MS Gothic"/>
          <w:spacing w:val="14"/>
          <w:position w:val="-1"/>
          <w:sz w:val="28"/>
          <w:szCs w:val="28"/>
        </w:rPr>
        <w:t>☑</w:t>
      </w:r>
      <w:r>
        <w:rPr>
          <w:rFonts w:ascii="仿宋" w:hAnsi="仿宋" w:eastAsia="仿宋" w:cs="仿宋"/>
          <w:spacing w:val="14"/>
          <w:position w:val="-1"/>
          <w:sz w:val="28"/>
          <w:szCs w:val="28"/>
        </w:rPr>
        <w:t>完成结果评价</w:t>
      </w:r>
    </w:p>
    <w:p w14:paraId="4BD47FB5">
      <w:pPr>
        <w:spacing w:before="5" w:line="221" w:lineRule="auto"/>
        <w:ind w:left="1393"/>
        <w:rPr>
          <w:rFonts w:hint="eastAsia" w:ascii="仿宋" w:hAnsi="仿宋" w:eastAsia="仿宋" w:cs="仿宋"/>
          <w:sz w:val="28"/>
          <w:szCs w:val="28"/>
          <w:lang w:eastAsia="zh-CN"/>
        </w:rPr>
      </w:pPr>
      <w:r>
        <w:rPr>
          <w:rFonts w:ascii="仿宋" w:hAnsi="仿宋" w:eastAsia="仿宋" w:cs="仿宋"/>
          <w:spacing w:val="12"/>
          <w:sz w:val="28"/>
          <w:szCs w:val="28"/>
        </w:rPr>
        <w:t>项目名称：</w:t>
      </w:r>
      <w:r>
        <w:rPr>
          <w:rFonts w:hint="eastAsia" w:ascii="仿宋" w:hAnsi="仿宋" w:eastAsia="仿宋" w:cs="仿宋"/>
          <w:spacing w:val="12"/>
          <w:sz w:val="28"/>
          <w:szCs w:val="28"/>
          <w:lang w:eastAsia="zh-CN"/>
        </w:rPr>
        <w:t>退役安置项目</w:t>
      </w:r>
    </w:p>
    <w:p w14:paraId="37C6646A">
      <w:pPr>
        <w:spacing w:before="38" w:line="220" w:lineRule="auto"/>
        <w:ind w:left="1393"/>
        <w:rPr>
          <w:rFonts w:ascii="仿宋" w:hAnsi="仿宋" w:eastAsia="仿宋" w:cs="仿宋"/>
          <w:sz w:val="28"/>
          <w:szCs w:val="28"/>
        </w:rPr>
      </w:pPr>
      <w:r>
        <w:rPr>
          <w:rFonts w:ascii="仿宋" w:hAnsi="仿宋" w:eastAsia="仿宋" w:cs="仿宋"/>
          <w:spacing w:val="14"/>
          <w:sz w:val="28"/>
          <w:szCs w:val="28"/>
        </w:rPr>
        <w:t>项目单位：浮梁县退</w:t>
      </w:r>
      <w:r>
        <w:rPr>
          <w:rFonts w:hint="eastAsia" w:ascii="仿宋" w:hAnsi="仿宋" w:eastAsia="仿宋" w:cs="仿宋"/>
          <w:spacing w:val="14"/>
          <w:sz w:val="28"/>
          <w:szCs w:val="28"/>
          <w:lang w:eastAsia="zh-CN"/>
        </w:rPr>
        <w:t>役</w:t>
      </w:r>
      <w:r>
        <w:rPr>
          <w:rFonts w:ascii="仿宋" w:hAnsi="仿宋" w:eastAsia="仿宋" w:cs="仿宋"/>
          <w:spacing w:val="14"/>
          <w:sz w:val="28"/>
          <w:szCs w:val="28"/>
        </w:rPr>
        <w:t>军人事务局</w:t>
      </w:r>
    </w:p>
    <w:p w14:paraId="012743FF">
      <w:pPr>
        <w:spacing w:before="29" w:line="220" w:lineRule="auto"/>
        <w:ind w:left="1393"/>
        <w:rPr>
          <w:rFonts w:ascii="仿宋" w:hAnsi="仿宋" w:eastAsia="仿宋" w:cs="仿宋"/>
          <w:sz w:val="28"/>
          <w:szCs w:val="28"/>
        </w:rPr>
      </w:pPr>
      <w:r>
        <w:rPr>
          <w:rFonts w:ascii="仿宋" w:hAnsi="仿宋" w:eastAsia="仿宋" w:cs="仿宋"/>
          <w:spacing w:val="14"/>
          <w:sz w:val="28"/>
          <w:szCs w:val="28"/>
        </w:rPr>
        <w:t>主管部门：浮梁县退</w:t>
      </w:r>
      <w:r>
        <w:rPr>
          <w:rFonts w:hint="eastAsia" w:ascii="仿宋" w:hAnsi="仿宋" w:eastAsia="仿宋" w:cs="仿宋"/>
          <w:spacing w:val="14"/>
          <w:sz w:val="28"/>
          <w:szCs w:val="28"/>
          <w:lang w:eastAsia="zh-CN"/>
        </w:rPr>
        <w:t>役</w:t>
      </w:r>
      <w:r>
        <w:rPr>
          <w:rFonts w:ascii="仿宋" w:hAnsi="仿宋" w:eastAsia="仿宋" w:cs="仿宋"/>
          <w:spacing w:val="14"/>
          <w:sz w:val="28"/>
          <w:szCs w:val="28"/>
        </w:rPr>
        <w:t>军人事务局</w:t>
      </w:r>
    </w:p>
    <w:p w14:paraId="03276FA0">
      <w:pPr>
        <w:spacing w:before="32" w:line="222" w:lineRule="auto"/>
        <w:ind w:left="1393"/>
        <w:rPr>
          <w:rFonts w:ascii="仿宋" w:hAnsi="仿宋" w:eastAsia="仿宋" w:cs="仿宋"/>
          <w:sz w:val="28"/>
          <w:szCs w:val="28"/>
        </w:rPr>
      </w:pPr>
      <w:r>
        <w:rPr>
          <w:rFonts w:ascii="仿宋" w:hAnsi="仿宋" w:eastAsia="仿宋" w:cs="仿宋"/>
          <w:spacing w:val="35"/>
          <w:w w:val="102"/>
          <w:sz w:val="28"/>
          <w:szCs w:val="28"/>
        </w:rPr>
        <w:t>评价时间：202</w:t>
      </w:r>
      <w:r>
        <w:rPr>
          <w:rFonts w:hint="eastAsia" w:ascii="仿宋" w:hAnsi="仿宋" w:eastAsia="仿宋" w:cs="仿宋"/>
          <w:spacing w:val="35"/>
          <w:w w:val="102"/>
          <w:sz w:val="28"/>
          <w:szCs w:val="28"/>
          <w:lang w:val="en-US" w:eastAsia="zh-CN"/>
        </w:rPr>
        <w:t>5</w:t>
      </w:r>
      <w:r>
        <w:rPr>
          <w:rFonts w:ascii="仿宋" w:hAnsi="仿宋" w:eastAsia="仿宋" w:cs="仿宋"/>
          <w:spacing w:val="35"/>
          <w:w w:val="102"/>
          <w:sz w:val="28"/>
          <w:szCs w:val="28"/>
        </w:rPr>
        <w:t>年1月1日至202</w:t>
      </w:r>
      <w:r>
        <w:rPr>
          <w:rFonts w:hint="eastAsia" w:ascii="仿宋" w:hAnsi="仿宋" w:eastAsia="仿宋" w:cs="仿宋"/>
          <w:spacing w:val="35"/>
          <w:w w:val="102"/>
          <w:sz w:val="28"/>
          <w:szCs w:val="28"/>
          <w:lang w:val="en-US" w:eastAsia="zh-CN"/>
        </w:rPr>
        <w:t>5</w:t>
      </w:r>
      <w:r>
        <w:rPr>
          <w:rFonts w:ascii="仿宋" w:hAnsi="仿宋" w:eastAsia="仿宋" w:cs="仿宋"/>
          <w:spacing w:val="35"/>
          <w:w w:val="102"/>
          <w:sz w:val="28"/>
          <w:szCs w:val="28"/>
        </w:rPr>
        <w:t>年12月31日</w:t>
      </w:r>
    </w:p>
    <w:p w14:paraId="354B3C0D">
      <w:pPr>
        <w:spacing w:before="45" w:line="221" w:lineRule="auto"/>
        <w:ind w:left="1393"/>
        <w:rPr>
          <w:rFonts w:ascii="仿宋" w:hAnsi="仿宋" w:eastAsia="仿宋" w:cs="仿宋"/>
          <w:sz w:val="28"/>
          <w:szCs w:val="28"/>
        </w:rPr>
      </w:pPr>
      <w:r>
        <w:rPr>
          <w:rFonts w:ascii="仿宋" w:hAnsi="仿宋" w:eastAsia="仿宋" w:cs="仿宋"/>
          <w:spacing w:val="18"/>
          <w:sz w:val="28"/>
          <w:szCs w:val="28"/>
        </w:rPr>
        <w:t>组织方式：口财政部门</w:t>
      </w:r>
      <w:r>
        <w:rPr>
          <w:rFonts w:ascii="MS Gothic" w:hAnsi="MS Gothic" w:eastAsia="MS Gothic" w:cs="MS Gothic"/>
          <w:spacing w:val="18"/>
          <w:sz w:val="28"/>
          <w:szCs w:val="28"/>
        </w:rPr>
        <w:t>☑</w:t>
      </w:r>
      <w:r>
        <w:rPr>
          <w:rFonts w:ascii="仿宋" w:hAnsi="仿宋" w:eastAsia="仿宋" w:cs="仿宋"/>
          <w:spacing w:val="18"/>
          <w:sz w:val="28"/>
          <w:szCs w:val="28"/>
        </w:rPr>
        <w:t>主管部门</w:t>
      </w:r>
      <w:r>
        <w:rPr>
          <w:rFonts w:ascii="MS Gothic" w:hAnsi="MS Gothic" w:eastAsia="MS Gothic" w:cs="MS Gothic"/>
          <w:spacing w:val="18"/>
          <w:sz w:val="28"/>
          <w:szCs w:val="28"/>
        </w:rPr>
        <w:t>☑</w:t>
      </w:r>
      <w:r>
        <w:rPr>
          <w:rFonts w:ascii="仿宋" w:hAnsi="仿宋" w:eastAsia="仿宋" w:cs="仿宋"/>
          <w:spacing w:val="18"/>
          <w:sz w:val="28"/>
          <w:szCs w:val="28"/>
        </w:rPr>
        <w:t>项目单位</w:t>
      </w:r>
    </w:p>
    <w:p w14:paraId="78372C31">
      <w:pPr>
        <w:spacing w:before="11" w:line="228" w:lineRule="auto"/>
        <w:ind w:left="1393"/>
        <w:rPr>
          <w:rFonts w:ascii="仿宋" w:hAnsi="仿宋" w:eastAsia="仿宋" w:cs="仿宋"/>
          <w:sz w:val="28"/>
          <w:szCs w:val="28"/>
        </w:rPr>
      </w:pPr>
      <w:r>
        <w:rPr>
          <w:rFonts w:ascii="仿宋" w:hAnsi="仿宋" w:eastAsia="仿宋" w:cs="仿宋"/>
          <w:spacing w:val="12"/>
          <w:sz w:val="28"/>
          <w:szCs w:val="28"/>
        </w:rPr>
        <w:t>评价机构：</w:t>
      </w:r>
      <w:r>
        <w:rPr>
          <w:rFonts w:ascii="仿宋" w:hAnsi="仿宋" w:eastAsia="仿宋" w:cs="仿宋"/>
          <w:spacing w:val="65"/>
          <w:sz w:val="28"/>
          <w:szCs w:val="28"/>
        </w:rPr>
        <w:t xml:space="preserve"> </w:t>
      </w:r>
      <w:r>
        <w:rPr>
          <w:rFonts w:ascii="仿宋" w:hAnsi="仿宋" w:eastAsia="仿宋" w:cs="仿宋"/>
          <w:spacing w:val="12"/>
          <w:sz w:val="28"/>
          <w:szCs w:val="28"/>
        </w:rPr>
        <w:t xml:space="preserve">□第三方机构□专家组  </w:t>
      </w:r>
      <w:r>
        <w:rPr>
          <w:rFonts w:ascii="MS Gothic" w:hAnsi="MS Gothic" w:eastAsia="MS Gothic" w:cs="MS Gothic"/>
          <w:spacing w:val="12"/>
          <w:position w:val="-1"/>
          <w:sz w:val="28"/>
          <w:szCs w:val="28"/>
        </w:rPr>
        <w:t>☑</w:t>
      </w:r>
      <w:r>
        <w:rPr>
          <w:rFonts w:ascii="仿宋" w:hAnsi="仿宋" w:eastAsia="仿宋" w:cs="仿宋"/>
          <w:spacing w:val="12"/>
          <w:position w:val="-1"/>
          <w:sz w:val="28"/>
          <w:szCs w:val="28"/>
        </w:rPr>
        <w:t>项目</w:t>
      </w:r>
      <w:r>
        <w:rPr>
          <w:rFonts w:ascii="仿宋" w:hAnsi="仿宋" w:eastAsia="仿宋" w:cs="仿宋"/>
          <w:spacing w:val="11"/>
          <w:position w:val="-1"/>
          <w:sz w:val="28"/>
          <w:szCs w:val="28"/>
        </w:rPr>
        <w:t>单位评价组</w:t>
      </w:r>
    </w:p>
    <w:p w14:paraId="071D1BBC">
      <w:pPr>
        <w:pStyle w:val="2"/>
        <w:spacing w:line="271" w:lineRule="auto"/>
        <w:rPr>
          <w:sz w:val="28"/>
          <w:szCs w:val="28"/>
        </w:rPr>
      </w:pPr>
    </w:p>
    <w:p w14:paraId="59EFB55C">
      <w:pPr>
        <w:pStyle w:val="2"/>
        <w:spacing w:line="271" w:lineRule="auto"/>
        <w:rPr>
          <w:sz w:val="28"/>
          <w:szCs w:val="28"/>
        </w:rPr>
      </w:pPr>
    </w:p>
    <w:p w14:paraId="2EDBD43C">
      <w:pPr>
        <w:pStyle w:val="2"/>
        <w:spacing w:line="272" w:lineRule="auto"/>
        <w:rPr>
          <w:sz w:val="28"/>
          <w:szCs w:val="28"/>
        </w:rPr>
      </w:pPr>
    </w:p>
    <w:p w14:paraId="64B82BF4">
      <w:pPr>
        <w:pStyle w:val="2"/>
        <w:spacing w:line="272" w:lineRule="auto"/>
        <w:rPr>
          <w:sz w:val="28"/>
          <w:szCs w:val="28"/>
        </w:rPr>
      </w:pPr>
    </w:p>
    <w:p w14:paraId="048D60B5">
      <w:pPr>
        <w:pStyle w:val="2"/>
        <w:spacing w:line="272" w:lineRule="auto"/>
        <w:rPr>
          <w:sz w:val="28"/>
          <w:szCs w:val="28"/>
        </w:rPr>
      </w:pPr>
    </w:p>
    <w:p w14:paraId="7C186B1D">
      <w:pPr>
        <w:pStyle w:val="2"/>
        <w:spacing w:line="272" w:lineRule="auto"/>
        <w:rPr>
          <w:sz w:val="28"/>
          <w:szCs w:val="28"/>
        </w:rPr>
      </w:pPr>
    </w:p>
    <w:p w14:paraId="62E5146F">
      <w:pPr>
        <w:spacing w:before="68" w:line="221" w:lineRule="auto"/>
        <w:ind w:left="1393" w:firstLine="3420" w:firstLineChars="1000"/>
        <w:rPr>
          <w:rFonts w:ascii="仿宋" w:hAnsi="仿宋" w:eastAsia="仿宋" w:cs="仿宋"/>
          <w:sz w:val="28"/>
          <w:szCs w:val="28"/>
        </w:rPr>
      </w:pPr>
      <w:r>
        <w:rPr>
          <w:rFonts w:ascii="仿宋" w:hAnsi="仿宋" w:eastAsia="仿宋" w:cs="仿宋"/>
          <w:spacing w:val="31"/>
          <w:sz w:val="28"/>
          <w:szCs w:val="28"/>
        </w:rPr>
        <w:t>评价单位(盖章):</w:t>
      </w:r>
    </w:p>
    <w:p w14:paraId="479F9EE5">
      <w:pPr>
        <w:pStyle w:val="2"/>
        <w:spacing w:line="330" w:lineRule="auto"/>
        <w:rPr>
          <w:sz w:val="28"/>
          <w:szCs w:val="28"/>
        </w:rPr>
      </w:pPr>
    </w:p>
    <w:p w14:paraId="13FFF088">
      <w:pPr>
        <w:spacing w:before="0" w:beforeLines="0" w:after="0" w:afterLines="0" w:line="240" w:lineRule="auto"/>
        <w:ind w:left="0" w:leftChars="0" w:right="0" w:rightChars="0" w:firstLine="0" w:firstLineChars="0"/>
        <w:jc w:val="center"/>
        <w:rPr>
          <w:rFonts w:ascii="仿宋" w:hAnsi="仿宋" w:eastAsia="仿宋" w:cs="仿宋"/>
          <w:spacing w:val="24"/>
          <w:sz w:val="28"/>
          <w:szCs w:val="28"/>
        </w:rPr>
      </w:pPr>
      <w:r>
        <w:rPr>
          <w:rFonts w:hint="eastAsia" w:ascii="仿宋" w:hAnsi="仿宋" w:eastAsia="仿宋" w:cs="仿宋"/>
          <w:spacing w:val="24"/>
          <w:sz w:val="28"/>
          <w:szCs w:val="28"/>
          <w:lang w:val="en-US" w:eastAsia="zh-CN"/>
        </w:rPr>
        <w:t xml:space="preserve">                        </w:t>
      </w:r>
      <w:r>
        <w:rPr>
          <w:rFonts w:ascii="仿宋" w:hAnsi="仿宋" w:eastAsia="仿宋" w:cs="仿宋"/>
          <w:spacing w:val="24"/>
          <w:sz w:val="28"/>
          <w:szCs w:val="28"/>
        </w:rPr>
        <w:t>上报时间：202</w:t>
      </w:r>
      <w:r>
        <w:rPr>
          <w:rFonts w:hint="eastAsia" w:ascii="仿宋" w:hAnsi="仿宋" w:eastAsia="仿宋" w:cs="仿宋"/>
          <w:spacing w:val="24"/>
          <w:sz w:val="28"/>
          <w:szCs w:val="28"/>
          <w:lang w:val="en-US" w:eastAsia="zh-CN"/>
        </w:rPr>
        <w:t>6</w:t>
      </w:r>
      <w:r>
        <w:rPr>
          <w:rFonts w:ascii="仿宋" w:hAnsi="仿宋" w:eastAsia="仿宋" w:cs="仿宋"/>
          <w:spacing w:val="24"/>
          <w:sz w:val="28"/>
          <w:szCs w:val="28"/>
        </w:rPr>
        <w:t>年3月</w:t>
      </w:r>
      <w:r>
        <w:rPr>
          <w:rFonts w:hint="eastAsia" w:ascii="仿宋" w:hAnsi="仿宋" w:eastAsia="仿宋" w:cs="仿宋"/>
          <w:spacing w:val="24"/>
          <w:sz w:val="28"/>
          <w:szCs w:val="28"/>
          <w:lang w:val="en-US" w:eastAsia="zh-CN"/>
        </w:rPr>
        <w:t>24</w:t>
      </w:r>
      <w:r>
        <w:rPr>
          <w:rFonts w:ascii="仿宋" w:hAnsi="仿宋" w:eastAsia="仿宋" w:cs="仿宋"/>
          <w:spacing w:val="24"/>
          <w:sz w:val="28"/>
          <w:szCs w:val="28"/>
        </w:rPr>
        <w:t>日</w:t>
      </w:r>
    </w:p>
    <w:p w14:paraId="69D79DD6">
      <w:pPr>
        <w:spacing w:before="0" w:beforeLines="0" w:after="0" w:afterLines="0" w:line="240" w:lineRule="auto"/>
        <w:ind w:left="0" w:leftChars="0" w:right="0" w:rightChars="0" w:firstLine="0" w:firstLineChars="0"/>
        <w:jc w:val="center"/>
        <w:rPr>
          <w:rFonts w:ascii="宋体" w:hAnsi="宋体" w:eastAsia="宋体"/>
          <w:sz w:val="21"/>
          <w:szCs w:val="22"/>
        </w:rPr>
      </w:pPr>
    </w:p>
    <w:p w14:paraId="336187E5">
      <w:pPr>
        <w:spacing w:before="0" w:beforeLines="0" w:after="0" w:afterLines="0" w:line="240" w:lineRule="auto"/>
        <w:ind w:left="0" w:leftChars="0" w:right="0" w:rightChars="0" w:firstLine="0" w:firstLineChars="0"/>
        <w:jc w:val="center"/>
        <w:rPr>
          <w:rFonts w:ascii="宋体" w:hAnsi="宋体" w:eastAsia="宋体"/>
          <w:sz w:val="21"/>
          <w:szCs w:val="22"/>
        </w:rPr>
      </w:pPr>
    </w:p>
    <w:p w14:paraId="570EA5F1">
      <w:pPr>
        <w:spacing w:before="0" w:beforeLines="0" w:after="0" w:afterLines="0" w:line="240" w:lineRule="auto"/>
        <w:ind w:left="0" w:leftChars="0" w:right="0" w:rightChars="0" w:firstLine="0" w:firstLineChars="0"/>
        <w:jc w:val="center"/>
        <w:rPr>
          <w:rFonts w:ascii="宋体" w:hAnsi="宋体" w:eastAsia="宋体"/>
          <w:sz w:val="21"/>
          <w:szCs w:val="22"/>
        </w:rPr>
      </w:pPr>
    </w:p>
    <w:p w14:paraId="5560218E">
      <w:pPr>
        <w:spacing w:before="0" w:beforeLines="0" w:after="0" w:afterLines="0" w:line="240" w:lineRule="auto"/>
        <w:ind w:left="0" w:leftChars="0" w:right="0" w:rightChars="0" w:firstLine="0" w:firstLineChars="0"/>
        <w:jc w:val="center"/>
        <w:rPr>
          <w:rFonts w:ascii="宋体" w:hAnsi="宋体" w:eastAsia="宋体"/>
          <w:sz w:val="21"/>
          <w:szCs w:val="22"/>
        </w:rPr>
      </w:pPr>
    </w:p>
    <w:p w14:paraId="37723064">
      <w:pPr>
        <w:spacing w:before="0" w:beforeLines="0" w:after="0" w:afterLines="0" w:line="240" w:lineRule="auto"/>
        <w:ind w:left="0" w:leftChars="0" w:right="0" w:rightChars="0" w:firstLine="0" w:firstLineChars="0"/>
        <w:jc w:val="center"/>
        <w:rPr>
          <w:rFonts w:ascii="宋体" w:hAnsi="宋体" w:eastAsia="宋体"/>
          <w:sz w:val="21"/>
          <w:szCs w:val="22"/>
        </w:rPr>
      </w:pPr>
    </w:p>
    <w:p w14:paraId="07E0A649">
      <w:pPr>
        <w:spacing w:before="0" w:beforeLines="0" w:after="0" w:afterLines="0" w:line="240" w:lineRule="auto"/>
        <w:ind w:left="0" w:leftChars="0" w:right="0" w:rightChars="0" w:firstLine="0" w:firstLineChars="0"/>
        <w:jc w:val="center"/>
        <w:rPr>
          <w:rFonts w:ascii="宋体" w:hAnsi="宋体" w:eastAsia="宋体"/>
          <w:sz w:val="21"/>
          <w:szCs w:val="22"/>
        </w:rPr>
      </w:pPr>
    </w:p>
    <w:p w14:paraId="73921962">
      <w:pPr>
        <w:spacing w:before="0" w:beforeLines="0" w:after="0" w:afterLines="0" w:line="240" w:lineRule="auto"/>
        <w:ind w:left="0" w:leftChars="0" w:right="0" w:rightChars="0" w:firstLine="0" w:firstLineChars="0"/>
        <w:jc w:val="center"/>
        <w:rPr>
          <w:rFonts w:ascii="宋体" w:hAnsi="宋体" w:eastAsia="宋体"/>
          <w:sz w:val="21"/>
          <w:szCs w:val="22"/>
        </w:rPr>
      </w:pPr>
    </w:p>
    <w:p w14:paraId="15CFE863">
      <w:pPr>
        <w:spacing w:before="0" w:beforeLines="0" w:after="0" w:afterLines="0" w:line="240" w:lineRule="auto"/>
        <w:ind w:left="0" w:leftChars="0" w:right="0" w:rightChars="0" w:firstLine="0" w:firstLineChars="0"/>
        <w:jc w:val="center"/>
        <w:rPr>
          <w:rFonts w:ascii="宋体" w:hAnsi="宋体" w:eastAsia="宋体"/>
          <w:sz w:val="21"/>
          <w:szCs w:val="22"/>
        </w:rPr>
      </w:pPr>
    </w:p>
    <w:p w14:paraId="4A105763">
      <w:pPr>
        <w:spacing w:before="0" w:beforeLines="0" w:after="0" w:afterLines="0" w:line="240" w:lineRule="auto"/>
        <w:ind w:left="0" w:leftChars="0" w:right="0" w:rightChars="0" w:firstLine="0" w:firstLineChars="0"/>
        <w:jc w:val="center"/>
        <w:rPr>
          <w:rFonts w:ascii="宋体" w:hAnsi="宋体" w:eastAsia="宋体"/>
          <w:sz w:val="21"/>
          <w:szCs w:val="22"/>
        </w:rPr>
      </w:pPr>
    </w:p>
    <w:p w14:paraId="64652C35">
      <w:pPr>
        <w:spacing w:before="0" w:beforeLines="0" w:after="0" w:afterLines="0" w:line="240" w:lineRule="auto"/>
        <w:ind w:left="0" w:leftChars="0" w:right="0" w:rightChars="0" w:firstLine="0" w:firstLineChars="0"/>
        <w:jc w:val="center"/>
        <w:rPr>
          <w:rFonts w:ascii="宋体" w:hAnsi="宋体" w:eastAsia="宋体"/>
          <w:sz w:val="21"/>
          <w:szCs w:val="22"/>
        </w:rPr>
      </w:pPr>
    </w:p>
    <w:sdt>
      <w:sdtPr>
        <w:rPr>
          <w:rFonts w:ascii="宋体" w:hAnsi="宋体" w:eastAsia="宋体"/>
          <w:sz w:val="21"/>
          <w:szCs w:val="22"/>
        </w:rPr>
        <w:id w:val="147458366"/>
        <w15:color w:val="DBDBDB"/>
        <w:docPartObj>
          <w:docPartGallery w:val="Table of Contents"/>
          <w:docPartUnique/>
        </w:docPartObj>
      </w:sdtPr>
      <w:sdtEndPr>
        <w:rPr>
          <w:rFonts w:hint="eastAsia" w:ascii="Arial" w:hAnsi="Arial" w:eastAsia="等线" w:cs="Arial"/>
          <w:sz w:val="21"/>
          <w:szCs w:val="22"/>
          <w:lang w:eastAsia="zh-CN"/>
        </w:rPr>
      </w:sdtEndPr>
      <w:sdtContent>
        <w:p w14:paraId="65AE1C98">
          <w:pPr>
            <w:spacing w:before="0" w:beforeLines="0" w:after="0" w:afterLines="0" w:line="240" w:lineRule="auto"/>
            <w:ind w:left="0" w:leftChars="0" w:right="0" w:rightChars="0" w:firstLine="0" w:firstLineChars="0"/>
            <w:jc w:val="center"/>
            <w:rPr>
              <w:rFonts w:ascii="宋体" w:hAnsi="宋体" w:eastAsia="宋体"/>
              <w:sz w:val="21"/>
              <w:szCs w:val="22"/>
            </w:rPr>
          </w:pPr>
        </w:p>
        <w:p w14:paraId="1FAA4593">
          <w:pPr>
            <w:spacing w:before="0" w:beforeLines="0" w:after="0" w:afterLines="0" w:line="240" w:lineRule="auto"/>
            <w:ind w:left="0" w:leftChars="0" w:right="0" w:rightChars="0" w:firstLine="0" w:firstLineChars="0"/>
            <w:jc w:val="center"/>
            <w:rPr>
              <w:rFonts w:ascii="宋体" w:hAnsi="宋体" w:eastAsia="宋体"/>
              <w:sz w:val="21"/>
              <w:szCs w:val="22"/>
            </w:rPr>
          </w:pPr>
        </w:p>
        <w:p w14:paraId="6A018D79">
          <w:pPr>
            <w:spacing w:before="0" w:beforeLines="0" w:after="0" w:afterLines="0" w:line="240" w:lineRule="auto"/>
            <w:ind w:left="0" w:leftChars="0" w:right="0" w:rightChars="0" w:firstLine="0" w:firstLineChars="0"/>
            <w:jc w:val="center"/>
            <w:rPr>
              <w:rFonts w:ascii="宋体" w:hAnsi="宋体" w:eastAsia="宋体"/>
              <w:sz w:val="21"/>
              <w:szCs w:val="22"/>
            </w:rPr>
          </w:pPr>
        </w:p>
        <w:p w14:paraId="050A6EF3">
          <w:pPr>
            <w:spacing w:before="0" w:beforeLines="0" w:after="0" w:afterLines="0" w:line="240" w:lineRule="auto"/>
            <w:ind w:left="0" w:leftChars="0" w:right="0" w:rightChars="0" w:firstLine="0" w:firstLineChars="0"/>
            <w:jc w:val="center"/>
            <w:rPr>
              <w:rFonts w:ascii="宋体" w:hAnsi="宋体" w:eastAsia="宋体"/>
              <w:sz w:val="44"/>
              <w:szCs w:val="44"/>
            </w:rPr>
          </w:pPr>
          <w:r>
            <w:rPr>
              <w:rFonts w:ascii="宋体" w:hAnsi="宋体" w:eastAsia="宋体"/>
              <w:sz w:val="44"/>
              <w:szCs w:val="44"/>
            </w:rPr>
            <w:t>目</w:t>
          </w:r>
          <w:r>
            <w:rPr>
              <w:rFonts w:hint="eastAsia" w:ascii="宋体" w:hAnsi="宋体" w:eastAsia="宋体"/>
              <w:sz w:val="44"/>
              <w:szCs w:val="44"/>
              <w:lang w:val="en-US" w:eastAsia="zh-CN"/>
            </w:rPr>
            <w:t xml:space="preserve">  </w:t>
          </w:r>
          <w:r>
            <w:rPr>
              <w:rFonts w:ascii="宋体" w:hAnsi="宋体" w:eastAsia="宋体"/>
              <w:sz w:val="44"/>
              <w:szCs w:val="44"/>
            </w:rPr>
            <w:t>录</w:t>
          </w:r>
        </w:p>
        <w:p w14:paraId="7ED76A75">
          <w:pPr>
            <w:spacing w:before="0" w:beforeLines="0" w:after="0" w:afterLines="0" w:line="240" w:lineRule="auto"/>
            <w:ind w:left="0" w:leftChars="0" w:right="0" w:rightChars="0" w:firstLine="0" w:firstLineChars="0"/>
            <w:jc w:val="center"/>
            <w:rPr>
              <w:rFonts w:ascii="宋体" w:hAnsi="宋体" w:eastAsia="宋体"/>
              <w:sz w:val="44"/>
              <w:szCs w:val="44"/>
            </w:rPr>
          </w:pPr>
        </w:p>
        <w:p w14:paraId="54033BBA">
          <w:pPr>
            <w:pStyle w:val="4"/>
            <w:tabs>
              <w:tab w:val="right" w:leader="dot" w:pos="8305"/>
            </w:tabs>
            <w:rPr>
              <w:sz w:val="24"/>
              <w:szCs w:val="24"/>
            </w:rPr>
          </w:pPr>
          <w:r>
            <w:rPr>
              <w:rFonts w:hint="eastAsia" w:ascii="Arial" w:hAnsi="Arial" w:eastAsia="等线" w:cs="Arial"/>
              <w:b/>
              <w:sz w:val="36"/>
              <w:lang w:eastAsia="zh-CN"/>
            </w:rPr>
            <w:fldChar w:fldCharType="begin"/>
          </w:r>
          <w:r>
            <w:rPr>
              <w:rFonts w:hint="eastAsia" w:ascii="Arial" w:hAnsi="Arial" w:eastAsia="等线" w:cs="Arial"/>
              <w:b/>
              <w:sz w:val="36"/>
              <w:lang w:eastAsia="zh-CN"/>
            </w:rPr>
            <w:instrText xml:space="preserve">TOC \o "1-3" \h \u </w:instrText>
          </w:r>
          <w:r>
            <w:rPr>
              <w:rFonts w:hint="eastAsia" w:ascii="Arial" w:hAnsi="Arial" w:eastAsia="等线" w:cs="Arial"/>
              <w:b/>
              <w:sz w:val="36"/>
              <w:lang w:eastAsia="zh-CN"/>
            </w:rPr>
            <w:fldChar w:fldCharType="separate"/>
          </w:r>
          <w:r>
            <w:rPr>
              <w:rFonts w:hint="eastAsia" w:ascii="Arial" w:hAnsi="Arial" w:eastAsia="等线" w:cs="Arial"/>
              <w:sz w:val="24"/>
              <w:szCs w:val="24"/>
              <w:lang w:eastAsia="zh-CN"/>
            </w:rPr>
            <w:fldChar w:fldCharType="begin"/>
          </w:r>
          <w:r>
            <w:rPr>
              <w:rFonts w:hint="eastAsia" w:ascii="Arial" w:hAnsi="Arial" w:eastAsia="等线" w:cs="Arial"/>
              <w:sz w:val="24"/>
              <w:szCs w:val="24"/>
              <w:lang w:eastAsia="zh-CN"/>
            </w:rPr>
            <w:instrText xml:space="preserve"> HYPERLINK \l _Toc2523 </w:instrText>
          </w:r>
          <w:r>
            <w:rPr>
              <w:rFonts w:hint="eastAsia" w:ascii="Arial" w:hAnsi="Arial" w:eastAsia="等线" w:cs="Arial"/>
              <w:sz w:val="24"/>
              <w:szCs w:val="24"/>
              <w:lang w:eastAsia="zh-CN"/>
            </w:rPr>
            <w:fldChar w:fldCharType="separate"/>
          </w:r>
          <w:r>
            <w:rPr>
              <w:rFonts w:ascii="Arial" w:hAnsi="Arial" w:eastAsia="等线" w:cs="Arial"/>
              <w:sz w:val="24"/>
              <w:szCs w:val="24"/>
            </w:rPr>
            <w:t>一、项目基本概况</w:t>
          </w:r>
          <w:r>
            <w:rPr>
              <w:sz w:val="24"/>
              <w:szCs w:val="24"/>
            </w:rPr>
            <w:tab/>
          </w:r>
          <w:r>
            <w:rPr>
              <w:sz w:val="24"/>
              <w:szCs w:val="24"/>
            </w:rPr>
            <w:fldChar w:fldCharType="begin"/>
          </w:r>
          <w:r>
            <w:rPr>
              <w:sz w:val="24"/>
              <w:szCs w:val="24"/>
            </w:rPr>
            <w:instrText xml:space="preserve"> PAGEREF _Toc2523 \h </w:instrText>
          </w:r>
          <w:r>
            <w:rPr>
              <w:sz w:val="24"/>
              <w:szCs w:val="24"/>
            </w:rPr>
            <w:fldChar w:fldCharType="separate"/>
          </w:r>
          <w:r>
            <w:rPr>
              <w:sz w:val="24"/>
              <w:szCs w:val="24"/>
            </w:rPr>
            <w:t>3</w:t>
          </w:r>
          <w:r>
            <w:rPr>
              <w:sz w:val="24"/>
              <w:szCs w:val="24"/>
            </w:rPr>
            <w:fldChar w:fldCharType="end"/>
          </w:r>
          <w:r>
            <w:rPr>
              <w:rFonts w:hint="eastAsia" w:ascii="Arial" w:hAnsi="Arial" w:eastAsia="等线" w:cs="Arial"/>
              <w:sz w:val="24"/>
              <w:szCs w:val="24"/>
              <w:lang w:eastAsia="zh-CN"/>
            </w:rPr>
            <w:fldChar w:fldCharType="end"/>
          </w:r>
        </w:p>
        <w:p w14:paraId="792C3C6F">
          <w:pPr>
            <w:pStyle w:val="5"/>
            <w:tabs>
              <w:tab w:val="right" w:leader="dot" w:pos="8305"/>
            </w:tabs>
            <w:rPr>
              <w:sz w:val="24"/>
              <w:szCs w:val="24"/>
            </w:rPr>
          </w:pPr>
          <w:r>
            <w:rPr>
              <w:rFonts w:hint="eastAsia" w:ascii="Arial" w:hAnsi="Arial" w:eastAsia="等线" w:cs="Arial"/>
              <w:sz w:val="24"/>
              <w:szCs w:val="24"/>
              <w:lang w:eastAsia="zh-CN"/>
            </w:rPr>
            <w:fldChar w:fldCharType="begin"/>
          </w:r>
          <w:r>
            <w:rPr>
              <w:rFonts w:hint="eastAsia" w:ascii="Arial" w:hAnsi="Arial" w:eastAsia="等线" w:cs="Arial"/>
              <w:sz w:val="24"/>
              <w:szCs w:val="24"/>
              <w:lang w:eastAsia="zh-CN"/>
            </w:rPr>
            <w:instrText xml:space="preserve"> HYPERLINK \l _Toc1049 </w:instrText>
          </w:r>
          <w:r>
            <w:rPr>
              <w:rFonts w:hint="eastAsia" w:ascii="Arial" w:hAnsi="Arial" w:eastAsia="等线" w:cs="Arial"/>
              <w:sz w:val="24"/>
              <w:szCs w:val="24"/>
              <w:lang w:eastAsia="zh-CN"/>
            </w:rPr>
            <w:fldChar w:fldCharType="separate"/>
          </w:r>
          <w:r>
            <w:rPr>
              <w:rFonts w:ascii="Arial" w:hAnsi="Arial" w:eastAsia="等线" w:cs="Arial"/>
              <w:sz w:val="24"/>
              <w:szCs w:val="24"/>
            </w:rPr>
            <w:t>（一）项目背景</w:t>
          </w:r>
          <w:r>
            <w:rPr>
              <w:sz w:val="24"/>
              <w:szCs w:val="24"/>
            </w:rPr>
            <w:tab/>
          </w:r>
          <w:r>
            <w:rPr>
              <w:sz w:val="24"/>
              <w:szCs w:val="24"/>
            </w:rPr>
            <w:fldChar w:fldCharType="begin"/>
          </w:r>
          <w:r>
            <w:rPr>
              <w:sz w:val="24"/>
              <w:szCs w:val="24"/>
            </w:rPr>
            <w:instrText xml:space="preserve"> PAGEREF _Toc1049 \h </w:instrText>
          </w:r>
          <w:r>
            <w:rPr>
              <w:sz w:val="24"/>
              <w:szCs w:val="24"/>
            </w:rPr>
            <w:fldChar w:fldCharType="separate"/>
          </w:r>
          <w:r>
            <w:rPr>
              <w:sz w:val="24"/>
              <w:szCs w:val="24"/>
            </w:rPr>
            <w:t>3</w:t>
          </w:r>
          <w:r>
            <w:rPr>
              <w:sz w:val="24"/>
              <w:szCs w:val="24"/>
            </w:rPr>
            <w:fldChar w:fldCharType="end"/>
          </w:r>
          <w:r>
            <w:rPr>
              <w:rFonts w:hint="eastAsia" w:ascii="Arial" w:hAnsi="Arial" w:eastAsia="等线" w:cs="Arial"/>
              <w:sz w:val="24"/>
              <w:szCs w:val="24"/>
              <w:lang w:eastAsia="zh-CN"/>
            </w:rPr>
            <w:fldChar w:fldCharType="end"/>
          </w:r>
        </w:p>
        <w:p w14:paraId="5892767B">
          <w:pPr>
            <w:pStyle w:val="5"/>
            <w:tabs>
              <w:tab w:val="right" w:leader="dot" w:pos="8305"/>
            </w:tabs>
            <w:rPr>
              <w:sz w:val="24"/>
              <w:szCs w:val="24"/>
            </w:rPr>
          </w:pPr>
          <w:r>
            <w:rPr>
              <w:rFonts w:hint="eastAsia" w:ascii="Arial" w:hAnsi="Arial" w:eastAsia="等线" w:cs="Arial"/>
              <w:sz w:val="24"/>
              <w:szCs w:val="24"/>
              <w:lang w:eastAsia="zh-CN"/>
            </w:rPr>
            <w:fldChar w:fldCharType="begin"/>
          </w:r>
          <w:r>
            <w:rPr>
              <w:rFonts w:hint="eastAsia" w:ascii="Arial" w:hAnsi="Arial" w:eastAsia="等线" w:cs="Arial"/>
              <w:sz w:val="24"/>
              <w:szCs w:val="24"/>
              <w:lang w:eastAsia="zh-CN"/>
            </w:rPr>
            <w:instrText xml:space="preserve"> HYPERLINK \l _Toc13849 </w:instrText>
          </w:r>
          <w:r>
            <w:rPr>
              <w:rFonts w:hint="eastAsia" w:ascii="Arial" w:hAnsi="Arial" w:eastAsia="等线" w:cs="Arial"/>
              <w:sz w:val="24"/>
              <w:szCs w:val="24"/>
              <w:lang w:eastAsia="zh-CN"/>
            </w:rPr>
            <w:fldChar w:fldCharType="separate"/>
          </w:r>
          <w:r>
            <w:rPr>
              <w:rFonts w:ascii="Arial" w:hAnsi="Arial" w:eastAsia="等线" w:cs="Arial"/>
              <w:sz w:val="24"/>
              <w:szCs w:val="24"/>
            </w:rPr>
            <w:t>（二）项目资金情况</w:t>
          </w:r>
          <w:r>
            <w:rPr>
              <w:sz w:val="24"/>
              <w:szCs w:val="24"/>
            </w:rPr>
            <w:tab/>
          </w:r>
          <w:r>
            <w:rPr>
              <w:sz w:val="24"/>
              <w:szCs w:val="24"/>
            </w:rPr>
            <w:fldChar w:fldCharType="begin"/>
          </w:r>
          <w:r>
            <w:rPr>
              <w:sz w:val="24"/>
              <w:szCs w:val="24"/>
            </w:rPr>
            <w:instrText xml:space="preserve"> PAGEREF _Toc13849 \h </w:instrText>
          </w:r>
          <w:r>
            <w:rPr>
              <w:sz w:val="24"/>
              <w:szCs w:val="24"/>
            </w:rPr>
            <w:fldChar w:fldCharType="separate"/>
          </w:r>
          <w:r>
            <w:rPr>
              <w:sz w:val="24"/>
              <w:szCs w:val="24"/>
            </w:rPr>
            <w:t>3</w:t>
          </w:r>
          <w:r>
            <w:rPr>
              <w:sz w:val="24"/>
              <w:szCs w:val="24"/>
            </w:rPr>
            <w:fldChar w:fldCharType="end"/>
          </w:r>
          <w:r>
            <w:rPr>
              <w:rFonts w:hint="eastAsia" w:ascii="Arial" w:hAnsi="Arial" w:eastAsia="等线" w:cs="Arial"/>
              <w:sz w:val="24"/>
              <w:szCs w:val="24"/>
              <w:lang w:eastAsia="zh-CN"/>
            </w:rPr>
            <w:fldChar w:fldCharType="end"/>
          </w:r>
        </w:p>
        <w:p w14:paraId="31789578">
          <w:pPr>
            <w:pStyle w:val="5"/>
            <w:tabs>
              <w:tab w:val="right" w:leader="dot" w:pos="8305"/>
            </w:tabs>
            <w:rPr>
              <w:sz w:val="24"/>
              <w:szCs w:val="24"/>
            </w:rPr>
          </w:pPr>
          <w:r>
            <w:rPr>
              <w:rFonts w:hint="eastAsia" w:ascii="Arial" w:hAnsi="Arial" w:eastAsia="等线" w:cs="Arial"/>
              <w:sz w:val="24"/>
              <w:szCs w:val="24"/>
              <w:lang w:eastAsia="zh-CN"/>
            </w:rPr>
            <w:fldChar w:fldCharType="begin"/>
          </w:r>
          <w:r>
            <w:rPr>
              <w:rFonts w:hint="eastAsia" w:ascii="Arial" w:hAnsi="Arial" w:eastAsia="等线" w:cs="Arial"/>
              <w:sz w:val="24"/>
              <w:szCs w:val="24"/>
              <w:lang w:eastAsia="zh-CN"/>
            </w:rPr>
            <w:instrText xml:space="preserve"> HYPERLINK \l _Toc1691 </w:instrText>
          </w:r>
          <w:r>
            <w:rPr>
              <w:rFonts w:hint="eastAsia" w:ascii="Arial" w:hAnsi="Arial" w:eastAsia="等线" w:cs="Arial"/>
              <w:sz w:val="24"/>
              <w:szCs w:val="24"/>
              <w:lang w:eastAsia="zh-CN"/>
            </w:rPr>
            <w:fldChar w:fldCharType="separate"/>
          </w:r>
          <w:r>
            <w:rPr>
              <w:rFonts w:ascii="Arial" w:hAnsi="Arial" w:eastAsia="等线" w:cs="Arial"/>
              <w:sz w:val="24"/>
              <w:szCs w:val="24"/>
            </w:rPr>
            <w:t>（三）项目实施内容</w:t>
          </w:r>
          <w:r>
            <w:rPr>
              <w:sz w:val="24"/>
              <w:szCs w:val="24"/>
            </w:rPr>
            <w:tab/>
          </w:r>
          <w:r>
            <w:rPr>
              <w:sz w:val="24"/>
              <w:szCs w:val="24"/>
            </w:rPr>
            <w:fldChar w:fldCharType="begin"/>
          </w:r>
          <w:r>
            <w:rPr>
              <w:sz w:val="24"/>
              <w:szCs w:val="24"/>
            </w:rPr>
            <w:instrText xml:space="preserve"> PAGEREF _Toc1691 \h </w:instrText>
          </w:r>
          <w:r>
            <w:rPr>
              <w:sz w:val="24"/>
              <w:szCs w:val="24"/>
            </w:rPr>
            <w:fldChar w:fldCharType="separate"/>
          </w:r>
          <w:r>
            <w:rPr>
              <w:sz w:val="24"/>
              <w:szCs w:val="24"/>
            </w:rPr>
            <w:t>3</w:t>
          </w:r>
          <w:r>
            <w:rPr>
              <w:sz w:val="24"/>
              <w:szCs w:val="24"/>
            </w:rPr>
            <w:fldChar w:fldCharType="end"/>
          </w:r>
          <w:r>
            <w:rPr>
              <w:rFonts w:hint="eastAsia" w:ascii="Arial" w:hAnsi="Arial" w:eastAsia="等线" w:cs="Arial"/>
              <w:sz w:val="24"/>
              <w:szCs w:val="24"/>
              <w:lang w:eastAsia="zh-CN"/>
            </w:rPr>
            <w:fldChar w:fldCharType="end"/>
          </w:r>
        </w:p>
        <w:p w14:paraId="282784DD">
          <w:pPr>
            <w:pStyle w:val="5"/>
            <w:tabs>
              <w:tab w:val="right" w:leader="dot" w:pos="8305"/>
            </w:tabs>
            <w:rPr>
              <w:sz w:val="24"/>
              <w:szCs w:val="24"/>
            </w:rPr>
          </w:pPr>
          <w:r>
            <w:rPr>
              <w:rFonts w:hint="eastAsia" w:ascii="Arial" w:hAnsi="Arial" w:eastAsia="等线" w:cs="Arial"/>
              <w:sz w:val="24"/>
              <w:szCs w:val="24"/>
              <w:lang w:eastAsia="zh-CN"/>
            </w:rPr>
            <w:fldChar w:fldCharType="begin"/>
          </w:r>
          <w:r>
            <w:rPr>
              <w:rFonts w:hint="eastAsia" w:ascii="Arial" w:hAnsi="Arial" w:eastAsia="等线" w:cs="Arial"/>
              <w:sz w:val="24"/>
              <w:szCs w:val="24"/>
              <w:lang w:eastAsia="zh-CN"/>
            </w:rPr>
            <w:instrText xml:space="preserve"> HYPERLINK \l _Toc18308 </w:instrText>
          </w:r>
          <w:r>
            <w:rPr>
              <w:rFonts w:hint="eastAsia" w:ascii="Arial" w:hAnsi="Arial" w:eastAsia="等线" w:cs="Arial"/>
              <w:sz w:val="24"/>
              <w:szCs w:val="24"/>
              <w:lang w:eastAsia="zh-CN"/>
            </w:rPr>
            <w:fldChar w:fldCharType="separate"/>
          </w:r>
          <w:r>
            <w:rPr>
              <w:rFonts w:ascii="Arial" w:hAnsi="Arial" w:eastAsia="等线" w:cs="Arial"/>
              <w:sz w:val="24"/>
              <w:szCs w:val="24"/>
            </w:rPr>
            <w:t>（四）项目绩效目标</w:t>
          </w:r>
          <w:r>
            <w:rPr>
              <w:sz w:val="24"/>
              <w:szCs w:val="24"/>
            </w:rPr>
            <w:tab/>
          </w:r>
          <w:r>
            <w:rPr>
              <w:sz w:val="24"/>
              <w:szCs w:val="24"/>
            </w:rPr>
            <w:fldChar w:fldCharType="begin"/>
          </w:r>
          <w:r>
            <w:rPr>
              <w:sz w:val="24"/>
              <w:szCs w:val="24"/>
            </w:rPr>
            <w:instrText xml:space="preserve"> PAGEREF _Toc18308 \h </w:instrText>
          </w:r>
          <w:r>
            <w:rPr>
              <w:sz w:val="24"/>
              <w:szCs w:val="24"/>
            </w:rPr>
            <w:fldChar w:fldCharType="separate"/>
          </w:r>
          <w:r>
            <w:rPr>
              <w:sz w:val="24"/>
              <w:szCs w:val="24"/>
            </w:rPr>
            <w:t>3</w:t>
          </w:r>
          <w:r>
            <w:rPr>
              <w:sz w:val="24"/>
              <w:szCs w:val="24"/>
            </w:rPr>
            <w:fldChar w:fldCharType="end"/>
          </w:r>
          <w:r>
            <w:rPr>
              <w:rFonts w:hint="eastAsia" w:ascii="Arial" w:hAnsi="Arial" w:eastAsia="等线" w:cs="Arial"/>
              <w:sz w:val="24"/>
              <w:szCs w:val="24"/>
              <w:lang w:eastAsia="zh-CN"/>
            </w:rPr>
            <w:fldChar w:fldCharType="end"/>
          </w:r>
        </w:p>
        <w:p w14:paraId="0EB95017">
          <w:pPr>
            <w:pStyle w:val="4"/>
            <w:tabs>
              <w:tab w:val="right" w:leader="dot" w:pos="8305"/>
            </w:tabs>
            <w:rPr>
              <w:sz w:val="24"/>
              <w:szCs w:val="24"/>
            </w:rPr>
          </w:pPr>
          <w:r>
            <w:rPr>
              <w:rFonts w:hint="eastAsia" w:ascii="Arial" w:hAnsi="Arial" w:eastAsia="等线" w:cs="Arial"/>
              <w:sz w:val="24"/>
              <w:szCs w:val="24"/>
              <w:lang w:eastAsia="zh-CN"/>
            </w:rPr>
            <w:fldChar w:fldCharType="begin"/>
          </w:r>
          <w:r>
            <w:rPr>
              <w:rFonts w:hint="eastAsia" w:ascii="Arial" w:hAnsi="Arial" w:eastAsia="等线" w:cs="Arial"/>
              <w:sz w:val="24"/>
              <w:szCs w:val="24"/>
              <w:lang w:eastAsia="zh-CN"/>
            </w:rPr>
            <w:instrText xml:space="preserve"> HYPERLINK \l _Toc31661 </w:instrText>
          </w:r>
          <w:r>
            <w:rPr>
              <w:rFonts w:hint="eastAsia" w:ascii="Arial" w:hAnsi="Arial" w:eastAsia="等线" w:cs="Arial"/>
              <w:sz w:val="24"/>
              <w:szCs w:val="24"/>
              <w:lang w:eastAsia="zh-CN"/>
            </w:rPr>
            <w:fldChar w:fldCharType="separate"/>
          </w:r>
          <w:r>
            <w:rPr>
              <w:rFonts w:ascii="Arial" w:hAnsi="Arial" w:eastAsia="等线" w:cs="Arial"/>
              <w:sz w:val="24"/>
              <w:szCs w:val="24"/>
            </w:rPr>
            <w:t>二、评价工作开展情况</w:t>
          </w:r>
          <w:r>
            <w:rPr>
              <w:sz w:val="24"/>
              <w:szCs w:val="24"/>
            </w:rPr>
            <w:tab/>
          </w:r>
          <w:r>
            <w:rPr>
              <w:sz w:val="24"/>
              <w:szCs w:val="24"/>
            </w:rPr>
            <w:fldChar w:fldCharType="begin"/>
          </w:r>
          <w:r>
            <w:rPr>
              <w:sz w:val="24"/>
              <w:szCs w:val="24"/>
            </w:rPr>
            <w:instrText xml:space="preserve"> PAGEREF _Toc31661 \h </w:instrText>
          </w:r>
          <w:r>
            <w:rPr>
              <w:sz w:val="24"/>
              <w:szCs w:val="24"/>
            </w:rPr>
            <w:fldChar w:fldCharType="separate"/>
          </w:r>
          <w:r>
            <w:rPr>
              <w:sz w:val="24"/>
              <w:szCs w:val="24"/>
            </w:rPr>
            <w:t>4</w:t>
          </w:r>
          <w:r>
            <w:rPr>
              <w:sz w:val="24"/>
              <w:szCs w:val="24"/>
            </w:rPr>
            <w:fldChar w:fldCharType="end"/>
          </w:r>
          <w:r>
            <w:rPr>
              <w:rFonts w:hint="eastAsia" w:ascii="Arial" w:hAnsi="Arial" w:eastAsia="等线" w:cs="Arial"/>
              <w:sz w:val="24"/>
              <w:szCs w:val="24"/>
              <w:lang w:eastAsia="zh-CN"/>
            </w:rPr>
            <w:fldChar w:fldCharType="end"/>
          </w:r>
        </w:p>
        <w:p w14:paraId="3A985EEE">
          <w:pPr>
            <w:pStyle w:val="5"/>
            <w:tabs>
              <w:tab w:val="right" w:leader="dot" w:pos="8305"/>
            </w:tabs>
            <w:rPr>
              <w:sz w:val="24"/>
              <w:szCs w:val="24"/>
            </w:rPr>
          </w:pPr>
          <w:r>
            <w:rPr>
              <w:rFonts w:hint="eastAsia" w:ascii="Arial" w:hAnsi="Arial" w:eastAsia="等线" w:cs="Arial"/>
              <w:sz w:val="24"/>
              <w:szCs w:val="24"/>
              <w:lang w:eastAsia="zh-CN"/>
            </w:rPr>
            <w:fldChar w:fldCharType="begin"/>
          </w:r>
          <w:r>
            <w:rPr>
              <w:rFonts w:hint="eastAsia" w:ascii="Arial" w:hAnsi="Arial" w:eastAsia="等线" w:cs="Arial"/>
              <w:sz w:val="24"/>
              <w:szCs w:val="24"/>
              <w:lang w:eastAsia="zh-CN"/>
            </w:rPr>
            <w:instrText xml:space="preserve"> HYPERLINK \l _Toc4079 </w:instrText>
          </w:r>
          <w:r>
            <w:rPr>
              <w:rFonts w:hint="eastAsia" w:ascii="Arial" w:hAnsi="Arial" w:eastAsia="等线" w:cs="Arial"/>
              <w:sz w:val="24"/>
              <w:szCs w:val="24"/>
              <w:lang w:eastAsia="zh-CN"/>
            </w:rPr>
            <w:fldChar w:fldCharType="separate"/>
          </w:r>
          <w:r>
            <w:rPr>
              <w:rFonts w:ascii="Arial" w:hAnsi="Arial" w:eastAsia="等线" w:cs="Arial"/>
              <w:sz w:val="24"/>
              <w:szCs w:val="24"/>
            </w:rPr>
            <w:t>（一）评价依据</w:t>
          </w:r>
          <w:r>
            <w:rPr>
              <w:sz w:val="24"/>
              <w:szCs w:val="24"/>
            </w:rPr>
            <w:tab/>
          </w:r>
          <w:r>
            <w:rPr>
              <w:sz w:val="24"/>
              <w:szCs w:val="24"/>
            </w:rPr>
            <w:fldChar w:fldCharType="begin"/>
          </w:r>
          <w:r>
            <w:rPr>
              <w:sz w:val="24"/>
              <w:szCs w:val="24"/>
            </w:rPr>
            <w:instrText xml:space="preserve"> PAGEREF _Toc4079 \h </w:instrText>
          </w:r>
          <w:r>
            <w:rPr>
              <w:sz w:val="24"/>
              <w:szCs w:val="24"/>
            </w:rPr>
            <w:fldChar w:fldCharType="separate"/>
          </w:r>
          <w:r>
            <w:rPr>
              <w:sz w:val="24"/>
              <w:szCs w:val="24"/>
            </w:rPr>
            <w:t>4</w:t>
          </w:r>
          <w:r>
            <w:rPr>
              <w:sz w:val="24"/>
              <w:szCs w:val="24"/>
            </w:rPr>
            <w:fldChar w:fldCharType="end"/>
          </w:r>
          <w:r>
            <w:rPr>
              <w:rFonts w:hint="eastAsia" w:ascii="Arial" w:hAnsi="Arial" w:eastAsia="等线" w:cs="Arial"/>
              <w:sz w:val="24"/>
              <w:szCs w:val="24"/>
              <w:lang w:eastAsia="zh-CN"/>
            </w:rPr>
            <w:fldChar w:fldCharType="end"/>
          </w:r>
        </w:p>
        <w:p w14:paraId="21DE34CA">
          <w:pPr>
            <w:pStyle w:val="5"/>
            <w:tabs>
              <w:tab w:val="right" w:leader="dot" w:pos="8305"/>
            </w:tabs>
            <w:rPr>
              <w:sz w:val="24"/>
              <w:szCs w:val="24"/>
            </w:rPr>
          </w:pPr>
          <w:r>
            <w:rPr>
              <w:rFonts w:hint="eastAsia" w:ascii="Arial" w:hAnsi="Arial" w:eastAsia="等线" w:cs="Arial"/>
              <w:sz w:val="24"/>
              <w:szCs w:val="24"/>
              <w:lang w:eastAsia="zh-CN"/>
            </w:rPr>
            <w:fldChar w:fldCharType="begin"/>
          </w:r>
          <w:r>
            <w:rPr>
              <w:rFonts w:hint="eastAsia" w:ascii="Arial" w:hAnsi="Arial" w:eastAsia="等线" w:cs="Arial"/>
              <w:sz w:val="24"/>
              <w:szCs w:val="24"/>
              <w:lang w:eastAsia="zh-CN"/>
            </w:rPr>
            <w:instrText xml:space="preserve"> HYPERLINK \l _Toc16549 </w:instrText>
          </w:r>
          <w:r>
            <w:rPr>
              <w:rFonts w:hint="eastAsia" w:ascii="Arial" w:hAnsi="Arial" w:eastAsia="等线" w:cs="Arial"/>
              <w:sz w:val="24"/>
              <w:szCs w:val="24"/>
              <w:lang w:eastAsia="zh-CN"/>
            </w:rPr>
            <w:fldChar w:fldCharType="separate"/>
          </w:r>
          <w:r>
            <w:rPr>
              <w:rFonts w:ascii="Arial" w:hAnsi="Arial" w:eastAsia="等线" w:cs="Arial"/>
              <w:sz w:val="24"/>
              <w:szCs w:val="24"/>
            </w:rPr>
            <w:t>（二）评价方法</w:t>
          </w:r>
          <w:r>
            <w:rPr>
              <w:sz w:val="24"/>
              <w:szCs w:val="24"/>
            </w:rPr>
            <w:tab/>
          </w:r>
          <w:r>
            <w:rPr>
              <w:sz w:val="24"/>
              <w:szCs w:val="24"/>
            </w:rPr>
            <w:fldChar w:fldCharType="begin"/>
          </w:r>
          <w:r>
            <w:rPr>
              <w:sz w:val="24"/>
              <w:szCs w:val="24"/>
            </w:rPr>
            <w:instrText xml:space="preserve"> PAGEREF _Toc16549 \h </w:instrText>
          </w:r>
          <w:r>
            <w:rPr>
              <w:sz w:val="24"/>
              <w:szCs w:val="24"/>
            </w:rPr>
            <w:fldChar w:fldCharType="separate"/>
          </w:r>
          <w:r>
            <w:rPr>
              <w:sz w:val="24"/>
              <w:szCs w:val="24"/>
            </w:rPr>
            <w:t>4</w:t>
          </w:r>
          <w:r>
            <w:rPr>
              <w:sz w:val="24"/>
              <w:szCs w:val="24"/>
            </w:rPr>
            <w:fldChar w:fldCharType="end"/>
          </w:r>
          <w:r>
            <w:rPr>
              <w:rFonts w:hint="eastAsia" w:ascii="Arial" w:hAnsi="Arial" w:eastAsia="等线" w:cs="Arial"/>
              <w:sz w:val="24"/>
              <w:szCs w:val="24"/>
              <w:lang w:eastAsia="zh-CN"/>
            </w:rPr>
            <w:fldChar w:fldCharType="end"/>
          </w:r>
        </w:p>
        <w:p w14:paraId="1185D346">
          <w:pPr>
            <w:pStyle w:val="5"/>
            <w:tabs>
              <w:tab w:val="right" w:leader="dot" w:pos="8305"/>
            </w:tabs>
            <w:rPr>
              <w:sz w:val="24"/>
              <w:szCs w:val="24"/>
            </w:rPr>
          </w:pPr>
          <w:r>
            <w:rPr>
              <w:rFonts w:hint="eastAsia" w:ascii="Arial" w:hAnsi="Arial" w:eastAsia="等线" w:cs="Arial"/>
              <w:sz w:val="24"/>
              <w:szCs w:val="24"/>
              <w:lang w:eastAsia="zh-CN"/>
            </w:rPr>
            <w:fldChar w:fldCharType="begin"/>
          </w:r>
          <w:r>
            <w:rPr>
              <w:rFonts w:hint="eastAsia" w:ascii="Arial" w:hAnsi="Arial" w:eastAsia="等线" w:cs="Arial"/>
              <w:sz w:val="24"/>
              <w:szCs w:val="24"/>
              <w:lang w:eastAsia="zh-CN"/>
            </w:rPr>
            <w:instrText xml:space="preserve"> HYPERLINK \l _Toc9985 </w:instrText>
          </w:r>
          <w:r>
            <w:rPr>
              <w:rFonts w:hint="eastAsia" w:ascii="Arial" w:hAnsi="Arial" w:eastAsia="等线" w:cs="Arial"/>
              <w:sz w:val="24"/>
              <w:szCs w:val="24"/>
              <w:lang w:eastAsia="zh-CN"/>
            </w:rPr>
            <w:fldChar w:fldCharType="separate"/>
          </w:r>
          <w:r>
            <w:rPr>
              <w:rFonts w:ascii="Arial" w:hAnsi="Arial" w:eastAsia="等线" w:cs="Arial"/>
              <w:sz w:val="24"/>
              <w:szCs w:val="24"/>
            </w:rPr>
            <w:t>（三）评价指标体系</w:t>
          </w:r>
          <w:r>
            <w:rPr>
              <w:sz w:val="24"/>
              <w:szCs w:val="24"/>
            </w:rPr>
            <w:tab/>
          </w:r>
          <w:r>
            <w:rPr>
              <w:sz w:val="24"/>
              <w:szCs w:val="24"/>
            </w:rPr>
            <w:fldChar w:fldCharType="begin"/>
          </w:r>
          <w:r>
            <w:rPr>
              <w:sz w:val="24"/>
              <w:szCs w:val="24"/>
            </w:rPr>
            <w:instrText xml:space="preserve"> PAGEREF _Toc9985 \h </w:instrText>
          </w:r>
          <w:r>
            <w:rPr>
              <w:sz w:val="24"/>
              <w:szCs w:val="24"/>
            </w:rPr>
            <w:fldChar w:fldCharType="separate"/>
          </w:r>
          <w:r>
            <w:rPr>
              <w:sz w:val="24"/>
              <w:szCs w:val="24"/>
            </w:rPr>
            <w:t>4</w:t>
          </w:r>
          <w:r>
            <w:rPr>
              <w:sz w:val="24"/>
              <w:szCs w:val="24"/>
            </w:rPr>
            <w:fldChar w:fldCharType="end"/>
          </w:r>
          <w:r>
            <w:rPr>
              <w:rFonts w:hint="eastAsia" w:ascii="Arial" w:hAnsi="Arial" w:eastAsia="等线" w:cs="Arial"/>
              <w:sz w:val="24"/>
              <w:szCs w:val="24"/>
              <w:lang w:eastAsia="zh-CN"/>
            </w:rPr>
            <w:fldChar w:fldCharType="end"/>
          </w:r>
        </w:p>
        <w:p w14:paraId="295866BD">
          <w:pPr>
            <w:pStyle w:val="4"/>
            <w:tabs>
              <w:tab w:val="right" w:leader="dot" w:pos="8305"/>
            </w:tabs>
            <w:rPr>
              <w:sz w:val="24"/>
              <w:szCs w:val="24"/>
            </w:rPr>
          </w:pPr>
          <w:r>
            <w:rPr>
              <w:rFonts w:hint="eastAsia" w:ascii="Arial" w:hAnsi="Arial" w:eastAsia="等线" w:cs="Arial"/>
              <w:sz w:val="24"/>
              <w:szCs w:val="24"/>
              <w:lang w:eastAsia="zh-CN"/>
            </w:rPr>
            <w:fldChar w:fldCharType="begin"/>
          </w:r>
          <w:r>
            <w:rPr>
              <w:rFonts w:hint="eastAsia" w:ascii="Arial" w:hAnsi="Arial" w:eastAsia="等线" w:cs="Arial"/>
              <w:sz w:val="24"/>
              <w:szCs w:val="24"/>
              <w:lang w:eastAsia="zh-CN"/>
            </w:rPr>
            <w:instrText xml:space="preserve"> HYPERLINK \l _Toc1958 </w:instrText>
          </w:r>
          <w:r>
            <w:rPr>
              <w:rFonts w:hint="eastAsia" w:ascii="Arial" w:hAnsi="Arial" w:eastAsia="等线" w:cs="Arial"/>
              <w:sz w:val="24"/>
              <w:szCs w:val="24"/>
              <w:lang w:eastAsia="zh-CN"/>
            </w:rPr>
            <w:fldChar w:fldCharType="separate"/>
          </w:r>
          <w:r>
            <w:rPr>
              <w:rFonts w:ascii="Arial" w:hAnsi="Arial" w:eastAsia="等线" w:cs="Arial"/>
              <w:sz w:val="24"/>
              <w:szCs w:val="24"/>
            </w:rPr>
            <w:t>三、绩效指标完成情况分析</w:t>
          </w:r>
          <w:r>
            <w:rPr>
              <w:sz w:val="24"/>
              <w:szCs w:val="24"/>
            </w:rPr>
            <w:tab/>
          </w:r>
          <w:r>
            <w:rPr>
              <w:sz w:val="24"/>
              <w:szCs w:val="24"/>
            </w:rPr>
            <w:fldChar w:fldCharType="begin"/>
          </w:r>
          <w:r>
            <w:rPr>
              <w:sz w:val="24"/>
              <w:szCs w:val="24"/>
            </w:rPr>
            <w:instrText xml:space="preserve"> PAGEREF _Toc1958 \h </w:instrText>
          </w:r>
          <w:r>
            <w:rPr>
              <w:sz w:val="24"/>
              <w:szCs w:val="24"/>
            </w:rPr>
            <w:fldChar w:fldCharType="separate"/>
          </w:r>
          <w:r>
            <w:rPr>
              <w:sz w:val="24"/>
              <w:szCs w:val="24"/>
            </w:rPr>
            <w:t>4</w:t>
          </w:r>
          <w:r>
            <w:rPr>
              <w:sz w:val="24"/>
              <w:szCs w:val="24"/>
            </w:rPr>
            <w:fldChar w:fldCharType="end"/>
          </w:r>
          <w:r>
            <w:rPr>
              <w:rFonts w:hint="eastAsia" w:ascii="Arial" w:hAnsi="Arial" w:eastAsia="等线" w:cs="Arial"/>
              <w:sz w:val="24"/>
              <w:szCs w:val="24"/>
              <w:lang w:eastAsia="zh-CN"/>
            </w:rPr>
            <w:fldChar w:fldCharType="end"/>
          </w:r>
        </w:p>
        <w:p w14:paraId="58709A78">
          <w:pPr>
            <w:pStyle w:val="5"/>
            <w:tabs>
              <w:tab w:val="right" w:leader="dot" w:pos="8305"/>
            </w:tabs>
            <w:rPr>
              <w:sz w:val="24"/>
              <w:szCs w:val="24"/>
            </w:rPr>
          </w:pPr>
          <w:r>
            <w:rPr>
              <w:rFonts w:hint="eastAsia" w:ascii="Arial" w:hAnsi="Arial" w:eastAsia="等线" w:cs="Arial"/>
              <w:sz w:val="24"/>
              <w:szCs w:val="24"/>
              <w:lang w:eastAsia="zh-CN"/>
            </w:rPr>
            <w:fldChar w:fldCharType="begin"/>
          </w:r>
          <w:r>
            <w:rPr>
              <w:rFonts w:hint="eastAsia" w:ascii="Arial" w:hAnsi="Arial" w:eastAsia="等线" w:cs="Arial"/>
              <w:sz w:val="24"/>
              <w:szCs w:val="24"/>
              <w:lang w:eastAsia="zh-CN"/>
            </w:rPr>
            <w:instrText xml:space="preserve"> HYPERLINK \l _Toc29440 </w:instrText>
          </w:r>
          <w:r>
            <w:rPr>
              <w:rFonts w:hint="eastAsia" w:ascii="Arial" w:hAnsi="Arial" w:eastAsia="等线" w:cs="Arial"/>
              <w:sz w:val="24"/>
              <w:szCs w:val="24"/>
              <w:lang w:eastAsia="zh-CN"/>
            </w:rPr>
            <w:fldChar w:fldCharType="separate"/>
          </w:r>
          <w:r>
            <w:rPr>
              <w:rFonts w:ascii="Arial" w:hAnsi="Arial" w:eastAsia="等线" w:cs="Arial"/>
              <w:sz w:val="24"/>
              <w:szCs w:val="24"/>
            </w:rPr>
            <w:t>（一）项目决策情况</w:t>
          </w:r>
          <w:r>
            <w:rPr>
              <w:sz w:val="24"/>
              <w:szCs w:val="24"/>
            </w:rPr>
            <w:tab/>
          </w:r>
          <w:r>
            <w:rPr>
              <w:sz w:val="24"/>
              <w:szCs w:val="24"/>
            </w:rPr>
            <w:fldChar w:fldCharType="begin"/>
          </w:r>
          <w:r>
            <w:rPr>
              <w:sz w:val="24"/>
              <w:szCs w:val="24"/>
            </w:rPr>
            <w:instrText xml:space="preserve"> PAGEREF _Toc29440 \h </w:instrText>
          </w:r>
          <w:r>
            <w:rPr>
              <w:sz w:val="24"/>
              <w:szCs w:val="24"/>
            </w:rPr>
            <w:fldChar w:fldCharType="separate"/>
          </w:r>
          <w:r>
            <w:rPr>
              <w:sz w:val="24"/>
              <w:szCs w:val="24"/>
            </w:rPr>
            <w:t>4</w:t>
          </w:r>
          <w:r>
            <w:rPr>
              <w:sz w:val="24"/>
              <w:szCs w:val="24"/>
            </w:rPr>
            <w:fldChar w:fldCharType="end"/>
          </w:r>
          <w:r>
            <w:rPr>
              <w:rFonts w:hint="eastAsia" w:ascii="Arial" w:hAnsi="Arial" w:eastAsia="等线" w:cs="Arial"/>
              <w:sz w:val="24"/>
              <w:szCs w:val="24"/>
              <w:lang w:eastAsia="zh-CN"/>
            </w:rPr>
            <w:fldChar w:fldCharType="end"/>
          </w:r>
        </w:p>
        <w:p w14:paraId="7F7CA591">
          <w:pPr>
            <w:pStyle w:val="5"/>
            <w:tabs>
              <w:tab w:val="right" w:leader="dot" w:pos="8305"/>
            </w:tabs>
            <w:rPr>
              <w:sz w:val="24"/>
              <w:szCs w:val="24"/>
            </w:rPr>
          </w:pPr>
          <w:r>
            <w:rPr>
              <w:rFonts w:hint="eastAsia" w:ascii="Arial" w:hAnsi="Arial" w:eastAsia="等线" w:cs="Arial"/>
              <w:sz w:val="24"/>
              <w:szCs w:val="24"/>
              <w:lang w:eastAsia="zh-CN"/>
            </w:rPr>
            <w:fldChar w:fldCharType="begin"/>
          </w:r>
          <w:r>
            <w:rPr>
              <w:rFonts w:hint="eastAsia" w:ascii="Arial" w:hAnsi="Arial" w:eastAsia="等线" w:cs="Arial"/>
              <w:sz w:val="24"/>
              <w:szCs w:val="24"/>
              <w:lang w:eastAsia="zh-CN"/>
            </w:rPr>
            <w:instrText xml:space="preserve"> HYPERLINK \l _Toc28610 </w:instrText>
          </w:r>
          <w:r>
            <w:rPr>
              <w:rFonts w:hint="eastAsia" w:ascii="Arial" w:hAnsi="Arial" w:eastAsia="等线" w:cs="Arial"/>
              <w:sz w:val="24"/>
              <w:szCs w:val="24"/>
              <w:lang w:eastAsia="zh-CN"/>
            </w:rPr>
            <w:fldChar w:fldCharType="separate"/>
          </w:r>
          <w:r>
            <w:rPr>
              <w:rFonts w:ascii="Arial" w:hAnsi="Arial" w:eastAsia="等线" w:cs="Arial"/>
              <w:sz w:val="24"/>
              <w:szCs w:val="24"/>
            </w:rPr>
            <w:t>（二）项目过程情况</w:t>
          </w:r>
          <w:r>
            <w:rPr>
              <w:sz w:val="24"/>
              <w:szCs w:val="24"/>
            </w:rPr>
            <w:tab/>
          </w:r>
          <w:r>
            <w:rPr>
              <w:sz w:val="24"/>
              <w:szCs w:val="24"/>
            </w:rPr>
            <w:fldChar w:fldCharType="begin"/>
          </w:r>
          <w:r>
            <w:rPr>
              <w:sz w:val="24"/>
              <w:szCs w:val="24"/>
            </w:rPr>
            <w:instrText xml:space="preserve"> PAGEREF _Toc28610 \h </w:instrText>
          </w:r>
          <w:r>
            <w:rPr>
              <w:sz w:val="24"/>
              <w:szCs w:val="24"/>
            </w:rPr>
            <w:fldChar w:fldCharType="separate"/>
          </w:r>
          <w:r>
            <w:rPr>
              <w:sz w:val="24"/>
              <w:szCs w:val="24"/>
            </w:rPr>
            <w:t>4</w:t>
          </w:r>
          <w:r>
            <w:rPr>
              <w:sz w:val="24"/>
              <w:szCs w:val="24"/>
            </w:rPr>
            <w:fldChar w:fldCharType="end"/>
          </w:r>
          <w:r>
            <w:rPr>
              <w:rFonts w:hint="eastAsia" w:ascii="Arial" w:hAnsi="Arial" w:eastAsia="等线" w:cs="Arial"/>
              <w:sz w:val="24"/>
              <w:szCs w:val="24"/>
              <w:lang w:eastAsia="zh-CN"/>
            </w:rPr>
            <w:fldChar w:fldCharType="end"/>
          </w:r>
        </w:p>
        <w:p w14:paraId="305866F1">
          <w:pPr>
            <w:pStyle w:val="5"/>
            <w:tabs>
              <w:tab w:val="right" w:leader="dot" w:pos="8305"/>
            </w:tabs>
            <w:rPr>
              <w:sz w:val="24"/>
              <w:szCs w:val="24"/>
            </w:rPr>
          </w:pPr>
          <w:r>
            <w:rPr>
              <w:rFonts w:hint="eastAsia" w:ascii="Arial" w:hAnsi="Arial" w:eastAsia="等线" w:cs="Arial"/>
              <w:sz w:val="24"/>
              <w:szCs w:val="24"/>
              <w:lang w:eastAsia="zh-CN"/>
            </w:rPr>
            <w:fldChar w:fldCharType="begin"/>
          </w:r>
          <w:r>
            <w:rPr>
              <w:rFonts w:hint="eastAsia" w:ascii="Arial" w:hAnsi="Arial" w:eastAsia="等线" w:cs="Arial"/>
              <w:sz w:val="24"/>
              <w:szCs w:val="24"/>
              <w:lang w:eastAsia="zh-CN"/>
            </w:rPr>
            <w:instrText xml:space="preserve"> HYPERLINK \l _Toc18677 </w:instrText>
          </w:r>
          <w:r>
            <w:rPr>
              <w:rFonts w:hint="eastAsia" w:ascii="Arial" w:hAnsi="Arial" w:eastAsia="等线" w:cs="Arial"/>
              <w:sz w:val="24"/>
              <w:szCs w:val="24"/>
              <w:lang w:eastAsia="zh-CN"/>
            </w:rPr>
            <w:fldChar w:fldCharType="separate"/>
          </w:r>
          <w:r>
            <w:rPr>
              <w:rFonts w:ascii="Arial" w:hAnsi="Arial" w:eastAsia="等线" w:cs="Arial"/>
              <w:sz w:val="24"/>
              <w:szCs w:val="24"/>
            </w:rPr>
            <w:t>（三）项目产出情况</w:t>
          </w:r>
          <w:r>
            <w:rPr>
              <w:sz w:val="24"/>
              <w:szCs w:val="24"/>
            </w:rPr>
            <w:tab/>
          </w:r>
          <w:r>
            <w:rPr>
              <w:sz w:val="24"/>
              <w:szCs w:val="24"/>
            </w:rPr>
            <w:fldChar w:fldCharType="begin"/>
          </w:r>
          <w:r>
            <w:rPr>
              <w:sz w:val="24"/>
              <w:szCs w:val="24"/>
            </w:rPr>
            <w:instrText xml:space="preserve"> PAGEREF _Toc18677 \h </w:instrText>
          </w:r>
          <w:r>
            <w:rPr>
              <w:sz w:val="24"/>
              <w:szCs w:val="24"/>
            </w:rPr>
            <w:fldChar w:fldCharType="separate"/>
          </w:r>
          <w:r>
            <w:rPr>
              <w:sz w:val="24"/>
              <w:szCs w:val="24"/>
            </w:rPr>
            <w:t>4</w:t>
          </w:r>
          <w:r>
            <w:rPr>
              <w:sz w:val="24"/>
              <w:szCs w:val="24"/>
            </w:rPr>
            <w:fldChar w:fldCharType="end"/>
          </w:r>
          <w:r>
            <w:rPr>
              <w:rFonts w:hint="eastAsia" w:ascii="Arial" w:hAnsi="Arial" w:eastAsia="等线" w:cs="Arial"/>
              <w:sz w:val="24"/>
              <w:szCs w:val="24"/>
              <w:lang w:eastAsia="zh-CN"/>
            </w:rPr>
            <w:fldChar w:fldCharType="end"/>
          </w:r>
        </w:p>
        <w:p w14:paraId="761EE9CE">
          <w:pPr>
            <w:pStyle w:val="5"/>
            <w:tabs>
              <w:tab w:val="right" w:leader="dot" w:pos="8305"/>
            </w:tabs>
            <w:rPr>
              <w:sz w:val="24"/>
              <w:szCs w:val="24"/>
            </w:rPr>
          </w:pPr>
          <w:r>
            <w:rPr>
              <w:rFonts w:hint="eastAsia" w:ascii="Arial" w:hAnsi="Arial" w:eastAsia="等线" w:cs="Arial"/>
              <w:sz w:val="24"/>
              <w:szCs w:val="24"/>
              <w:lang w:eastAsia="zh-CN"/>
            </w:rPr>
            <w:fldChar w:fldCharType="begin"/>
          </w:r>
          <w:r>
            <w:rPr>
              <w:rFonts w:hint="eastAsia" w:ascii="Arial" w:hAnsi="Arial" w:eastAsia="等线" w:cs="Arial"/>
              <w:sz w:val="24"/>
              <w:szCs w:val="24"/>
              <w:lang w:eastAsia="zh-CN"/>
            </w:rPr>
            <w:instrText xml:space="preserve"> HYPERLINK \l _Toc27424 </w:instrText>
          </w:r>
          <w:r>
            <w:rPr>
              <w:rFonts w:hint="eastAsia" w:ascii="Arial" w:hAnsi="Arial" w:eastAsia="等线" w:cs="Arial"/>
              <w:sz w:val="24"/>
              <w:szCs w:val="24"/>
              <w:lang w:eastAsia="zh-CN"/>
            </w:rPr>
            <w:fldChar w:fldCharType="separate"/>
          </w:r>
          <w:r>
            <w:rPr>
              <w:rFonts w:ascii="Arial" w:hAnsi="Arial" w:eastAsia="等线" w:cs="Arial"/>
              <w:sz w:val="24"/>
              <w:szCs w:val="24"/>
            </w:rPr>
            <w:t>（四）项目效果情况</w:t>
          </w:r>
          <w:r>
            <w:rPr>
              <w:sz w:val="24"/>
              <w:szCs w:val="24"/>
            </w:rPr>
            <w:tab/>
          </w:r>
          <w:r>
            <w:rPr>
              <w:sz w:val="24"/>
              <w:szCs w:val="24"/>
            </w:rPr>
            <w:fldChar w:fldCharType="begin"/>
          </w:r>
          <w:r>
            <w:rPr>
              <w:sz w:val="24"/>
              <w:szCs w:val="24"/>
            </w:rPr>
            <w:instrText xml:space="preserve"> PAGEREF _Toc27424 \h </w:instrText>
          </w:r>
          <w:r>
            <w:rPr>
              <w:sz w:val="24"/>
              <w:szCs w:val="24"/>
            </w:rPr>
            <w:fldChar w:fldCharType="separate"/>
          </w:r>
          <w:r>
            <w:rPr>
              <w:sz w:val="24"/>
              <w:szCs w:val="24"/>
            </w:rPr>
            <w:t>5</w:t>
          </w:r>
          <w:r>
            <w:rPr>
              <w:sz w:val="24"/>
              <w:szCs w:val="24"/>
            </w:rPr>
            <w:fldChar w:fldCharType="end"/>
          </w:r>
          <w:r>
            <w:rPr>
              <w:rFonts w:hint="eastAsia" w:ascii="Arial" w:hAnsi="Arial" w:eastAsia="等线" w:cs="Arial"/>
              <w:sz w:val="24"/>
              <w:szCs w:val="24"/>
              <w:lang w:eastAsia="zh-CN"/>
            </w:rPr>
            <w:fldChar w:fldCharType="end"/>
          </w:r>
        </w:p>
        <w:p w14:paraId="3D5CA339">
          <w:pPr>
            <w:pStyle w:val="4"/>
            <w:tabs>
              <w:tab w:val="right" w:leader="dot" w:pos="8305"/>
            </w:tabs>
            <w:rPr>
              <w:sz w:val="24"/>
              <w:szCs w:val="24"/>
            </w:rPr>
          </w:pPr>
          <w:r>
            <w:rPr>
              <w:rFonts w:hint="eastAsia" w:ascii="Arial" w:hAnsi="Arial" w:eastAsia="等线" w:cs="Arial"/>
              <w:sz w:val="24"/>
              <w:szCs w:val="24"/>
              <w:lang w:eastAsia="zh-CN"/>
            </w:rPr>
            <w:fldChar w:fldCharType="begin"/>
          </w:r>
          <w:r>
            <w:rPr>
              <w:rFonts w:hint="eastAsia" w:ascii="Arial" w:hAnsi="Arial" w:eastAsia="等线" w:cs="Arial"/>
              <w:sz w:val="24"/>
              <w:szCs w:val="24"/>
              <w:lang w:eastAsia="zh-CN"/>
            </w:rPr>
            <w:instrText xml:space="preserve"> HYPERLINK \l _Toc26307 </w:instrText>
          </w:r>
          <w:r>
            <w:rPr>
              <w:rFonts w:hint="eastAsia" w:ascii="Arial" w:hAnsi="Arial" w:eastAsia="等线" w:cs="Arial"/>
              <w:sz w:val="24"/>
              <w:szCs w:val="24"/>
              <w:lang w:eastAsia="zh-CN"/>
            </w:rPr>
            <w:fldChar w:fldCharType="separate"/>
          </w:r>
          <w:r>
            <w:rPr>
              <w:rFonts w:ascii="Arial" w:hAnsi="Arial" w:eastAsia="等线" w:cs="Arial"/>
              <w:sz w:val="24"/>
              <w:szCs w:val="24"/>
            </w:rPr>
            <w:t>四、项目主要成效</w:t>
          </w:r>
          <w:r>
            <w:rPr>
              <w:sz w:val="24"/>
              <w:szCs w:val="24"/>
            </w:rPr>
            <w:tab/>
          </w:r>
          <w:r>
            <w:rPr>
              <w:sz w:val="24"/>
              <w:szCs w:val="24"/>
            </w:rPr>
            <w:fldChar w:fldCharType="begin"/>
          </w:r>
          <w:r>
            <w:rPr>
              <w:sz w:val="24"/>
              <w:szCs w:val="24"/>
            </w:rPr>
            <w:instrText xml:space="preserve"> PAGEREF _Toc26307 \h </w:instrText>
          </w:r>
          <w:r>
            <w:rPr>
              <w:sz w:val="24"/>
              <w:szCs w:val="24"/>
            </w:rPr>
            <w:fldChar w:fldCharType="separate"/>
          </w:r>
          <w:r>
            <w:rPr>
              <w:sz w:val="24"/>
              <w:szCs w:val="24"/>
            </w:rPr>
            <w:t>5</w:t>
          </w:r>
          <w:r>
            <w:rPr>
              <w:sz w:val="24"/>
              <w:szCs w:val="24"/>
            </w:rPr>
            <w:fldChar w:fldCharType="end"/>
          </w:r>
          <w:r>
            <w:rPr>
              <w:rFonts w:hint="eastAsia" w:ascii="Arial" w:hAnsi="Arial" w:eastAsia="等线" w:cs="Arial"/>
              <w:sz w:val="24"/>
              <w:szCs w:val="24"/>
              <w:lang w:eastAsia="zh-CN"/>
            </w:rPr>
            <w:fldChar w:fldCharType="end"/>
          </w:r>
        </w:p>
        <w:p w14:paraId="26D12BA3">
          <w:pPr>
            <w:pStyle w:val="5"/>
            <w:tabs>
              <w:tab w:val="right" w:leader="dot" w:pos="8305"/>
            </w:tabs>
            <w:rPr>
              <w:sz w:val="24"/>
              <w:szCs w:val="24"/>
            </w:rPr>
          </w:pPr>
          <w:r>
            <w:rPr>
              <w:rFonts w:hint="eastAsia" w:ascii="Arial" w:hAnsi="Arial" w:eastAsia="等线" w:cs="Arial"/>
              <w:sz w:val="24"/>
              <w:szCs w:val="24"/>
              <w:lang w:eastAsia="zh-CN"/>
            </w:rPr>
            <w:fldChar w:fldCharType="begin"/>
          </w:r>
          <w:r>
            <w:rPr>
              <w:rFonts w:hint="eastAsia" w:ascii="Arial" w:hAnsi="Arial" w:eastAsia="等线" w:cs="Arial"/>
              <w:sz w:val="24"/>
              <w:szCs w:val="24"/>
              <w:lang w:eastAsia="zh-CN"/>
            </w:rPr>
            <w:instrText xml:space="preserve"> HYPERLINK \l _Toc19232 </w:instrText>
          </w:r>
          <w:r>
            <w:rPr>
              <w:rFonts w:hint="eastAsia" w:ascii="Arial" w:hAnsi="Arial" w:eastAsia="等线" w:cs="Arial"/>
              <w:sz w:val="24"/>
              <w:szCs w:val="24"/>
              <w:lang w:eastAsia="zh-CN"/>
            </w:rPr>
            <w:fldChar w:fldCharType="separate"/>
          </w:r>
          <w:r>
            <w:rPr>
              <w:rFonts w:hint="eastAsia" w:ascii="Arial" w:hAnsi="Arial" w:eastAsia="等线" w:cs="Arial"/>
              <w:sz w:val="24"/>
              <w:szCs w:val="24"/>
              <w:lang w:val="en-US" w:eastAsia="zh-CN"/>
            </w:rPr>
            <w:t>1、</w:t>
          </w:r>
          <w:r>
            <w:rPr>
              <w:rFonts w:ascii="Arial" w:hAnsi="Arial" w:eastAsia="等线" w:cs="Arial"/>
              <w:sz w:val="24"/>
              <w:szCs w:val="24"/>
            </w:rPr>
            <w:t>安置政策全面落地，保障精准高效</w:t>
          </w:r>
          <w:r>
            <w:rPr>
              <w:sz w:val="24"/>
              <w:szCs w:val="24"/>
            </w:rPr>
            <w:tab/>
          </w:r>
          <w:r>
            <w:rPr>
              <w:sz w:val="24"/>
              <w:szCs w:val="24"/>
            </w:rPr>
            <w:fldChar w:fldCharType="begin"/>
          </w:r>
          <w:r>
            <w:rPr>
              <w:sz w:val="24"/>
              <w:szCs w:val="24"/>
            </w:rPr>
            <w:instrText xml:space="preserve"> PAGEREF _Toc19232 \h </w:instrText>
          </w:r>
          <w:r>
            <w:rPr>
              <w:sz w:val="24"/>
              <w:szCs w:val="24"/>
            </w:rPr>
            <w:fldChar w:fldCharType="separate"/>
          </w:r>
          <w:r>
            <w:rPr>
              <w:sz w:val="24"/>
              <w:szCs w:val="24"/>
            </w:rPr>
            <w:t>5</w:t>
          </w:r>
          <w:r>
            <w:rPr>
              <w:sz w:val="24"/>
              <w:szCs w:val="24"/>
            </w:rPr>
            <w:fldChar w:fldCharType="end"/>
          </w:r>
          <w:r>
            <w:rPr>
              <w:rFonts w:hint="eastAsia" w:ascii="Arial" w:hAnsi="Arial" w:eastAsia="等线" w:cs="Arial"/>
              <w:sz w:val="24"/>
              <w:szCs w:val="24"/>
              <w:lang w:eastAsia="zh-CN"/>
            </w:rPr>
            <w:fldChar w:fldCharType="end"/>
          </w:r>
        </w:p>
        <w:p w14:paraId="5BDEA3A1">
          <w:pPr>
            <w:pStyle w:val="5"/>
            <w:tabs>
              <w:tab w:val="right" w:leader="dot" w:pos="8305"/>
            </w:tabs>
            <w:rPr>
              <w:sz w:val="24"/>
              <w:szCs w:val="24"/>
            </w:rPr>
          </w:pPr>
          <w:r>
            <w:rPr>
              <w:rFonts w:hint="eastAsia" w:ascii="Arial" w:hAnsi="Arial" w:eastAsia="等线" w:cs="Arial"/>
              <w:sz w:val="24"/>
              <w:szCs w:val="24"/>
              <w:lang w:eastAsia="zh-CN"/>
            </w:rPr>
            <w:fldChar w:fldCharType="begin"/>
          </w:r>
          <w:r>
            <w:rPr>
              <w:rFonts w:hint="eastAsia" w:ascii="Arial" w:hAnsi="Arial" w:eastAsia="等线" w:cs="Arial"/>
              <w:sz w:val="24"/>
              <w:szCs w:val="24"/>
              <w:lang w:eastAsia="zh-CN"/>
            </w:rPr>
            <w:instrText xml:space="preserve"> HYPERLINK \l _Toc24362 </w:instrText>
          </w:r>
          <w:r>
            <w:rPr>
              <w:rFonts w:hint="eastAsia" w:ascii="Arial" w:hAnsi="Arial" w:eastAsia="等线" w:cs="Arial"/>
              <w:sz w:val="24"/>
              <w:szCs w:val="24"/>
              <w:lang w:eastAsia="zh-CN"/>
            </w:rPr>
            <w:fldChar w:fldCharType="separate"/>
          </w:r>
          <w:r>
            <w:rPr>
              <w:rFonts w:hint="eastAsia" w:ascii="Arial" w:hAnsi="Arial" w:eastAsia="等线" w:cs="Arial"/>
              <w:sz w:val="24"/>
              <w:szCs w:val="24"/>
              <w:lang w:val="en-US" w:eastAsia="zh-CN"/>
            </w:rPr>
            <w:t>2、</w:t>
          </w:r>
          <w:r>
            <w:rPr>
              <w:rFonts w:ascii="Arial" w:hAnsi="Arial" w:eastAsia="等线" w:cs="Arial"/>
              <w:sz w:val="24"/>
              <w:szCs w:val="24"/>
            </w:rPr>
            <w:t>资金管理规范安全，使用效益较高</w:t>
          </w:r>
          <w:r>
            <w:rPr>
              <w:sz w:val="24"/>
              <w:szCs w:val="24"/>
            </w:rPr>
            <w:tab/>
          </w:r>
          <w:r>
            <w:rPr>
              <w:sz w:val="24"/>
              <w:szCs w:val="24"/>
            </w:rPr>
            <w:fldChar w:fldCharType="begin"/>
          </w:r>
          <w:r>
            <w:rPr>
              <w:sz w:val="24"/>
              <w:szCs w:val="24"/>
            </w:rPr>
            <w:instrText xml:space="preserve"> PAGEREF _Toc24362 \h </w:instrText>
          </w:r>
          <w:r>
            <w:rPr>
              <w:sz w:val="24"/>
              <w:szCs w:val="24"/>
            </w:rPr>
            <w:fldChar w:fldCharType="separate"/>
          </w:r>
          <w:r>
            <w:rPr>
              <w:sz w:val="24"/>
              <w:szCs w:val="24"/>
            </w:rPr>
            <w:t>5</w:t>
          </w:r>
          <w:r>
            <w:rPr>
              <w:sz w:val="24"/>
              <w:szCs w:val="24"/>
            </w:rPr>
            <w:fldChar w:fldCharType="end"/>
          </w:r>
          <w:r>
            <w:rPr>
              <w:rFonts w:hint="eastAsia" w:ascii="Arial" w:hAnsi="Arial" w:eastAsia="等线" w:cs="Arial"/>
              <w:sz w:val="24"/>
              <w:szCs w:val="24"/>
              <w:lang w:eastAsia="zh-CN"/>
            </w:rPr>
            <w:fldChar w:fldCharType="end"/>
          </w:r>
        </w:p>
        <w:p w14:paraId="4F755D1A">
          <w:pPr>
            <w:pStyle w:val="5"/>
            <w:tabs>
              <w:tab w:val="right" w:leader="dot" w:pos="8305"/>
            </w:tabs>
            <w:rPr>
              <w:sz w:val="24"/>
              <w:szCs w:val="24"/>
            </w:rPr>
          </w:pPr>
          <w:r>
            <w:rPr>
              <w:rFonts w:hint="eastAsia" w:ascii="Arial" w:hAnsi="Arial" w:eastAsia="等线" w:cs="Arial"/>
              <w:sz w:val="24"/>
              <w:szCs w:val="24"/>
              <w:lang w:eastAsia="zh-CN"/>
            </w:rPr>
            <w:fldChar w:fldCharType="begin"/>
          </w:r>
          <w:r>
            <w:rPr>
              <w:rFonts w:hint="eastAsia" w:ascii="Arial" w:hAnsi="Arial" w:eastAsia="等线" w:cs="Arial"/>
              <w:sz w:val="24"/>
              <w:szCs w:val="24"/>
              <w:lang w:eastAsia="zh-CN"/>
            </w:rPr>
            <w:instrText xml:space="preserve"> HYPERLINK \l _Toc19160 </w:instrText>
          </w:r>
          <w:r>
            <w:rPr>
              <w:rFonts w:hint="eastAsia" w:ascii="Arial" w:hAnsi="Arial" w:eastAsia="等线" w:cs="Arial"/>
              <w:sz w:val="24"/>
              <w:szCs w:val="24"/>
              <w:lang w:eastAsia="zh-CN"/>
            </w:rPr>
            <w:fldChar w:fldCharType="separate"/>
          </w:r>
          <w:r>
            <w:rPr>
              <w:rFonts w:hint="eastAsia" w:ascii="Arial" w:hAnsi="Arial" w:eastAsia="等线" w:cs="Arial"/>
              <w:sz w:val="24"/>
              <w:szCs w:val="24"/>
              <w:lang w:val="en-US" w:eastAsia="zh-CN"/>
            </w:rPr>
            <w:t>3、</w:t>
          </w:r>
          <w:r>
            <w:rPr>
              <w:rFonts w:ascii="Arial" w:hAnsi="Arial" w:eastAsia="等线" w:cs="Arial"/>
              <w:sz w:val="24"/>
              <w:szCs w:val="24"/>
            </w:rPr>
            <w:t>服务保障持续优化，群众认可度高</w:t>
          </w:r>
          <w:r>
            <w:rPr>
              <w:sz w:val="24"/>
              <w:szCs w:val="24"/>
            </w:rPr>
            <w:tab/>
          </w:r>
          <w:r>
            <w:rPr>
              <w:sz w:val="24"/>
              <w:szCs w:val="24"/>
            </w:rPr>
            <w:fldChar w:fldCharType="begin"/>
          </w:r>
          <w:r>
            <w:rPr>
              <w:sz w:val="24"/>
              <w:szCs w:val="24"/>
            </w:rPr>
            <w:instrText xml:space="preserve"> PAGEREF _Toc19160 \h </w:instrText>
          </w:r>
          <w:r>
            <w:rPr>
              <w:sz w:val="24"/>
              <w:szCs w:val="24"/>
            </w:rPr>
            <w:fldChar w:fldCharType="separate"/>
          </w:r>
          <w:r>
            <w:rPr>
              <w:sz w:val="24"/>
              <w:szCs w:val="24"/>
            </w:rPr>
            <w:t>5</w:t>
          </w:r>
          <w:r>
            <w:rPr>
              <w:sz w:val="24"/>
              <w:szCs w:val="24"/>
            </w:rPr>
            <w:fldChar w:fldCharType="end"/>
          </w:r>
          <w:r>
            <w:rPr>
              <w:rFonts w:hint="eastAsia" w:ascii="Arial" w:hAnsi="Arial" w:eastAsia="等线" w:cs="Arial"/>
              <w:sz w:val="24"/>
              <w:szCs w:val="24"/>
              <w:lang w:eastAsia="zh-CN"/>
            </w:rPr>
            <w:fldChar w:fldCharType="end"/>
          </w:r>
        </w:p>
        <w:p w14:paraId="3FF3607A">
          <w:pPr>
            <w:pStyle w:val="5"/>
            <w:tabs>
              <w:tab w:val="right" w:leader="dot" w:pos="8305"/>
            </w:tabs>
            <w:rPr>
              <w:sz w:val="24"/>
              <w:szCs w:val="24"/>
            </w:rPr>
          </w:pPr>
          <w:r>
            <w:rPr>
              <w:rFonts w:hint="eastAsia" w:ascii="Arial" w:hAnsi="Arial" w:eastAsia="等线" w:cs="Arial"/>
              <w:sz w:val="24"/>
              <w:szCs w:val="24"/>
              <w:lang w:eastAsia="zh-CN"/>
            </w:rPr>
            <w:fldChar w:fldCharType="begin"/>
          </w:r>
          <w:r>
            <w:rPr>
              <w:rFonts w:hint="eastAsia" w:ascii="Arial" w:hAnsi="Arial" w:eastAsia="等线" w:cs="Arial"/>
              <w:sz w:val="24"/>
              <w:szCs w:val="24"/>
              <w:lang w:eastAsia="zh-CN"/>
            </w:rPr>
            <w:instrText xml:space="preserve"> HYPERLINK \l _Toc3801 </w:instrText>
          </w:r>
          <w:r>
            <w:rPr>
              <w:rFonts w:hint="eastAsia" w:ascii="Arial" w:hAnsi="Arial" w:eastAsia="等线" w:cs="Arial"/>
              <w:sz w:val="24"/>
              <w:szCs w:val="24"/>
              <w:lang w:eastAsia="zh-CN"/>
            </w:rPr>
            <w:fldChar w:fldCharType="separate"/>
          </w:r>
          <w:r>
            <w:rPr>
              <w:rFonts w:hint="eastAsia" w:ascii="Arial" w:hAnsi="Arial" w:eastAsia="等线" w:cs="Arial"/>
              <w:sz w:val="24"/>
              <w:szCs w:val="24"/>
              <w:lang w:val="en-US" w:eastAsia="zh-CN"/>
            </w:rPr>
            <w:t>4、</w:t>
          </w:r>
          <w:r>
            <w:rPr>
              <w:rFonts w:ascii="Arial" w:hAnsi="Arial" w:eastAsia="等线" w:cs="Arial"/>
              <w:sz w:val="24"/>
              <w:szCs w:val="24"/>
            </w:rPr>
            <w:t>社会效益突出，军政军民团结巩固</w:t>
          </w:r>
          <w:r>
            <w:rPr>
              <w:sz w:val="24"/>
              <w:szCs w:val="24"/>
            </w:rPr>
            <w:tab/>
          </w:r>
          <w:r>
            <w:rPr>
              <w:sz w:val="24"/>
              <w:szCs w:val="24"/>
            </w:rPr>
            <w:fldChar w:fldCharType="begin"/>
          </w:r>
          <w:r>
            <w:rPr>
              <w:sz w:val="24"/>
              <w:szCs w:val="24"/>
            </w:rPr>
            <w:instrText xml:space="preserve"> PAGEREF _Toc3801 \h </w:instrText>
          </w:r>
          <w:r>
            <w:rPr>
              <w:sz w:val="24"/>
              <w:szCs w:val="24"/>
            </w:rPr>
            <w:fldChar w:fldCharType="separate"/>
          </w:r>
          <w:r>
            <w:rPr>
              <w:sz w:val="24"/>
              <w:szCs w:val="24"/>
            </w:rPr>
            <w:t>5</w:t>
          </w:r>
          <w:r>
            <w:rPr>
              <w:sz w:val="24"/>
              <w:szCs w:val="24"/>
            </w:rPr>
            <w:fldChar w:fldCharType="end"/>
          </w:r>
          <w:r>
            <w:rPr>
              <w:rFonts w:hint="eastAsia" w:ascii="Arial" w:hAnsi="Arial" w:eastAsia="等线" w:cs="Arial"/>
              <w:sz w:val="24"/>
              <w:szCs w:val="24"/>
              <w:lang w:eastAsia="zh-CN"/>
            </w:rPr>
            <w:fldChar w:fldCharType="end"/>
          </w:r>
        </w:p>
        <w:p w14:paraId="66B6CE68">
          <w:pPr>
            <w:pStyle w:val="4"/>
            <w:tabs>
              <w:tab w:val="right" w:leader="dot" w:pos="8305"/>
            </w:tabs>
            <w:rPr>
              <w:sz w:val="24"/>
              <w:szCs w:val="24"/>
            </w:rPr>
          </w:pPr>
          <w:r>
            <w:rPr>
              <w:rFonts w:hint="eastAsia" w:ascii="Arial" w:hAnsi="Arial" w:eastAsia="等线" w:cs="Arial"/>
              <w:sz w:val="24"/>
              <w:szCs w:val="24"/>
              <w:lang w:eastAsia="zh-CN"/>
            </w:rPr>
            <w:fldChar w:fldCharType="begin"/>
          </w:r>
          <w:r>
            <w:rPr>
              <w:rFonts w:hint="eastAsia" w:ascii="Arial" w:hAnsi="Arial" w:eastAsia="等线" w:cs="Arial"/>
              <w:sz w:val="24"/>
              <w:szCs w:val="24"/>
              <w:lang w:eastAsia="zh-CN"/>
            </w:rPr>
            <w:instrText xml:space="preserve"> HYPERLINK \l _Toc29290 </w:instrText>
          </w:r>
          <w:r>
            <w:rPr>
              <w:rFonts w:hint="eastAsia" w:ascii="Arial" w:hAnsi="Arial" w:eastAsia="等线" w:cs="Arial"/>
              <w:sz w:val="24"/>
              <w:szCs w:val="24"/>
              <w:lang w:eastAsia="zh-CN"/>
            </w:rPr>
            <w:fldChar w:fldCharType="separate"/>
          </w:r>
          <w:r>
            <w:rPr>
              <w:rFonts w:ascii="Arial" w:hAnsi="Arial" w:eastAsia="等线" w:cs="Arial"/>
              <w:sz w:val="24"/>
              <w:szCs w:val="24"/>
            </w:rPr>
            <w:t>五、存在的问题</w:t>
          </w:r>
          <w:r>
            <w:rPr>
              <w:sz w:val="24"/>
              <w:szCs w:val="24"/>
            </w:rPr>
            <w:tab/>
          </w:r>
          <w:r>
            <w:rPr>
              <w:sz w:val="24"/>
              <w:szCs w:val="24"/>
            </w:rPr>
            <w:fldChar w:fldCharType="begin"/>
          </w:r>
          <w:r>
            <w:rPr>
              <w:sz w:val="24"/>
              <w:szCs w:val="24"/>
            </w:rPr>
            <w:instrText xml:space="preserve"> PAGEREF _Toc29290 \h </w:instrText>
          </w:r>
          <w:r>
            <w:rPr>
              <w:sz w:val="24"/>
              <w:szCs w:val="24"/>
            </w:rPr>
            <w:fldChar w:fldCharType="separate"/>
          </w:r>
          <w:r>
            <w:rPr>
              <w:sz w:val="24"/>
              <w:szCs w:val="24"/>
            </w:rPr>
            <w:t>5</w:t>
          </w:r>
          <w:r>
            <w:rPr>
              <w:sz w:val="24"/>
              <w:szCs w:val="24"/>
            </w:rPr>
            <w:fldChar w:fldCharType="end"/>
          </w:r>
          <w:r>
            <w:rPr>
              <w:rFonts w:hint="eastAsia" w:ascii="Arial" w:hAnsi="Arial" w:eastAsia="等线" w:cs="Arial"/>
              <w:sz w:val="24"/>
              <w:szCs w:val="24"/>
              <w:lang w:eastAsia="zh-CN"/>
            </w:rPr>
            <w:fldChar w:fldCharType="end"/>
          </w:r>
        </w:p>
        <w:p w14:paraId="22CA9ABC">
          <w:pPr>
            <w:pStyle w:val="4"/>
            <w:tabs>
              <w:tab w:val="right" w:leader="dot" w:pos="8305"/>
            </w:tabs>
            <w:rPr>
              <w:sz w:val="24"/>
              <w:szCs w:val="24"/>
            </w:rPr>
          </w:pPr>
          <w:r>
            <w:rPr>
              <w:rFonts w:hint="eastAsia" w:ascii="Arial" w:hAnsi="Arial" w:eastAsia="等线" w:cs="Arial"/>
              <w:sz w:val="24"/>
              <w:szCs w:val="24"/>
              <w:lang w:eastAsia="zh-CN"/>
            </w:rPr>
            <w:fldChar w:fldCharType="begin"/>
          </w:r>
          <w:r>
            <w:rPr>
              <w:rFonts w:hint="eastAsia" w:ascii="Arial" w:hAnsi="Arial" w:eastAsia="等线" w:cs="Arial"/>
              <w:sz w:val="24"/>
              <w:szCs w:val="24"/>
              <w:lang w:eastAsia="zh-CN"/>
            </w:rPr>
            <w:instrText xml:space="preserve"> HYPERLINK \l _Toc10988 </w:instrText>
          </w:r>
          <w:r>
            <w:rPr>
              <w:rFonts w:hint="eastAsia" w:ascii="Arial" w:hAnsi="Arial" w:eastAsia="等线" w:cs="Arial"/>
              <w:sz w:val="24"/>
              <w:szCs w:val="24"/>
              <w:lang w:eastAsia="zh-CN"/>
            </w:rPr>
            <w:fldChar w:fldCharType="separate"/>
          </w:r>
          <w:r>
            <w:rPr>
              <w:rFonts w:ascii="Arial" w:hAnsi="Arial" w:eastAsia="等线" w:cs="Arial"/>
              <w:sz w:val="24"/>
              <w:szCs w:val="24"/>
            </w:rPr>
            <w:t>六、原因分析</w:t>
          </w:r>
          <w:r>
            <w:rPr>
              <w:sz w:val="24"/>
              <w:szCs w:val="24"/>
            </w:rPr>
            <w:tab/>
          </w:r>
          <w:r>
            <w:rPr>
              <w:sz w:val="24"/>
              <w:szCs w:val="24"/>
            </w:rPr>
            <w:fldChar w:fldCharType="begin"/>
          </w:r>
          <w:r>
            <w:rPr>
              <w:sz w:val="24"/>
              <w:szCs w:val="24"/>
            </w:rPr>
            <w:instrText xml:space="preserve"> PAGEREF _Toc10988 \h </w:instrText>
          </w:r>
          <w:r>
            <w:rPr>
              <w:sz w:val="24"/>
              <w:szCs w:val="24"/>
            </w:rPr>
            <w:fldChar w:fldCharType="separate"/>
          </w:r>
          <w:r>
            <w:rPr>
              <w:sz w:val="24"/>
              <w:szCs w:val="24"/>
            </w:rPr>
            <w:t>5</w:t>
          </w:r>
          <w:r>
            <w:rPr>
              <w:sz w:val="24"/>
              <w:szCs w:val="24"/>
            </w:rPr>
            <w:fldChar w:fldCharType="end"/>
          </w:r>
          <w:r>
            <w:rPr>
              <w:rFonts w:hint="eastAsia" w:ascii="Arial" w:hAnsi="Arial" w:eastAsia="等线" w:cs="Arial"/>
              <w:sz w:val="24"/>
              <w:szCs w:val="24"/>
              <w:lang w:eastAsia="zh-CN"/>
            </w:rPr>
            <w:fldChar w:fldCharType="end"/>
          </w:r>
        </w:p>
        <w:p w14:paraId="465FD7AC">
          <w:pPr>
            <w:pStyle w:val="4"/>
            <w:tabs>
              <w:tab w:val="right" w:leader="dot" w:pos="8305"/>
            </w:tabs>
            <w:rPr>
              <w:sz w:val="24"/>
              <w:szCs w:val="24"/>
            </w:rPr>
          </w:pPr>
          <w:r>
            <w:rPr>
              <w:rFonts w:hint="eastAsia" w:ascii="Arial" w:hAnsi="Arial" w:eastAsia="等线" w:cs="Arial"/>
              <w:sz w:val="24"/>
              <w:szCs w:val="24"/>
              <w:lang w:eastAsia="zh-CN"/>
            </w:rPr>
            <w:fldChar w:fldCharType="begin"/>
          </w:r>
          <w:r>
            <w:rPr>
              <w:rFonts w:hint="eastAsia" w:ascii="Arial" w:hAnsi="Arial" w:eastAsia="等线" w:cs="Arial"/>
              <w:sz w:val="24"/>
              <w:szCs w:val="24"/>
              <w:lang w:eastAsia="zh-CN"/>
            </w:rPr>
            <w:instrText xml:space="preserve"> HYPERLINK \l _Toc16887 </w:instrText>
          </w:r>
          <w:r>
            <w:rPr>
              <w:rFonts w:hint="eastAsia" w:ascii="Arial" w:hAnsi="Arial" w:eastAsia="等线" w:cs="Arial"/>
              <w:sz w:val="24"/>
              <w:szCs w:val="24"/>
              <w:lang w:eastAsia="zh-CN"/>
            </w:rPr>
            <w:fldChar w:fldCharType="separate"/>
          </w:r>
          <w:r>
            <w:rPr>
              <w:rFonts w:ascii="Arial" w:hAnsi="Arial" w:eastAsia="等线" w:cs="Arial"/>
              <w:sz w:val="24"/>
              <w:szCs w:val="24"/>
            </w:rPr>
            <w:t>七、整改措施及下一步工作计划</w:t>
          </w:r>
          <w:r>
            <w:rPr>
              <w:sz w:val="24"/>
              <w:szCs w:val="24"/>
            </w:rPr>
            <w:tab/>
          </w:r>
          <w:r>
            <w:rPr>
              <w:sz w:val="24"/>
              <w:szCs w:val="24"/>
            </w:rPr>
            <w:fldChar w:fldCharType="begin"/>
          </w:r>
          <w:r>
            <w:rPr>
              <w:sz w:val="24"/>
              <w:szCs w:val="24"/>
            </w:rPr>
            <w:instrText xml:space="preserve"> PAGEREF _Toc16887 \h </w:instrText>
          </w:r>
          <w:r>
            <w:rPr>
              <w:sz w:val="24"/>
              <w:szCs w:val="24"/>
            </w:rPr>
            <w:fldChar w:fldCharType="separate"/>
          </w:r>
          <w:r>
            <w:rPr>
              <w:sz w:val="24"/>
              <w:szCs w:val="24"/>
            </w:rPr>
            <w:t>6</w:t>
          </w:r>
          <w:r>
            <w:rPr>
              <w:sz w:val="24"/>
              <w:szCs w:val="24"/>
            </w:rPr>
            <w:fldChar w:fldCharType="end"/>
          </w:r>
          <w:r>
            <w:rPr>
              <w:rFonts w:hint="eastAsia" w:ascii="Arial" w:hAnsi="Arial" w:eastAsia="等线" w:cs="Arial"/>
              <w:sz w:val="24"/>
              <w:szCs w:val="24"/>
              <w:lang w:eastAsia="zh-CN"/>
            </w:rPr>
            <w:fldChar w:fldCharType="end"/>
          </w:r>
        </w:p>
        <w:p w14:paraId="779BD71E">
          <w:pPr>
            <w:pStyle w:val="5"/>
            <w:tabs>
              <w:tab w:val="right" w:leader="dot" w:pos="8305"/>
            </w:tabs>
            <w:rPr>
              <w:sz w:val="24"/>
              <w:szCs w:val="24"/>
            </w:rPr>
          </w:pPr>
          <w:r>
            <w:rPr>
              <w:rFonts w:hint="eastAsia" w:ascii="Arial" w:hAnsi="Arial" w:eastAsia="等线" w:cs="Arial"/>
              <w:sz w:val="24"/>
              <w:szCs w:val="24"/>
              <w:lang w:eastAsia="zh-CN"/>
            </w:rPr>
            <w:fldChar w:fldCharType="begin"/>
          </w:r>
          <w:r>
            <w:rPr>
              <w:rFonts w:hint="eastAsia" w:ascii="Arial" w:hAnsi="Arial" w:eastAsia="等线" w:cs="Arial"/>
              <w:sz w:val="24"/>
              <w:szCs w:val="24"/>
              <w:lang w:eastAsia="zh-CN"/>
            </w:rPr>
            <w:instrText xml:space="preserve"> HYPERLINK \l _Toc15506 </w:instrText>
          </w:r>
          <w:r>
            <w:rPr>
              <w:rFonts w:hint="eastAsia" w:ascii="Arial" w:hAnsi="Arial" w:eastAsia="等线" w:cs="Arial"/>
              <w:sz w:val="24"/>
              <w:szCs w:val="24"/>
              <w:lang w:eastAsia="zh-CN"/>
            </w:rPr>
            <w:fldChar w:fldCharType="separate"/>
          </w:r>
          <w:r>
            <w:rPr>
              <w:rFonts w:hint="eastAsia" w:ascii="Arial" w:hAnsi="Arial" w:eastAsia="等线" w:cs="Arial"/>
              <w:sz w:val="24"/>
              <w:szCs w:val="24"/>
              <w:lang w:val="en-US" w:eastAsia="zh-CN"/>
            </w:rPr>
            <w:t>1、</w:t>
          </w:r>
          <w:r>
            <w:rPr>
              <w:rFonts w:ascii="Arial" w:hAnsi="Arial" w:eastAsia="等线" w:cs="Arial"/>
              <w:sz w:val="24"/>
              <w:szCs w:val="24"/>
            </w:rPr>
            <w:t>强化预算精细化管理</w:t>
          </w:r>
          <w:r>
            <w:rPr>
              <w:sz w:val="24"/>
              <w:szCs w:val="24"/>
            </w:rPr>
            <w:tab/>
          </w:r>
          <w:r>
            <w:rPr>
              <w:sz w:val="24"/>
              <w:szCs w:val="24"/>
            </w:rPr>
            <w:fldChar w:fldCharType="begin"/>
          </w:r>
          <w:r>
            <w:rPr>
              <w:sz w:val="24"/>
              <w:szCs w:val="24"/>
            </w:rPr>
            <w:instrText xml:space="preserve"> PAGEREF _Toc15506 \h </w:instrText>
          </w:r>
          <w:r>
            <w:rPr>
              <w:sz w:val="24"/>
              <w:szCs w:val="24"/>
            </w:rPr>
            <w:fldChar w:fldCharType="separate"/>
          </w:r>
          <w:r>
            <w:rPr>
              <w:sz w:val="24"/>
              <w:szCs w:val="24"/>
            </w:rPr>
            <w:t>6</w:t>
          </w:r>
          <w:r>
            <w:rPr>
              <w:sz w:val="24"/>
              <w:szCs w:val="24"/>
            </w:rPr>
            <w:fldChar w:fldCharType="end"/>
          </w:r>
          <w:r>
            <w:rPr>
              <w:rFonts w:hint="eastAsia" w:ascii="Arial" w:hAnsi="Arial" w:eastAsia="等线" w:cs="Arial"/>
              <w:sz w:val="24"/>
              <w:szCs w:val="24"/>
              <w:lang w:eastAsia="zh-CN"/>
            </w:rPr>
            <w:fldChar w:fldCharType="end"/>
          </w:r>
        </w:p>
        <w:p w14:paraId="5C0344BE">
          <w:pPr>
            <w:pStyle w:val="5"/>
            <w:tabs>
              <w:tab w:val="right" w:leader="dot" w:pos="8305"/>
            </w:tabs>
            <w:rPr>
              <w:sz w:val="24"/>
              <w:szCs w:val="24"/>
            </w:rPr>
          </w:pPr>
          <w:r>
            <w:rPr>
              <w:rFonts w:hint="eastAsia" w:ascii="Arial" w:hAnsi="Arial" w:eastAsia="等线" w:cs="Arial"/>
              <w:sz w:val="24"/>
              <w:szCs w:val="24"/>
              <w:lang w:eastAsia="zh-CN"/>
            </w:rPr>
            <w:fldChar w:fldCharType="begin"/>
          </w:r>
          <w:r>
            <w:rPr>
              <w:rFonts w:hint="eastAsia" w:ascii="Arial" w:hAnsi="Arial" w:eastAsia="等线" w:cs="Arial"/>
              <w:sz w:val="24"/>
              <w:szCs w:val="24"/>
              <w:lang w:eastAsia="zh-CN"/>
            </w:rPr>
            <w:instrText xml:space="preserve"> HYPERLINK \l _Toc18750 </w:instrText>
          </w:r>
          <w:r>
            <w:rPr>
              <w:rFonts w:hint="eastAsia" w:ascii="Arial" w:hAnsi="Arial" w:eastAsia="等线" w:cs="Arial"/>
              <w:sz w:val="24"/>
              <w:szCs w:val="24"/>
              <w:lang w:eastAsia="zh-CN"/>
            </w:rPr>
            <w:fldChar w:fldCharType="separate"/>
          </w:r>
          <w:r>
            <w:rPr>
              <w:rFonts w:hint="eastAsia" w:ascii="Arial" w:hAnsi="Arial" w:eastAsia="等线" w:cs="Arial"/>
              <w:sz w:val="24"/>
              <w:szCs w:val="24"/>
              <w:lang w:val="en-US" w:eastAsia="zh-CN"/>
            </w:rPr>
            <w:t>2、</w:t>
          </w:r>
          <w:r>
            <w:rPr>
              <w:rFonts w:ascii="Arial" w:hAnsi="Arial" w:eastAsia="等线" w:cs="Arial"/>
              <w:sz w:val="24"/>
              <w:szCs w:val="24"/>
            </w:rPr>
            <w:t>加快信息化平台建设</w:t>
          </w:r>
          <w:r>
            <w:rPr>
              <w:sz w:val="24"/>
              <w:szCs w:val="24"/>
            </w:rPr>
            <w:tab/>
          </w:r>
          <w:r>
            <w:rPr>
              <w:sz w:val="24"/>
              <w:szCs w:val="24"/>
            </w:rPr>
            <w:fldChar w:fldCharType="begin"/>
          </w:r>
          <w:r>
            <w:rPr>
              <w:sz w:val="24"/>
              <w:szCs w:val="24"/>
            </w:rPr>
            <w:instrText xml:space="preserve"> PAGEREF _Toc18750 \h </w:instrText>
          </w:r>
          <w:r>
            <w:rPr>
              <w:sz w:val="24"/>
              <w:szCs w:val="24"/>
            </w:rPr>
            <w:fldChar w:fldCharType="separate"/>
          </w:r>
          <w:r>
            <w:rPr>
              <w:sz w:val="24"/>
              <w:szCs w:val="24"/>
            </w:rPr>
            <w:t>6</w:t>
          </w:r>
          <w:r>
            <w:rPr>
              <w:sz w:val="24"/>
              <w:szCs w:val="24"/>
            </w:rPr>
            <w:fldChar w:fldCharType="end"/>
          </w:r>
          <w:r>
            <w:rPr>
              <w:rFonts w:hint="eastAsia" w:ascii="Arial" w:hAnsi="Arial" w:eastAsia="等线" w:cs="Arial"/>
              <w:sz w:val="24"/>
              <w:szCs w:val="24"/>
              <w:lang w:eastAsia="zh-CN"/>
            </w:rPr>
            <w:fldChar w:fldCharType="end"/>
          </w:r>
        </w:p>
        <w:p w14:paraId="4312AAA6">
          <w:pPr>
            <w:pStyle w:val="5"/>
            <w:tabs>
              <w:tab w:val="right" w:leader="dot" w:pos="8305"/>
            </w:tabs>
            <w:rPr>
              <w:sz w:val="24"/>
              <w:szCs w:val="24"/>
            </w:rPr>
          </w:pPr>
          <w:r>
            <w:rPr>
              <w:rFonts w:hint="eastAsia" w:ascii="Arial" w:hAnsi="Arial" w:eastAsia="等线" w:cs="Arial"/>
              <w:sz w:val="24"/>
              <w:szCs w:val="24"/>
              <w:lang w:eastAsia="zh-CN"/>
            </w:rPr>
            <w:fldChar w:fldCharType="begin"/>
          </w:r>
          <w:r>
            <w:rPr>
              <w:rFonts w:hint="eastAsia" w:ascii="Arial" w:hAnsi="Arial" w:eastAsia="等线" w:cs="Arial"/>
              <w:sz w:val="24"/>
              <w:szCs w:val="24"/>
              <w:lang w:eastAsia="zh-CN"/>
            </w:rPr>
            <w:instrText xml:space="preserve"> HYPERLINK \l _Toc15024 </w:instrText>
          </w:r>
          <w:r>
            <w:rPr>
              <w:rFonts w:hint="eastAsia" w:ascii="Arial" w:hAnsi="Arial" w:eastAsia="等线" w:cs="Arial"/>
              <w:sz w:val="24"/>
              <w:szCs w:val="24"/>
              <w:lang w:eastAsia="zh-CN"/>
            </w:rPr>
            <w:fldChar w:fldCharType="separate"/>
          </w:r>
          <w:r>
            <w:rPr>
              <w:rFonts w:hint="eastAsia" w:ascii="Arial" w:hAnsi="Arial" w:eastAsia="等线" w:cs="Arial"/>
              <w:sz w:val="24"/>
              <w:szCs w:val="24"/>
              <w:lang w:val="en-US" w:eastAsia="zh-CN"/>
            </w:rPr>
            <w:t>3、</w:t>
          </w:r>
          <w:r>
            <w:rPr>
              <w:rFonts w:ascii="Arial" w:hAnsi="Arial" w:eastAsia="等线" w:cs="Arial"/>
              <w:sz w:val="24"/>
              <w:szCs w:val="24"/>
            </w:rPr>
            <w:t>深化就业创业精准服务</w:t>
          </w:r>
          <w:r>
            <w:rPr>
              <w:sz w:val="24"/>
              <w:szCs w:val="24"/>
            </w:rPr>
            <w:tab/>
          </w:r>
          <w:r>
            <w:rPr>
              <w:sz w:val="24"/>
              <w:szCs w:val="24"/>
            </w:rPr>
            <w:fldChar w:fldCharType="begin"/>
          </w:r>
          <w:r>
            <w:rPr>
              <w:sz w:val="24"/>
              <w:szCs w:val="24"/>
            </w:rPr>
            <w:instrText xml:space="preserve"> PAGEREF _Toc15024 \h </w:instrText>
          </w:r>
          <w:r>
            <w:rPr>
              <w:sz w:val="24"/>
              <w:szCs w:val="24"/>
            </w:rPr>
            <w:fldChar w:fldCharType="separate"/>
          </w:r>
          <w:r>
            <w:rPr>
              <w:sz w:val="24"/>
              <w:szCs w:val="24"/>
            </w:rPr>
            <w:t>6</w:t>
          </w:r>
          <w:r>
            <w:rPr>
              <w:sz w:val="24"/>
              <w:szCs w:val="24"/>
            </w:rPr>
            <w:fldChar w:fldCharType="end"/>
          </w:r>
          <w:r>
            <w:rPr>
              <w:rFonts w:hint="eastAsia" w:ascii="Arial" w:hAnsi="Arial" w:eastAsia="等线" w:cs="Arial"/>
              <w:sz w:val="24"/>
              <w:szCs w:val="24"/>
              <w:lang w:eastAsia="zh-CN"/>
            </w:rPr>
            <w:fldChar w:fldCharType="end"/>
          </w:r>
        </w:p>
        <w:p w14:paraId="6B993FA9">
          <w:pPr>
            <w:pStyle w:val="5"/>
            <w:tabs>
              <w:tab w:val="right" w:leader="dot" w:pos="8305"/>
            </w:tabs>
            <w:rPr>
              <w:sz w:val="24"/>
              <w:szCs w:val="24"/>
            </w:rPr>
          </w:pPr>
          <w:r>
            <w:rPr>
              <w:rFonts w:hint="eastAsia" w:ascii="Arial" w:hAnsi="Arial" w:eastAsia="等线" w:cs="Arial"/>
              <w:sz w:val="24"/>
              <w:szCs w:val="24"/>
              <w:lang w:eastAsia="zh-CN"/>
            </w:rPr>
            <w:fldChar w:fldCharType="begin"/>
          </w:r>
          <w:r>
            <w:rPr>
              <w:rFonts w:hint="eastAsia" w:ascii="Arial" w:hAnsi="Arial" w:eastAsia="等线" w:cs="Arial"/>
              <w:sz w:val="24"/>
              <w:szCs w:val="24"/>
              <w:lang w:eastAsia="zh-CN"/>
            </w:rPr>
            <w:instrText xml:space="preserve"> HYPERLINK \l _Toc14635 </w:instrText>
          </w:r>
          <w:r>
            <w:rPr>
              <w:rFonts w:hint="eastAsia" w:ascii="Arial" w:hAnsi="Arial" w:eastAsia="等线" w:cs="Arial"/>
              <w:sz w:val="24"/>
              <w:szCs w:val="24"/>
              <w:lang w:eastAsia="zh-CN"/>
            </w:rPr>
            <w:fldChar w:fldCharType="separate"/>
          </w:r>
          <w:r>
            <w:rPr>
              <w:rFonts w:hint="eastAsia" w:ascii="Arial" w:hAnsi="Arial" w:eastAsia="等线" w:cs="Arial"/>
              <w:sz w:val="24"/>
              <w:szCs w:val="24"/>
              <w:lang w:val="en-US" w:eastAsia="zh-CN"/>
            </w:rPr>
            <w:t>4、</w:t>
          </w:r>
          <w:r>
            <w:rPr>
              <w:rFonts w:ascii="Arial" w:hAnsi="Arial" w:eastAsia="等线" w:cs="Arial"/>
              <w:sz w:val="24"/>
              <w:szCs w:val="24"/>
            </w:rPr>
            <w:t>加强基层队伍建设</w:t>
          </w:r>
          <w:r>
            <w:rPr>
              <w:sz w:val="24"/>
              <w:szCs w:val="24"/>
            </w:rPr>
            <w:tab/>
          </w:r>
          <w:r>
            <w:rPr>
              <w:sz w:val="24"/>
              <w:szCs w:val="24"/>
            </w:rPr>
            <w:fldChar w:fldCharType="begin"/>
          </w:r>
          <w:r>
            <w:rPr>
              <w:sz w:val="24"/>
              <w:szCs w:val="24"/>
            </w:rPr>
            <w:instrText xml:space="preserve"> PAGEREF _Toc14635 \h </w:instrText>
          </w:r>
          <w:r>
            <w:rPr>
              <w:sz w:val="24"/>
              <w:szCs w:val="24"/>
            </w:rPr>
            <w:fldChar w:fldCharType="separate"/>
          </w:r>
          <w:r>
            <w:rPr>
              <w:sz w:val="24"/>
              <w:szCs w:val="24"/>
            </w:rPr>
            <w:t>6</w:t>
          </w:r>
          <w:r>
            <w:rPr>
              <w:sz w:val="24"/>
              <w:szCs w:val="24"/>
            </w:rPr>
            <w:fldChar w:fldCharType="end"/>
          </w:r>
          <w:r>
            <w:rPr>
              <w:rFonts w:hint="eastAsia" w:ascii="Arial" w:hAnsi="Arial" w:eastAsia="等线" w:cs="Arial"/>
              <w:sz w:val="24"/>
              <w:szCs w:val="24"/>
              <w:lang w:eastAsia="zh-CN"/>
            </w:rPr>
            <w:fldChar w:fldCharType="end"/>
          </w:r>
        </w:p>
        <w:p w14:paraId="24F80D4A">
          <w:pPr>
            <w:pStyle w:val="5"/>
            <w:tabs>
              <w:tab w:val="right" w:leader="dot" w:pos="8305"/>
            </w:tabs>
            <w:rPr>
              <w:sz w:val="24"/>
              <w:szCs w:val="24"/>
            </w:rPr>
          </w:pPr>
          <w:r>
            <w:rPr>
              <w:rFonts w:hint="eastAsia" w:ascii="Arial" w:hAnsi="Arial" w:eastAsia="等线" w:cs="Arial"/>
              <w:sz w:val="24"/>
              <w:szCs w:val="24"/>
              <w:lang w:eastAsia="zh-CN"/>
            </w:rPr>
            <w:fldChar w:fldCharType="begin"/>
          </w:r>
          <w:r>
            <w:rPr>
              <w:rFonts w:hint="eastAsia" w:ascii="Arial" w:hAnsi="Arial" w:eastAsia="等线" w:cs="Arial"/>
              <w:sz w:val="24"/>
              <w:szCs w:val="24"/>
              <w:lang w:eastAsia="zh-CN"/>
            </w:rPr>
            <w:instrText xml:space="preserve"> HYPERLINK \l _Toc14771 </w:instrText>
          </w:r>
          <w:r>
            <w:rPr>
              <w:rFonts w:hint="eastAsia" w:ascii="Arial" w:hAnsi="Arial" w:eastAsia="等线" w:cs="Arial"/>
              <w:sz w:val="24"/>
              <w:szCs w:val="24"/>
              <w:lang w:eastAsia="zh-CN"/>
            </w:rPr>
            <w:fldChar w:fldCharType="separate"/>
          </w:r>
          <w:r>
            <w:rPr>
              <w:rFonts w:hint="eastAsia" w:ascii="Arial" w:hAnsi="Arial" w:eastAsia="等线" w:cs="Arial"/>
              <w:sz w:val="24"/>
              <w:szCs w:val="24"/>
              <w:lang w:val="en-US" w:eastAsia="zh-CN"/>
            </w:rPr>
            <w:t>5、</w:t>
          </w:r>
          <w:r>
            <w:rPr>
              <w:rFonts w:ascii="Arial" w:hAnsi="Arial" w:eastAsia="等线" w:cs="Arial"/>
              <w:sz w:val="24"/>
              <w:szCs w:val="24"/>
            </w:rPr>
            <w:t>健全绩效长效管理机制</w:t>
          </w:r>
          <w:r>
            <w:rPr>
              <w:sz w:val="24"/>
              <w:szCs w:val="24"/>
            </w:rPr>
            <w:tab/>
          </w:r>
          <w:r>
            <w:rPr>
              <w:sz w:val="24"/>
              <w:szCs w:val="24"/>
            </w:rPr>
            <w:fldChar w:fldCharType="begin"/>
          </w:r>
          <w:r>
            <w:rPr>
              <w:sz w:val="24"/>
              <w:szCs w:val="24"/>
            </w:rPr>
            <w:instrText xml:space="preserve"> PAGEREF _Toc14771 \h </w:instrText>
          </w:r>
          <w:r>
            <w:rPr>
              <w:sz w:val="24"/>
              <w:szCs w:val="24"/>
            </w:rPr>
            <w:fldChar w:fldCharType="separate"/>
          </w:r>
          <w:r>
            <w:rPr>
              <w:sz w:val="24"/>
              <w:szCs w:val="24"/>
            </w:rPr>
            <w:t>6</w:t>
          </w:r>
          <w:r>
            <w:rPr>
              <w:sz w:val="24"/>
              <w:szCs w:val="24"/>
            </w:rPr>
            <w:fldChar w:fldCharType="end"/>
          </w:r>
          <w:r>
            <w:rPr>
              <w:rFonts w:hint="eastAsia" w:ascii="Arial" w:hAnsi="Arial" w:eastAsia="等线" w:cs="Arial"/>
              <w:sz w:val="24"/>
              <w:szCs w:val="24"/>
              <w:lang w:eastAsia="zh-CN"/>
            </w:rPr>
            <w:fldChar w:fldCharType="end"/>
          </w:r>
        </w:p>
        <w:p w14:paraId="3379022B">
          <w:pPr>
            <w:pStyle w:val="4"/>
            <w:tabs>
              <w:tab w:val="right" w:leader="dot" w:pos="8305"/>
            </w:tabs>
            <w:rPr>
              <w:sz w:val="24"/>
              <w:szCs w:val="24"/>
            </w:rPr>
          </w:pPr>
          <w:r>
            <w:rPr>
              <w:rFonts w:hint="eastAsia" w:ascii="Arial" w:hAnsi="Arial" w:eastAsia="等线" w:cs="Arial"/>
              <w:sz w:val="24"/>
              <w:szCs w:val="24"/>
              <w:lang w:eastAsia="zh-CN"/>
            </w:rPr>
            <w:fldChar w:fldCharType="begin"/>
          </w:r>
          <w:r>
            <w:rPr>
              <w:rFonts w:hint="eastAsia" w:ascii="Arial" w:hAnsi="Arial" w:eastAsia="等线" w:cs="Arial"/>
              <w:sz w:val="24"/>
              <w:szCs w:val="24"/>
              <w:lang w:eastAsia="zh-CN"/>
            </w:rPr>
            <w:instrText xml:space="preserve"> HYPERLINK \l _Toc9952 </w:instrText>
          </w:r>
          <w:r>
            <w:rPr>
              <w:rFonts w:hint="eastAsia" w:ascii="Arial" w:hAnsi="Arial" w:eastAsia="等线" w:cs="Arial"/>
              <w:sz w:val="24"/>
              <w:szCs w:val="24"/>
              <w:lang w:eastAsia="zh-CN"/>
            </w:rPr>
            <w:fldChar w:fldCharType="separate"/>
          </w:r>
          <w:r>
            <w:rPr>
              <w:rFonts w:ascii="Arial" w:hAnsi="Arial" w:eastAsia="等线" w:cs="Arial"/>
              <w:sz w:val="24"/>
              <w:szCs w:val="24"/>
            </w:rPr>
            <w:t>八、评价结论</w:t>
          </w:r>
          <w:r>
            <w:rPr>
              <w:sz w:val="24"/>
              <w:szCs w:val="24"/>
            </w:rPr>
            <w:tab/>
          </w:r>
          <w:r>
            <w:rPr>
              <w:sz w:val="24"/>
              <w:szCs w:val="24"/>
            </w:rPr>
            <w:fldChar w:fldCharType="begin"/>
          </w:r>
          <w:r>
            <w:rPr>
              <w:sz w:val="24"/>
              <w:szCs w:val="24"/>
            </w:rPr>
            <w:instrText xml:space="preserve"> PAGEREF _Toc9952 \h </w:instrText>
          </w:r>
          <w:r>
            <w:rPr>
              <w:sz w:val="24"/>
              <w:szCs w:val="24"/>
            </w:rPr>
            <w:fldChar w:fldCharType="separate"/>
          </w:r>
          <w:r>
            <w:rPr>
              <w:sz w:val="24"/>
              <w:szCs w:val="24"/>
            </w:rPr>
            <w:t>6</w:t>
          </w:r>
          <w:r>
            <w:rPr>
              <w:sz w:val="24"/>
              <w:szCs w:val="24"/>
            </w:rPr>
            <w:fldChar w:fldCharType="end"/>
          </w:r>
          <w:r>
            <w:rPr>
              <w:rFonts w:hint="eastAsia" w:ascii="Arial" w:hAnsi="Arial" w:eastAsia="等线" w:cs="Arial"/>
              <w:sz w:val="24"/>
              <w:szCs w:val="24"/>
              <w:lang w:eastAsia="zh-CN"/>
            </w:rPr>
            <w:fldChar w:fldCharType="end"/>
          </w:r>
        </w:p>
        <w:p w14:paraId="6CE70021">
          <w:pPr>
            <w:pStyle w:val="4"/>
            <w:tabs>
              <w:tab w:val="right" w:leader="dot" w:pos="8305"/>
            </w:tabs>
          </w:pPr>
          <w:r>
            <w:rPr>
              <w:rFonts w:hint="eastAsia" w:ascii="Arial" w:hAnsi="Arial" w:eastAsia="等线" w:cs="Arial"/>
              <w:sz w:val="24"/>
              <w:szCs w:val="24"/>
              <w:lang w:eastAsia="zh-CN"/>
            </w:rPr>
            <w:fldChar w:fldCharType="begin"/>
          </w:r>
          <w:r>
            <w:rPr>
              <w:rFonts w:hint="eastAsia" w:ascii="Arial" w:hAnsi="Arial" w:eastAsia="等线" w:cs="Arial"/>
              <w:sz w:val="24"/>
              <w:szCs w:val="24"/>
              <w:lang w:eastAsia="zh-CN"/>
            </w:rPr>
            <w:instrText xml:space="preserve"> HYPERLINK \l _Toc11002 </w:instrText>
          </w:r>
          <w:r>
            <w:rPr>
              <w:rFonts w:hint="eastAsia" w:ascii="Arial" w:hAnsi="Arial" w:eastAsia="等线" w:cs="Arial"/>
              <w:sz w:val="24"/>
              <w:szCs w:val="24"/>
              <w:lang w:eastAsia="zh-CN"/>
            </w:rPr>
            <w:fldChar w:fldCharType="separate"/>
          </w:r>
          <w:r>
            <w:rPr>
              <w:rFonts w:ascii="Arial" w:hAnsi="Arial" w:eastAsia="等线" w:cs="Arial"/>
              <w:sz w:val="24"/>
              <w:szCs w:val="24"/>
            </w:rPr>
            <w:t>附件：退役安置项目支出绩效评价指标评分表</w:t>
          </w:r>
          <w:r>
            <w:rPr>
              <w:sz w:val="24"/>
              <w:szCs w:val="24"/>
            </w:rPr>
            <w:tab/>
          </w:r>
          <w:r>
            <w:rPr>
              <w:sz w:val="24"/>
              <w:szCs w:val="24"/>
            </w:rPr>
            <w:fldChar w:fldCharType="begin"/>
          </w:r>
          <w:r>
            <w:rPr>
              <w:sz w:val="24"/>
              <w:szCs w:val="24"/>
            </w:rPr>
            <w:instrText xml:space="preserve"> PAGEREF _Toc11002 \h </w:instrText>
          </w:r>
          <w:r>
            <w:rPr>
              <w:sz w:val="24"/>
              <w:szCs w:val="24"/>
            </w:rPr>
            <w:fldChar w:fldCharType="separate"/>
          </w:r>
          <w:r>
            <w:rPr>
              <w:sz w:val="24"/>
              <w:szCs w:val="24"/>
            </w:rPr>
            <w:t>7</w:t>
          </w:r>
          <w:r>
            <w:rPr>
              <w:sz w:val="24"/>
              <w:szCs w:val="24"/>
            </w:rPr>
            <w:fldChar w:fldCharType="end"/>
          </w:r>
          <w:r>
            <w:rPr>
              <w:rFonts w:hint="eastAsia" w:ascii="Arial" w:hAnsi="Arial" w:eastAsia="等线" w:cs="Arial"/>
              <w:sz w:val="24"/>
              <w:szCs w:val="24"/>
              <w:lang w:eastAsia="zh-CN"/>
            </w:rPr>
            <w:fldChar w:fldCharType="end"/>
          </w:r>
        </w:p>
        <w:p w14:paraId="67AB557B">
          <w:pPr>
            <w:spacing w:before="380" w:after="140" w:line="288" w:lineRule="auto"/>
            <w:ind w:left="0"/>
            <w:jc w:val="center"/>
            <w:outlineLvl w:val="9"/>
            <w:rPr>
              <w:rFonts w:hint="eastAsia" w:ascii="Arial" w:hAnsi="Arial" w:eastAsia="等线" w:cs="Arial"/>
              <w:sz w:val="21"/>
              <w:szCs w:val="22"/>
              <w:lang w:eastAsia="zh-CN"/>
            </w:rPr>
          </w:pPr>
          <w:r>
            <w:rPr>
              <w:rFonts w:hint="eastAsia" w:ascii="Arial" w:hAnsi="Arial" w:eastAsia="等线" w:cs="Arial"/>
              <w:lang w:eastAsia="zh-CN"/>
            </w:rPr>
            <w:fldChar w:fldCharType="end"/>
          </w:r>
        </w:p>
      </w:sdtContent>
    </w:sdt>
    <w:p w14:paraId="1C6C266B">
      <w:pPr>
        <w:spacing w:before="380" w:after="140" w:line="288" w:lineRule="auto"/>
        <w:ind w:left="0"/>
        <w:jc w:val="center"/>
        <w:outlineLvl w:val="9"/>
        <w:rPr>
          <w:rFonts w:hint="eastAsia" w:ascii="Arial" w:hAnsi="Arial" w:eastAsia="等线" w:cs="Arial"/>
          <w:sz w:val="21"/>
          <w:szCs w:val="22"/>
          <w:lang w:eastAsia="zh-CN"/>
        </w:rPr>
      </w:pPr>
    </w:p>
    <w:p w14:paraId="2E85C06D">
      <w:pPr>
        <w:spacing w:before="380" w:after="140" w:line="288" w:lineRule="auto"/>
        <w:ind w:left="0"/>
        <w:jc w:val="center"/>
        <w:outlineLvl w:val="9"/>
        <w:rPr>
          <w:rFonts w:hint="eastAsia" w:ascii="Arial" w:hAnsi="Arial" w:eastAsia="等线" w:cs="Arial"/>
          <w:b/>
          <w:sz w:val="36"/>
          <w:lang w:eastAsia="zh-CN"/>
        </w:rPr>
      </w:pPr>
    </w:p>
    <w:p w14:paraId="4ACECB25">
      <w:pPr>
        <w:spacing w:before="380" w:after="140" w:line="288" w:lineRule="auto"/>
        <w:ind w:left="0" w:leftChars="0"/>
        <w:jc w:val="center"/>
        <w:outlineLvl w:val="9"/>
      </w:pPr>
      <w:r>
        <w:rPr>
          <w:rFonts w:hint="eastAsia" w:ascii="Arial" w:hAnsi="Arial" w:eastAsia="等线" w:cs="Arial"/>
          <w:b/>
          <w:sz w:val="36"/>
          <w:lang w:eastAsia="zh-CN"/>
        </w:rPr>
        <w:t>浮梁县退役军人事务局</w:t>
      </w:r>
      <w:r>
        <w:rPr>
          <w:rFonts w:hint="eastAsia" w:ascii="Arial" w:hAnsi="Arial" w:eastAsia="等线" w:cs="Arial"/>
          <w:b/>
          <w:sz w:val="36"/>
          <w:lang w:val="en-US" w:eastAsia="zh-CN"/>
        </w:rPr>
        <w:t>2025年</w:t>
      </w:r>
      <w:r>
        <w:rPr>
          <w:rFonts w:ascii="Arial" w:hAnsi="Arial" w:eastAsia="等线" w:cs="Arial"/>
          <w:b/>
          <w:sz w:val="36"/>
        </w:rPr>
        <w:t>退役安置项目</w:t>
      </w:r>
      <w:r>
        <w:rPr>
          <w:rFonts w:hint="eastAsia" w:ascii="Arial" w:hAnsi="Arial" w:eastAsia="等线" w:cs="Arial"/>
          <w:b/>
          <w:sz w:val="36"/>
          <w:lang w:val="en-US" w:eastAsia="zh-CN"/>
        </w:rPr>
        <w:t xml:space="preserve">                       </w:t>
      </w:r>
      <w:r>
        <w:rPr>
          <w:rFonts w:ascii="Arial" w:hAnsi="Arial" w:eastAsia="等线" w:cs="Arial"/>
          <w:b/>
          <w:sz w:val="36"/>
        </w:rPr>
        <w:t>支出绩效评价报告</w:t>
      </w:r>
      <w:bookmarkEnd w:id="0"/>
    </w:p>
    <w:p w14:paraId="2B5D1A82">
      <w:pPr>
        <w:spacing w:before="320" w:after="120" w:line="288" w:lineRule="auto"/>
        <w:ind w:left="0" w:leftChars="0"/>
        <w:jc w:val="left"/>
        <w:outlineLvl w:val="0"/>
      </w:pPr>
      <w:bookmarkStart w:id="1" w:name="_Toc2523"/>
      <w:bookmarkStart w:id="2" w:name="heading_1"/>
      <w:r>
        <w:rPr>
          <w:rFonts w:ascii="Arial" w:hAnsi="Arial" w:eastAsia="等线" w:cs="Arial"/>
          <w:b/>
          <w:sz w:val="32"/>
        </w:rPr>
        <w:t>一、项目基本概况</w:t>
      </w:r>
      <w:bookmarkEnd w:id="1"/>
      <w:bookmarkEnd w:id="2"/>
    </w:p>
    <w:p w14:paraId="30E0A3EB">
      <w:pPr>
        <w:spacing w:before="300" w:after="120" w:line="288" w:lineRule="auto"/>
        <w:ind w:left="0" w:leftChars="0"/>
        <w:jc w:val="left"/>
        <w:outlineLvl w:val="1"/>
      </w:pPr>
      <w:bookmarkStart w:id="3" w:name="_Toc1049"/>
      <w:bookmarkStart w:id="4" w:name="heading_2"/>
      <w:r>
        <w:rPr>
          <w:rFonts w:ascii="Arial" w:hAnsi="Arial" w:eastAsia="等线" w:cs="Arial"/>
          <w:b/>
          <w:sz w:val="30"/>
        </w:rPr>
        <w:t>（一）项目背景</w:t>
      </w:r>
      <w:bookmarkEnd w:id="3"/>
      <w:bookmarkEnd w:id="4"/>
    </w:p>
    <w:p w14:paraId="6729A9AA">
      <w:pPr>
        <w:spacing w:before="120" w:after="120" w:line="288" w:lineRule="auto"/>
        <w:ind w:left="0" w:firstLine="440" w:firstLineChars="200"/>
        <w:jc w:val="left"/>
      </w:pPr>
      <w:r>
        <w:rPr>
          <w:rFonts w:ascii="Arial" w:hAnsi="Arial" w:eastAsia="等线" w:cs="Arial"/>
          <w:sz w:val="22"/>
        </w:rPr>
        <w:t>退役安置工作是服务国防和军队现代化建设的重要组成部分，是保障退役军人合法权益、维护社会和谐稳定、巩固军政军民团结的关键民生工程。根据《退役军人安置条例》及省、市相关工作要求，我单位组织实施退役安置项目，主要用于自主就业退役士兵一次性经济补助、待安置期间生活补助、社会保险补贴、教育培训补助及安置服务管理等支出，确保各项安置政策精准落地、待遇及时足额兑现。</w:t>
      </w:r>
    </w:p>
    <w:p w14:paraId="20AB4681">
      <w:pPr>
        <w:spacing w:before="300" w:after="120" w:line="288" w:lineRule="auto"/>
        <w:ind w:left="0" w:leftChars="0"/>
        <w:jc w:val="left"/>
        <w:outlineLvl w:val="1"/>
      </w:pPr>
      <w:bookmarkStart w:id="5" w:name="heading_3"/>
      <w:bookmarkStart w:id="6" w:name="_Toc13849"/>
      <w:r>
        <w:rPr>
          <w:rFonts w:ascii="Arial" w:hAnsi="Arial" w:eastAsia="等线" w:cs="Arial"/>
          <w:b/>
          <w:sz w:val="30"/>
        </w:rPr>
        <w:t>（二）项目资金情况</w:t>
      </w:r>
      <w:bookmarkEnd w:id="5"/>
      <w:bookmarkEnd w:id="6"/>
    </w:p>
    <w:p w14:paraId="4FF32C8C">
      <w:pPr>
        <w:spacing w:before="120" w:after="120" w:line="288" w:lineRule="auto"/>
        <w:ind w:left="0" w:firstLine="440" w:firstLineChars="200"/>
        <w:jc w:val="left"/>
      </w:pPr>
      <w:r>
        <w:rPr>
          <w:rFonts w:ascii="Arial" w:hAnsi="Arial" w:eastAsia="等线" w:cs="Arial"/>
          <w:sz w:val="22"/>
        </w:rPr>
        <w:t>2025年度退役安置项目</w:t>
      </w:r>
      <w:r>
        <w:rPr>
          <w:rFonts w:ascii="Arial" w:hAnsi="Arial" w:eastAsia="等线" w:cs="Arial"/>
          <w:b w:val="0"/>
          <w:bCs/>
          <w:sz w:val="22"/>
        </w:rPr>
        <w:t>预算安排资金267万元，</w:t>
      </w:r>
      <w:r>
        <w:rPr>
          <w:rFonts w:ascii="Arial" w:hAnsi="Arial" w:eastAsia="等线" w:cs="Arial"/>
          <w:sz w:val="22"/>
        </w:rPr>
        <w:t>资金来源为上级转移支付及本级财政配套资金。全年</w:t>
      </w:r>
      <w:r>
        <w:rPr>
          <w:rFonts w:ascii="Arial" w:hAnsi="Arial" w:eastAsia="等线" w:cs="Arial"/>
          <w:b w:val="0"/>
          <w:bCs/>
          <w:sz w:val="22"/>
        </w:rPr>
        <w:t>实际支出资金259万元，预算执行率96.99%。</w:t>
      </w:r>
      <w:r>
        <w:rPr>
          <w:rFonts w:ascii="Arial" w:hAnsi="Arial" w:eastAsia="等线" w:cs="Arial"/>
          <w:sz w:val="22"/>
        </w:rPr>
        <w:t>资金实行专款专用、国库集中支付，全部按政策标准直达个人账户，未发生截留、挤占、挪用、违规列支等问题，资金使用安全规范。</w:t>
      </w:r>
    </w:p>
    <w:p w14:paraId="3AB78325">
      <w:pPr>
        <w:spacing w:before="300" w:after="120" w:line="288" w:lineRule="auto"/>
        <w:ind w:left="0" w:leftChars="0"/>
        <w:jc w:val="left"/>
        <w:outlineLvl w:val="1"/>
      </w:pPr>
      <w:bookmarkStart w:id="7" w:name="heading_4"/>
      <w:bookmarkStart w:id="8" w:name="_Toc1691"/>
      <w:r>
        <w:rPr>
          <w:rFonts w:ascii="Arial" w:hAnsi="Arial" w:eastAsia="等线" w:cs="Arial"/>
          <w:b/>
          <w:sz w:val="30"/>
        </w:rPr>
        <w:t>（三）项目实施内容</w:t>
      </w:r>
      <w:bookmarkEnd w:id="7"/>
      <w:bookmarkEnd w:id="8"/>
    </w:p>
    <w:p w14:paraId="660026D7">
      <w:pPr>
        <w:numPr>
          <w:ilvl w:val="0"/>
          <w:numId w:val="0"/>
        </w:numPr>
        <w:spacing w:before="120" w:after="120" w:line="288" w:lineRule="auto"/>
        <w:jc w:val="left"/>
        <w:rPr>
          <w:rFonts w:ascii="Arial" w:hAnsi="Arial" w:eastAsia="等线" w:cs="Arial"/>
          <w:sz w:val="22"/>
        </w:rPr>
      </w:pPr>
      <w:r>
        <w:rPr>
          <w:rFonts w:hint="eastAsia" w:ascii="Arial" w:hAnsi="Arial" w:eastAsia="等线" w:cs="Arial"/>
          <w:sz w:val="22"/>
          <w:lang w:val="en-US" w:eastAsia="zh-CN"/>
        </w:rPr>
        <w:t>1、</w:t>
      </w:r>
      <w:r>
        <w:rPr>
          <w:rFonts w:ascii="Arial" w:hAnsi="Arial" w:eastAsia="等线" w:cs="Arial"/>
          <w:sz w:val="22"/>
        </w:rPr>
        <w:t>完成2025年度退役士兵接收报到、档案审核、资格认定等全流程工作；</w:t>
      </w:r>
    </w:p>
    <w:p w14:paraId="692E6401">
      <w:pPr>
        <w:numPr>
          <w:ilvl w:val="0"/>
          <w:numId w:val="0"/>
        </w:numPr>
        <w:spacing w:before="120" w:after="120" w:line="288" w:lineRule="auto"/>
        <w:jc w:val="left"/>
      </w:pPr>
      <w:r>
        <w:rPr>
          <w:rFonts w:hint="eastAsia" w:ascii="Arial" w:hAnsi="Arial" w:eastAsia="等线" w:cs="Arial"/>
          <w:sz w:val="22"/>
          <w:lang w:val="en-US" w:eastAsia="zh-CN"/>
        </w:rPr>
        <w:t>2、</w:t>
      </w:r>
      <w:r>
        <w:rPr>
          <w:rFonts w:ascii="Arial" w:hAnsi="Arial" w:eastAsia="等线" w:cs="Arial"/>
          <w:sz w:val="22"/>
        </w:rPr>
        <w:t>按规定发放一次性经济补助、待安置期间生活补助、社会保险补助等；</w:t>
      </w:r>
    </w:p>
    <w:p w14:paraId="4344B9BD">
      <w:pPr>
        <w:numPr>
          <w:ilvl w:val="0"/>
          <w:numId w:val="0"/>
        </w:numPr>
        <w:spacing w:before="120" w:after="120" w:line="288" w:lineRule="auto"/>
        <w:jc w:val="left"/>
      </w:pPr>
      <w:r>
        <w:rPr>
          <w:rFonts w:hint="eastAsia" w:ascii="Arial" w:hAnsi="Arial" w:eastAsia="等线" w:cs="Arial"/>
          <w:sz w:val="22"/>
          <w:lang w:val="en-US" w:eastAsia="zh-CN"/>
        </w:rPr>
        <w:t>3、</w:t>
      </w:r>
      <w:r>
        <w:rPr>
          <w:rFonts w:ascii="Arial" w:hAnsi="Arial" w:eastAsia="等线" w:cs="Arial"/>
          <w:sz w:val="22"/>
        </w:rPr>
        <w:t>组织开展退役士兵适应性培训、职业技能培训及就业创业对接服务；</w:t>
      </w:r>
    </w:p>
    <w:p w14:paraId="644DD872">
      <w:pPr>
        <w:numPr>
          <w:ilvl w:val="0"/>
          <w:numId w:val="0"/>
        </w:numPr>
        <w:spacing w:before="120" w:after="120" w:line="288" w:lineRule="auto"/>
        <w:jc w:val="left"/>
      </w:pPr>
      <w:r>
        <w:rPr>
          <w:rFonts w:hint="eastAsia" w:ascii="Arial" w:hAnsi="Arial" w:eastAsia="等线" w:cs="Arial"/>
          <w:sz w:val="22"/>
          <w:lang w:val="en-US" w:eastAsia="zh-CN"/>
        </w:rPr>
        <w:t>4、</w:t>
      </w:r>
      <w:r>
        <w:rPr>
          <w:rFonts w:ascii="Arial" w:hAnsi="Arial" w:eastAsia="等线" w:cs="Arial"/>
          <w:sz w:val="22"/>
        </w:rPr>
        <w:t>开展政策宣传、咨询接待、权益维护、安置回访等日常管理服务；</w:t>
      </w:r>
    </w:p>
    <w:p w14:paraId="0261AB8F">
      <w:pPr>
        <w:numPr>
          <w:ilvl w:val="0"/>
          <w:numId w:val="0"/>
        </w:numPr>
        <w:spacing w:before="120" w:after="120" w:line="288" w:lineRule="auto"/>
        <w:jc w:val="left"/>
      </w:pPr>
      <w:r>
        <w:rPr>
          <w:rFonts w:hint="eastAsia" w:ascii="Arial" w:hAnsi="Arial" w:eastAsia="等线" w:cs="Arial"/>
          <w:sz w:val="22"/>
          <w:lang w:val="en-US" w:eastAsia="zh-CN"/>
        </w:rPr>
        <w:t>5、</w:t>
      </w:r>
      <w:r>
        <w:rPr>
          <w:rFonts w:ascii="Arial" w:hAnsi="Arial" w:eastAsia="等线" w:cs="Arial"/>
          <w:sz w:val="22"/>
        </w:rPr>
        <w:t>完成工作台账建立、信息录入、数据汇总上报等工作。</w:t>
      </w:r>
    </w:p>
    <w:p w14:paraId="16926B12">
      <w:pPr>
        <w:spacing w:before="300" w:after="120" w:line="288" w:lineRule="auto"/>
        <w:ind w:left="0" w:leftChars="0"/>
        <w:jc w:val="left"/>
        <w:outlineLvl w:val="1"/>
      </w:pPr>
      <w:bookmarkStart w:id="9" w:name="_Toc18308"/>
      <w:bookmarkStart w:id="10" w:name="heading_5"/>
      <w:r>
        <w:rPr>
          <w:rFonts w:ascii="Arial" w:hAnsi="Arial" w:eastAsia="等线" w:cs="Arial"/>
          <w:b/>
          <w:sz w:val="30"/>
        </w:rPr>
        <w:t>（四）项目绩效目标</w:t>
      </w:r>
      <w:bookmarkEnd w:id="9"/>
      <w:bookmarkEnd w:id="10"/>
    </w:p>
    <w:p w14:paraId="0684247C">
      <w:pPr>
        <w:numPr>
          <w:ilvl w:val="0"/>
          <w:numId w:val="0"/>
        </w:numPr>
        <w:spacing w:before="120" w:after="120" w:line="288" w:lineRule="auto"/>
        <w:jc w:val="left"/>
      </w:pPr>
      <w:r>
        <w:rPr>
          <w:rFonts w:hint="eastAsia" w:ascii="Arial" w:hAnsi="Arial" w:eastAsia="等线" w:cs="Arial"/>
          <w:sz w:val="22"/>
          <w:lang w:val="en-US" w:eastAsia="zh-CN"/>
        </w:rPr>
        <w:t>1、</w:t>
      </w:r>
      <w:r>
        <w:rPr>
          <w:rFonts w:ascii="Arial" w:hAnsi="Arial" w:eastAsia="等线" w:cs="Arial"/>
          <w:sz w:val="22"/>
        </w:rPr>
        <w:t>完成年度退役士兵接收安置任务，安置率达到100%；</w:t>
      </w:r>
    </w:p>
    <w:p w14:paraId="7978DE66">
      <w:pPr>
        <w:numPr>
          <w:ilvl w:val="0"/>
          <w:numId w:val="0"/>
        </w:numPr>
        <w:spacing w:before="120" w:after="120" w:line="288" w:lineRule="auto"/>
        <w:jc w:val="left"/>
      </w:pPr>
      <w:r>
        <w:rPr>
          <w:rFonts w:hint="eastAsia" w:ascii="Arial" w:hAnsi="Arial" w:eastAsia="等线" w:cs="Arial"/>
          <w:sz w:val="22"/>
          <w:lang w:val="en-US" w:eastAsia="zh-CN"/>
        </w:rPr>
        <w:t>2、</w:t>
      </w:r>
      <w:r>
        <w:rPr>
          <w:rFonts w:ascii="Arial" w:hAnsi="Arial" w:eastAsia="等线" w:cs="Arial"/>
          <w:sz w:val="22"/>
        </w:rPr>
        <w:t>补助资金足额、及时、准确发放，发放准确率、及时率达到100%；</w:t>
      </w:r>
    </w:p>
    <w:p w14:paraId="1A370989">
      <w:pPr>
        <w:numPr>
          <w:ilvl w:val="0"/>
          <w:numId w:val="0"/>
        </w:numPr>
        <w:spacing w:before="120" w:after="120" w:line="288" w:lineRule="auto"/>
        <w:jc w:val="left"/>
      </w:pPr>
      <w:r>
        <w:rPr>
          <w:rFonts w:hint="eastAsia" w:ascii="Arial" w:hAnsi="Arial" w:eastAsia="等线" w:cs="Arial"/>
          <w:sz w:val="22"/>
          <w:lang w:val="en-US" w:eastAsia="zh-CN"/>
        </w:rPr>
        <w:t>3、</w:t>
      </w:r>
      <w:r>
        <w:rPr>
          <w:rFonts w:ascii="Arial" w:hAnsi="Arial" w:eastAsia="等线" w:cs="Arial"/>
          <w:sz w:val="22"/>
        </w:rPr>
        <w:t>提升退役军人就业创业能力，增强就业稳定性；</w:t>
      </w:r>
    </w:p>
    <w:p w14:paraId="0F435258">
      <w:pPr>
        <w:numPr>
          <w:ilvl w:val="0"/>
          <w:numId w:val="0"/>
        </w:numPr>
        <w:spacing w:before="120" w:after="120" w:line="288" w:lineRule="auto"/>
        <w:jc w:val="left"/>
      </w:pPr>
      <w:r>
        <w:rPr>
          <w:rFonts w:hint="eastAsia" w:ascii="Arial" w:hAnsi="Arial" w:eastAsia="等线" w:cs="Arial"/>
          <w:sz w:val="22"/>
          <w:lang w:val="en-US" w:eastAsia="zh-CN"/>
        </w:rPr>
        <w:t>4、</w:t>
      </w:r>
      <w:r>
        <w:rPr>
          <w:rFonts w:ascii="Arial" w:hAnsi="Arial" w:eastAsia="等线" w:cs="Arial"/>
          <w:sz w:val="22"/>
        </w:rPr>
        <w:t>保障退役军人合法权益，服务对象满意度达到90%以上；</w:t>
      </w:r>
    </w:p>
    <w:p w14:paraId="53E69E5F">
      <w:pPr>
        <w:numPr>
          <w:ilvl w:val="0"/>
          <w:numId w:val="0"/>
        </w:numPr>
        <w:spacing w:before="120" w:after="120" w:line="288" w:lineRule="auto"/>
        <w:jc w:val="left"/>
      </w:pPr>
      <w:r>
        <w:rPr>
          <w:rFonts w:hint="eastAsia" w:ascii="Arial" w:hAnsi="Arial" w:eastAsia="等线" w:cs="Arial"/>
          <w:sz w:val="22"/>
          <w:lang w:val="en-US" w:eastAsia="zh-CN"/>
        </w:rPr>
        <w:t>5、</w:t>
      </w:r>
      <w:r>
        <w:rPr>
          <w:rFonts w:ascii="Arial" w:hAnsi="Arial" w:eastAsia="等线" w:cs="Arial"/>
          <w:sz w:val="22"/>
        </w:rPr>
        <w:t>维护社会和谐稳定，营造尊崇军人职业的良好社会氛围。</w:t>
      </w:r>
    </w:p>
    <w:p w14:paraId="2146230F">
      <w:pPr>
        <w:spacing w:before="320" w:after="120" w:line="288" w:lineRule="auto"/>
        <w:ind w:left="0" w:leftChars="0"/>
        <w:jc w:val="left"/>
        <w:outlineLvl w:val="0"/>
      </w:pPr>
      <w:bookmarkStart w:id="11" w:name="_Toc31661"/>
      <w:bookmarkStart w:id="12" w:name="heading_6"/>
      <w:r>
        <w:rPr>
          <w:rFonts w:ascii="Arial" w:hAnsi="Arial" w:eastAsia="等线" w:cs="Arial"/>
          <w:b/>
          <w:sz w:val="32"/>
        </w:rPr>
        <w:t>二、评价工作开展情况</w:t>
      </w:r>
      <w:bookmarkEnd w:id="11"/>
      <w:bookmarkEnd w:id="12"/>
    </w:p>
    <w:p w14:paraId="6697E5E2">
      <w:pPr>
        <w:spacing w:before="300" w:after="120" w:line="288" w:lineRule="auto"/>
        <w:ind w:left="0" w:leftChars="0"/>
        <w:jc w:val="left"/>
        <w:outlineLvl w:val="1"/>
      </w:pPr>
      <w:bookmarkStart w:id="13" w:name="_Toc4079"/>
      <w:bookmarkStart w:id="14" w:name="heading_7"/>
      <w:r>
        <w:rPr>
          <w:rFonts w:ascii="Arial" w:hAnsi="Arial" w:eastAsia="等线" w:cs="Arial"/>
          <w:b/>
          <w:sz w:val="30"/>
        </w:rPr>
        <w:t>（一）评价依据</w:t>
      </w:r>
      <w:bookmarkEnd w:id="13"/>
      <w:bookmarkEnd w:id="14"/>
    </w:p>
    <w:p w14:paraId="623272E0">
      <w:pPr>
        <w:numPr>
          <w:ilvl w:val="0"/>
          <w:numId w:val="0"/>
        </w:numPr>
        <w:spacing w:before="120" w:after="120" w:line="288" w:lineRule="auto"/>
        <w:jc w:val="left"/>
      </w:pPr>
      <w:r>
        <w:rPr>
          <w:rFonts w:hint="eastAsia" w:ascii="Arial" w:hAnsi="Arial" w:eastAsia="等线" w:cs="Arial"/>
          <w:sz w:val="22"/>
          <w:lang w:val="en-US" w:eastAsia="zh-CN"/>
        </w:rPr>
        <w:t>1、</w:t>
      </w:r>
      <w:r>
        <w:rPr>
          <w:rFonts w:ascii="Arial" w:hAnsi="Arial" w:eastAsia="等线" w:cs="Arial"/>
          <w:sz w:val="22"/>
        </w:rPr>
        <w:t>《中华人民共和国预算法》及实施条例</w:t>
      </w:r>
    </w:p>
    <w:p w14:paraId="091F3117">
      <w:pPr>
        <w:numPr>
          <w:ilvl w:val="0"/>
          <w:numId w:val="0"/>
        </w:numPr>
        <w:spacing w:before="120" w:after="120" w:line="288" w:lineRule="auto"/>
        <w:jc w:val="left"/>
      </w:pPr>
      <w:r>
        <w:rPr>
          <w:rFonts w:hint="eastAsia" w:ascii="Arial" w:hAnsi="Arial" w:eastAsia="等线" w:cs="Arial"/>
          <w:sz w:val="22"/>
          <w:lang w:val="en-US" w:eastAsia="zh-CN"/>
        </w:rPr>
        <w:t>2、</w:t>
      </w:r>
      <w:r>
        <w:rPr>
          <w:rFonts w:ascii="Arial" w:hAnsi="Arial" w:eastAsia="等线" w:cs="Arial"/>
          <w:sz w:val="22"/>
        </w:rPr>
        <w:t>《项目支出绩效评价管理办法》</w:t>
      </w:r>
    </w:p>
    <w:p w14:paraId="62260E07">
      <w:pPr>
        <w:numPr>
          <w:ilvl w:val="0"/>
          <w:numId w:val="0"/>
        </w:numPr>
        <w:spacing w:before="120" w:after="120" w:line="288" w:lineRule="auto"/>
        <w:jc w:val="left"/>
      </w:pPr>
      <w:r>
        <w:rPr>
          <w:rFonts w:hint="eastAsia" w:ascii="Arial" w:hAnsi="Arial" w:eastAsia="等线" w:cs="Arial"/>
          <w:sz w:val="22"/>
          <w:lang w:val="en-US" w:eastAsia="zh-CN"/>
        </w:rPr>
        <w:t>3、</w:t>
      </w:r>
      <w:r>
        <w:rPr>
          <w:rFonts w:ascii="Arial" w:hAnsi="Arial" w:eastAsia="等线" w:cs="Arial"/>
          <w:sz w:val="22"/>
        </w:rPr>
        <w:t>《退役军人安置条例》</w:t>
      </w:r>
    </w:p>
    <w:p w14:paraId="3457942A">
      <w:pPr>
        <w:numPr>
          <w:ilvl w:val="0"/>
          <w:numId w:val="0"/>
        </w:numPr>
        <w:spacing w:before="120" w:after="120" w:line="288" w:lineRule="auto"/>
        <w:jc w:val="left"/>
      </w:pPr>
      <w:r>
        <w:rPr>
          <w:rFonts w:hint="eastAsia" w:ascii="Arial" w:hAnsi="Arial" w:eastAsia="等线" w:cs="Arial"/>
          <w:sz w:val="22"/>
          <w:lang w:val="en-US" w:eastAsia="zh-CN"/>
        </w:rPr>
        <w:t>4、</w:t>
      </w:r>
      <w:r>
        <w:rPr>
          <w:rFonts w:ascii="Arial" w:hAnsi="Arial" w:eastAsia="等线" w:cs="Arial"/>
          <w:sz w:val="22"/>
        </w:rPr>
        <w:t>省、市、县2025年度退役军人安置工作相关政策文件</w:t>
      </w:r>
    </w:p>
    <w:p w14:paraId="08375E67">
      <w:pPr>
        <w:numPr>
          <w:ilvl w:val="0"/>
          <w:numId w:val="0"/>
        </w:numPr>
        <w:spacing w:before="120" w:after="120" w:line="288" w:lineRule="auto"/>
        <w:jc w:val="left"/>
      </w:pPr>
      <w:r>
        <w:rPr>
          <w:rFonts w:hint="eastAsia" w:ascii="Arial" w:hAnsi="Arial" w:eastAsia="等线" w:cs="Arial"/>
          <w:sz w:val="22"/>
          <w:lang w:val="en-US" w:eastAsia="zh-CN"/>
        </w:rPr>
        <w:t>5、</w:t>
      </w:r>
      <w:r>
        <w:rPr>
          <w:rFonts w:ascii="Arial" w:hAnsi="Arial" w:eastAsia="等线" w:cs="Arial"/>
          <w:sz w:val="22"/>
        </w:rPr>
        <w:t>项目预算批复、资金拨付凭证、发放台账、工作总结、满意度调查问卷等资料</w:t>
      </w:r>
    </w:p>
    <w:p w14:paraId="510A9A04">
      <w:pPr>
        <w:spacing w:before="300" w:after="120" w:line="288" w:lineRule="auto"/>
        <w:ind w:left="0" w:leftChars="0"/>
        <w:jc w:val="left"/>
        <w:outlineLvl w:val="1"/>
      </w:pPr>
      <w:bookmarkStart w:id="15" w:name="_Toc16549"/>
      <w:bookmarkStart w:id="16" w:name="heading_8"/>
      <w:r>
        <w:rPr>
          <w:rFonts w:ascii="Arial" w:hAnsi="Arial" w:eastAsia="等线" w:cs="Arial"/>
          <w:b/>
          <w:sz w:val="30"/>
        </w:rPr>
        <w:t>（二）评价方法</w:t>
      </w:r>
      <w:bookmarkEnd w:id="15"/>
      <w:bookmarkEnd w:id="16"/>
    </w:p>
    <w:p w14:paraId="6AC58B58">
      <w:pPr>
        <w:spacing w:before="120" w:after="120" w:line="288" w:lineRule="auto"/>
        <w:ind w:left="0" w:firstLine="440" w:firstLineChars="200"/>
        <w:jc w:val="left"/>
      </w:pPr>
      <w:r>
        <w:rPr>
          <w:rFonts w:ascii="Arial" w:hAnsi="Arial" w:eastAsia="等线" w:cs="Arial"/>
          <w:sz w:val="22"/>
        </w:rPr>
        <w:t>本次评价采用</w:t>
      </w:r>
      <w:r>
        <w:rPr>
          <w:rFonts w:ascii="Arial" w:hAnsi="Arial" w:eastAsia="等线" w:cs="Arial"/>
          <w:b w:val="0"/>
          <w:bCs/>
          <w:sz w:val="22"/>
        </w:rPr>
        <w:t>比较分析法、因素分析法、公众评判法、台账核查法，</w:t>
      </w:r>
      <w:r>
        <w:rPr>
          <w:rFonts w:ascii="Arial" w:hAnsi="Arial" w:eastAsia="等线" w:cs="Arial"/>
          <w:sz w:val="22"/>
        </w:rPr>
        <w:t>通过资料审核、数据比对、实地核查、问卷调查等方式开展，确保评价结果客观、真实、准确。</w:t>
      </w:r>
    </w:p>
    <w:p w14:paraId="002DF447">
      <w:pPr>
        <w:spacing w:before="300" w:after="120" w:line="288" w:lineRule="auto"/>
        <w:ind w:left="0" w:leftChars="0"/>
        <w:jc w:val="left"/>
        <w:outlineLvl w:val="1"/>
      </w:pPr>
      <w:bookmarkStart w:id="17" w:name="heading_9"/>
      <w:bookmarkStart w:id="18" w:name="_Toc9985"/>
      <w:r>
        <w:rPr>
          <w:rFonts w:ascii="Arial" w:hAnsi="Arial" w:eastAsia="等线" w:cs="Arial"/>
          <w:b/>
          <w:sz w:val="30"/>
        </w:rPr>
        <w:t>（三）评价指标体系</w:t>
      </w:r>
      <w:bookmarkEnd w:id="17"/>
      <w:bookmarkEnd w:id="18"/>
    </w:p>
    <w:p w14:paraId="7AC31452">
      <w:pPr>
        <w:spacing w:before="120" w:after="120" w:line="288" w:lineRule="auto"/>
        <w:ind w:left="0" w:firstLine="440" w:firstLineChars="200"/>
        <w:jc w:val="left"/>
      </w:pPr>
      <w:r>
        <w:rPr>
          <w:rFonts w:ascii="Arial" w:hAnsi="Arial" w:eastAsia="等线" w:cs="Arial"/>
          <w:sz w:val="22"/>
        </w:rPr>
        <w:t>评价体系按照</w:t>
      </w:r>
      <w:r>
        <w:rPr>
          <w:rFonts w:ascii="Arial" w:hAnsi="Arial" w:eastAsia="等线" w:cs="Arial"/>
          <w:b w:val="0"/>
          <w:bCs/>
          <w:sz w:val="22"/>
        </w:rPr>
        <w:t>决策、过程、产出、效果</w:t>
      </w:r>
      <w:r>
        <w:rPr>
          <w:rFonts w:ascii="Arial" w:hAnsi="Arial" w:eastAsia="等线" w:cs="Arial"/>
          <w:sz w:val="22"/>
        </w:rPr>
        <w:t>四个维度设置，总分100分，重点考核项目立项、资金管理、任务完成、政策落实、社会效益及服务对象满意度等内容。</w:t>
      </w:r>
    </w:p>
    <w:p w14:paraId="4D743616">
      <w:pPr>
        <w:spacing w:before="320" w:after="120" w:line="288" w:lineRule="auto"/>
        <w:ind w:left="0" w:leftChars="0"/>
        <w:jc w:val="left"/>
        <w:outlineLvl w:val="0"/>
      </w:pPr>
      <w:bookmarkStart w:id="19" w:name="heading_10"/>
      <w:bookmarkStart w:id="20" w:name="_Toc1958"/>
      <w:r>
        <w:rPr>
          <w:rFonts w:ascii="Arial" w:hAnsi="Arial" w:eastAsia="等线" w:cs="Arial"/>
          <w:b/>
          <w:sz w:val="32"/>
        </w:rPr>
        <w:t>三、绩效指标完成情况分析</w:t>
      </w:r>
      <w:bookmarkEnd w:id="19"/>
      <w:bookmarkEnd w:id="20"/>
    </w:p>
    <w:p w14:paraId="610A21C2">
      <w:pPr>
        <w:spacing w:before="300" w:after="120" w:line="288" w:lineRule="auto"/>
        <w:ind w:left="0" w:leftChars="0"/>
        <w:jc w:val="left"/>
        <w:outlineLvl w:val="1"/>
      </w:pPr>
      <w:bookmarkStart w:id="21" w:name="_Toc29440"/>
      <w:bookmarkStart w:id="22" w:name="heading_11"/>
      <w:r>
        <w:rPr>
          <w:rFonts w:ascii="Arial" w:hAnsi="Arial" w:eastAsia="等线" w:cs="Arial"/>
          <w:b/>
          <w:sz w:val="30"/>
        </w:rPr>
        <w:t>（一）项目决策情况</w:t>
      </w:r>
      <w:bookmarkEnd w:id="21"/>
      <w:bookmarkEnd w:id="22"/>
    </w:p>
    <w:p w14:paraId="34F404C0">
      <w:pPr>
        <w:spacing w:before="120" w:after="120" w:line="288" w:lineRule="auto"/>
        <w:ind w:left="0" w:firstLine="440" w:firstLineChars="200"/>
        <w:jc w:val="left"/>
      </w:pPr>
      <w:r>
        <w:rPr>
          <w:rFonts w:ascii="Arial" w:hAnsi="Arial" w:eastAsia="等线" w:cs="Arial"/>
          <w:sz w:val="22"/>
        </w:rPr>
        <w:t>项目立项依据充分、程序规范，绩效目标设置清晰合理、可量化，资金分配与安置任务匹配度高，符合政策要求和工作实际。</w:t>
      </w:r>
    </w:p>
    <w:p w14:paraId="0C920264">
      <w:pPr>
        <w:spacing w:before="300" w:after="120" w:line="288" w:lineRule="auto"/>
        <w:ind w:left="0" w:leftChars="0"/>
        <w:jc w:val="left"/>
        <w:outlineLvl w:val="1"/>
      </w:pPr>
      <w:bookmarkStart w:id="23" w:name="_Toc28610"/>
      <w:bookmarkStart w:id="24" w:name="heading_12"/>
      <w:r>
        <w:rPr>
          <w:rFonts w:ascii="Arial" w:hAnsi="Arial" w:eastAsia="等线" w:cs="Arial"/>
          <w:b/>
          <w:sz w:val="30"/>
        </w:rPr>
        <w:t>（二）项目过程情况</w:t>
      </w:r>
      <w:bookmarkEnd w:id="23"/>
      <w:bookmarkEnd w:id="24"/>
    </w:p>
    <w:p w14:paraId="3F9A62F0">
      <w:pPr>
        <w:spacing w:before="120" w:after="120" w:line="288" w:lineRule="auto"/>
        <w:ind w:left="0" w:firstLine="440" w:firstLineChars="200"/>
        <w:jc w:val="left"/>
      </w:pPr>
      <w:r>
        <w:rPr>
          <w:rFonts w:ascii="Arial" w:hAnsi="Arial" w:eastAsia="等线" w:cs="Arial"/>
          <w:sz w:val="22"/>
        </w:rPr>
        <w:t>资金拨付及时，审批流程规范，财务管理制度健全，专款专用落实到位；项目组织保障有力，业务流程清晰，公开公示制度执行较好，档案资料完整规范。</w:t>
      </w:r>
    </w:p>
    <w:p w14:paraId="122FC3F9">
      <w:pPr>
        <w:spacing w:before="300" w:after="120" w:line="288" w:lineRule="auto"/>
        <w:ind w:left="0" w:leftChars="0"/>
        <w:jc w:val="left"/>
        <w:outlineLvl w:val="1"/>
      </w:pPr>
      <w:bookmarkStart w:id="25" w:name="heading_13"/>
      <w:bookmarkStart w:id="26" w:name="_Toc18677"/>
      <w:r>
        <w:rPr>
          <w:rFonts w:ascii="Arial" w:hAnsi="Arial" w:eastAsia="等线" w:cs="Arial"/>
          <w:b/>
          <w:sz w:val="30"/>
        </w:rPr>
        <w:t>（三）项目产出情况</w:t>
      </w:r>
      <w:bookmarkEnd w:id="25"/>
      <w:bookmarkEnd w:id="26"/>
    </w:p>
    <w:p w14:paraId="578CCCC7">
      <w:pPr>
        <w:numPr>
          <w:ilvl w:val="0"/>
          <w:numId w:val="0"/>
        </w:numPr>
        <w:spacing w:before="120" w:after="120" w:line="288" w:lineRule="auto"/>
        <w:jc w:val="left"/>
      </w:pPr>
      <w:r>
        <w:rPr>
          <w:rFonts w:hint="eastAsia" w:ascii="Arial" w:hAnsi="Arial" w:eastAsia="等线" w:cs="Arial"/>
          <w:sz w:val="22"/>
          <w:lang w:val="en-US" w:eastAsia="zh-CN"/>
        </w:rPr>
        <w:t>1、</w:t>
      </w:r>
      <w:r>
        <w:rPr>
          <w:rFonts w:ascii="Arial" w:hAnsi="Arial" w:eastAsia="等线" w:cs="Arial"/>
          <w:sz w:val="22"/>
        </w:rPr>
        <w:t>全年共接收安置退役士兵</w:t>
      </w:r>
      <w:r>
        <w:rPr>
          <w:rFonts w:hint="eastAsia" w:ascii="Arial" w:hAnsi="Arial" w:eastAsia="等线" w:cs="Arial"/>
          <w:sz w:val="22"/>
          <w:lang w:val="en-US" w:eastAsia="zh-CN"/>
        </w:rPr>
        <w:t>99</w:t>
      </w:r>
      <w:r>
        <w:rPr>
          <w:rFonts w:ascii="Arial" w:hAnsi="Arial" w:eastAsia="等线" w:cs="Arial"/>
          <w:b w:val="0"/>
          <w:bCs/>
          <w:sz w:val="22"/>
        </w:rPr>
        <w:t>人</w:t>
      </w:r>
      <w:r>
        <w:rPr>
          <w:rFonts w:ascii="Arial" w:hAnsi="Arial" w:eastAsia="等线" w:cs="Arial"/>
          <w:sz w:val="22"/>
        </w:rPr>
        <w:t>，接收安置率100%，全面完成年度安置任务；</w:t>
      </w:r>
    </w:p>
    <w:p w14:paraId="400F55CD">
      <w:pPr>
        <w:numPr>
          <w:ilvl w:val="0"/>
          <w:numId w:val="0"/>
        </w:numPr>
        <w:spacing w:before="120" w:after="120" w:line="288" w:lineRule="auto"/>
        <w:jc w:val="left"/>
      </w:pPr>
      <w:r>
        <w:rPr>
          <w:rFonts w:hint="eastAsia" w:ascii="Arial" w:hAnsi="Arial" w:eastAsia="等线" w:cs="Arial"/>
          <w:sz w:val="22"/>
          <w:lang w:val="en-US" w:eastAsia="zh-CN"/>
        </w:rPr>
        <w:t>2、</w:t>
      </w:r>
      <w:r>
        <w:rPr>
          <w:rFonts w:ascii="Arial" w:hAnsi="Arial" w:eastAsia="等线" w:cs="Arial"/>
          <w:sz w:val="22"/>
        </w:rPr>
        <w:t>各类补助发放及时率100%、准确率100%，实现不漏一人、不欠一分、不误一天；</w:t>
      </w:r>
    </w:p>
    <w:p w14:paraId="15A630B6">
      <w:pPr>
        <w:numPr>
          <w:ilvl w:val="0"/>
          <w:numId w:val="0"/>
        </w:numPr>
        <w:spacing w:before="120" w:after="120" w:line="288" w:lineRule="auto"/>
        <w:jc w:val="left"/>
      </w:pPr>
      <w:r>
        <w:rPr>
          <w:rFonts w:hint="eastAsia" w:ascii="Arial" w:hAnsi="Arial" w:eastAsia="等线" w:cs="Arial"/>
          <w:sz w:val="22"/>
          <w:lang w:val="en-US" w:eastAsia="zh-CN"/>
        </w:rPr>
        <w:t>3、</w:t>
      </w:r>
      <w:r>
        <w:rPr>
          <w:rFonts w:ascii="Arial" w:hAnsi="Arial" w:eastAsia="等线" w:cs="Arial"/>
          <w:sz w:val="22"/>
        </w:rPr>
        <w:t>按计划完成退役士兵适应性培训和职业技能培训，参训人员全覆盖；</w:t>
      </w:r>
    </w:p>
    <w:p w14:paraId="2B711E16">
      <w:pPr>
        <w:numPr>
          <w:ilvl w:val="0"/>
          <w:numId w:val="0"/>
        </w:numPr>
        <w:spacing w:before="120" w:after="120" w:line="288" w:lineRule="auto"/>
        <w:jc w:val="left"/>
      </w:pPr>
      <w:r>
        <w:rPr>
          <w:rFonts w:hint="eastAsia" w:ascii="Arial" w:hAnsi="Arial" w:eastAsia="等线" w:cs="Arial"/>
          <w:sz w:val="22"/>
          <w:lang w:val="en-US" w:eastAsia="zh-CN"/>
        </w:rPr>
        <w:t>4、</w:t>
      </w:r>
      <w:r>
        <w:rPr>
          <w:rFonts w:ascii="Arial" w:hAnsi="Arial" w:eastAsia="等线" w:cs="Arial"/>
          <w:sz w:val="22"/>
        </w:rPr>
        <w:t>业务办理、政策咨询、回访服务等工作全部按时完成，服务质效稳步提升。</w:t>
      </w:r>
    </w:p>
    <w:p w14:paraId="687D42F2">
      <w:pPr>
        <w:spacing w:before="300" w:after="120" w:line="288" w:lineRule="auto"/>
        <w:ind w:left="0" w:leftChars="0"/>
        <w:jc w:val="left"/>
        <w:outlineLvl w:val="1"/>
      </w:pPr>
      <w:bookmarkStart w:id="27" w:name="heading_14"/>
      <w:bookmarkStart w:id="28" w:name="_Toc27424"/>
      <w:r>
        <w:rPr>
          <w:rFonts w:ascii="Arial" w:hAnsi="Arial" w:eastAsia="等线" w:cs="Arial"/>
          <w:b/>
          <w:sz w:val="30"/>
        </w:rPr>
        <w:t>（四）项目效果情况</w:t>
      </w:r>
      <w:bookmarkEnd w:id="27"/>
      <w:bookmarkEnd w:id="28"/>
    </w:p>
    <w:p w14:paraId="294CABCF">
      <w:pPr>
        <w:numPr>
          <w:ilvl w:val="0"/>
          <w:numId w:val="0"/>
        </w:numPr>
        <w:spacing w:before="120" w:after="120" w:line="288" w:lineRule="auto"/>
        <w:jc w:val="left"/>
      </w:pPr>
      <w:r>
        <w:rPr>
          <w:rFonts w:hint="eastAsia" w:ascii="Arial" w:hAnsi="Arial" w:eastAsia="等线" w:cs="Arial"/>
          <w:sz w:val="22"/>
          <w:lang w:val="en-US" w:eastAsia="zh-CN"/>
        </w:rPr>
        <w:t>1、</w:t>
      </w:r>
      <w:r>
        <w:rPr>
          <w:rFonts w:ascii="Arial" w:hAnsi="Arial" w:eastAsia="等线" w:cs="Arial"/>
          <w:sz w:val="22"/>
        </w:rPr>
        <w:t>有效保障了退役军人基本生活，切实维护了退役军人合法权益；</w:t>
      </w:r>
    </w:p>
    <w:p w14:paraId="0C0889D6">
      <w:pPr>
        <w:numPr>
          <w:ilvl w:val="0"/>
          <w:numId w:val="0"/>
        </w:numPr>
        <w:spacing w:before="120" w:after="120" w:line="288" w:lineRule="auto"/>
        <w:jc w:val="left"/>
      </w:pPr>
      <w:r>
        <w:rPr>
          <w:rFonts w:hint="eastAsia" w:ascii="Arial" w:hAnsi="Arial" w:eastAsia="等线" w:cs="Arial"/>
          <w:sz w:val="22"/>
          <w:lang w:val="en-US" w:eastAsia="zh-CN"/>
        </w:rPr>
        <w:t>2、</w:t>
      </w:r>
      <w:r>
        <w:rPr>
          <w:rFonts w:ascii="Arial" w:hAnsi="Arial" w:eastAsia="等线" w:cs="Arial"/>
          <w:sz w:val="22"/>
        </w:rPr>
        <w:t>提升了退役军人就业创业能力，就业稳定性和收入水平进一步提高；</w:t>
      </w:r>
    </w:p>
    <w:p w14:paraId="5ABCC583">
      <w:pPr>
        <w:numPr>
          <w:ilvl w:val="0"/>
          <w:numId w:val="0"/>
        </w:numPr>
        <w:spacing w:before="120" w:after="120" w:line="288" w:lineRule="auto"/>
        <w:jc w:val="left"/>
      </w:pPr>
      <w:r>
        <w:rPr>
          <w:rFonts w:hint="eastAsia" w:ascii="Arial" w:hAnsi="Arial" w:eastAsia="等线" w:cs="Arial"/>
          <w:sz w:val="22"/>
          <w:lang w:val="en-US" w:eastAsia="zh-CN"/>
        </w:rPr>
        <w:t>3、</w:t>
      </w:r>
      <w:r>
        <w:rPr>
          <w:rFonts w:ascii="Arial" w:hAnsi="Arial" w:eastAsia="等线" w:cs="Arial"/>
          <w:sz w:val="22"/>
        </w:rPr>
        <w:t>服务对象满意度达</w:t>
      </w:r>
      <w:r>
        <w:rPr>
          <w:rFonts w:ascii="Arial" w:hAnsi="Arial" w:eastAsia="等线" w:cs="Arial"/>
          <w:b w:val="0"/>
          <w:bCs/>
          <w:sz w:val="22"/>
        </w:rPr>
        <w:t>95%</w:t>
      </w:r>
      <w:r>
        <w:rPr>
          <w:rFonts w:ascii="Arial" w:hAnsi="Arial" w:eastAsia="等线" w:cs="Arial"/>
          <w:sz w:val="22"/>
        </w:rPr>
        <w:t>，高于年度目标值，获得感、幸福感、荣誉感显著增强；</w:t>
      </w:r>
    </w:p>
    <w:p w14:paraId="4D1E2600">
      <w:pPr>
        <w:numPr>
          <w:ilvl w:val="0"/>
          <w:numId w:val="0"/>
        </w:numPr>
        <w:spacing w:before="120" w:after="120" w:line="288" w:lineRule="auto"/>
        <w:jc w:val="left"/>
      </w:pPr>
      <w:r>
        <w:rPr>
          <w:rFonts w:hint="eastAsia" w:ascii="Arial" w:hAnsi="Arial" w:eastAsia="等线" w:cs="Arial"/>
          <w:sz w:val="22"/>
          <w:lang w:val="en-US" w:eastAsia="zh-CN"/>
        </w:rPr>
        <w:t>4、</w:t>
      </w:r>
      <w:r>
        <w:rPr>
          <w:rFonts w:ascii="Arial" w:hAnsi="Arial" w:eastAsia="等线" w:cs="Arial"/>
          <w:sz w:val="22"/>
        </w:rPr>
        <w:t>营造了尊重关爱退役军人的良好社会氛围，有效维护了社会大局稳定。</w:t>
      </w:r>
    </w:p>
    <w:p w14:paraId="2E7631D1">
      <w:pPr>
        <w:spacing w:before="320" w:after="120" w:line="288" w:lineRule="auto"/>
        <w:ind w:left="0" w:leftChars="0"/>
        <w:jc w:val="left"/>
        <w:outlineLvl w:val="0"/>
      </w:pPr>
      <w:bookmarkStart w:id="29" w:name="heading_15"/>
      <w:bookmarkStart w:id="30" w:name="_Toc26307"/>
      <w:r>
        <w:rPr>
          <w:rFonts w:ascii="Arial" w:hAnsi="Arial" w:eastAsia="等线" w:cs="Arial"/>
          <w:b/>
          <w:sz w:val="32"/>
        </w:rPr>
        <w:t>四、项目主要成效</w:t>
      </w:r>
      <w:bookmarkEnd w:id="29"/>
      <w:bookmarkEnd w:id="30"/>
    </w:p>
    <w:p w14:paraId="2A43800D">
      <w:pPr>
        <w:numPr>
          <w:ilvl w:val="0"/>
          <w:numId w:val="0"/>
        </w:numPr>
        <w:spacing w:before="120" w:after="120" w:line="288" w:lineRule="auto"/>
        <w:ind w:left="0" w:leftChars="0" w:firstLine="0" w:firstLineChars="0"/>
        <w:jc w:val="left"/>
        <w:outlineLvl w:val="1"/>
      </w:pPr>
      <w:bookmarkStart w:id="31" w:name="_Toc19232"/>
      <w:r>
        <w:rPr>
          <w:rFonts w:hint="eastAsia" w:ascii="Arial" w:hAnsi="Arial" w:eastAsia="等线" w:cs="Arial"/>
          <w:b/>
          <w:sz w:val="22"/>
          <w:lang w:val="en-US" w:eastAsia="zh-CN"/>
        </w:rPr>
        <w:t>1、</w:t>
      </w:r>
      <w:r>
        <w:rPr>
          <w:rFonts w:ascii="Arial" w:hAnsi="Arial" w:eastAsia="等线" w:cs="Arial"/>
          <w:b/>
          <w:sz w:val="22"/>
        </w:rPr>
        <w:t>安置政策全面落地，保障精准高效</w:t>
      </w:r>
      <w:bookmarkEnd w:id="31"/>
    </w:p>
    <w:p w14:paraId="2092F4FE">
      <w:pPr>
        <w:spacing w:before="120" w:after="120" w:line="288" w:lineRule="auto"/>
        <w:ind w:left="0" w:firstLine="440" w:firstLineChars="200"/>
        <w:jc w:val="left"/>
      </w:pPr>
      <w:r>
        <w:rPr>
          <w:rFonts w:hint="eastAsia" w:ascii="Arial" w:hAnsi="Arial" w:eastAsia="等线" w:cs="Arial"/>
          <w:sz w:val="22"/>
          <w:lang w:val="en-US" w:eastAsia="zh-CN"/>
        </w:rPr>
        <w:t>99</w:t>
      </w:r>
      <w:r>
        <w:rPr>
          <w:rFonts w:ascii="Arial" w:hAnsi="Arial" w:eastAsia="等线" w:cs="Arial"/>
          <w:sz w:val="22"/>
        </w:rPr>
        <w:t>名退役士兵全部按规定落实相关待遇，补助资金足额及时发放，实现政策执行无偏差、服务保障无死角。</w:t>
      </w:r>
    </w:p>
    <w:p w14:paraId="240F69D0">
      <w:pPr>
        <w:numPr>
          <w:ilvl w:val="0"/>
          <w:numId w:val="0"/>
        </w:numPr>
        <w:spacing w:before="120" w:after="120" w:line="288" w:lineRule="auto"/>
        <w:ind w:left="0" w:leftChars="0" w:firstLine="0" w:firstLineChars="0"/>
        <w:jc w:val="left"/>
        <w:outlineLvl w:val="1"/>
      </w:pPr>
      <w:bookmarkStart w:id="32" w:name="_Toc24362"/>
      <w:r>
        <w:rPr>
          <w:rFonts w:hint="eastAsia" w:ascii="Arial" w:hAnsi="Arial" w:eastAsia="等线" w:cs="Arial"/>
          <w:b/>
          <w:sz w:val="22"/>
          <w:lang w:val="en-US" w:eastAsia="zh-CN"/>
        </w:rPr>
        <w:t>2、</w:t>
      </w:r>
      <w:r>
        <w:rPr>
          <w:rFonts w:ascii="Arial" w:hAnsi="Arial" w:eastAsia="等线" w:cs="Arial"/>
          <w:b/>
          <w:sz w:val="22"/>
        </w:rPr>
        <w:t>资金管理规范安全，使用效益较高</w:t>
      </w:r>
      <w:bookmarkEnd w:id="32"/>
    </w:p>
    <w:p w14:paraId="1F15BD42">
      <w:pPr>
        <w:spacing w:before="120" w:after="120" w:line="288" w:lineRule="auto"/>
        <w:ind w:left="0" w:firstLine="440" w:firstLineChars="200"/>
        <w:jc w:val="left"/>
      </w:pPr>
      <w:r>
        <w:rPr>
          <w:rFonts w:ascii="Arial" w:hAnsi="Arial" w:eastAsia="等线" w:cs="Arial"/>
          <w:sz w:val="22"/>
        </w:rPr>
        <w:t>项目资金严格执行财政管理规定，账目清晰、凭证齐全、发放透明，预算执行率96.99%，资金使用安全高效。</w:t>
      </w:r>
    </w:p>
    <w:p w14:paraId="188BFAD3">
      <w:pPr>
        <w:numPr>
          <w:ilvl w:val="0"/>
          <w:numId w:val="0"/>
        </w:numPr>
        <w:spacing w:before="120" w:after="120" w:line="288" w:lineRule="auto"/>
        <w:ind w:left="0" w:leftChars="0" w:firstLine="0" w:firstLineChars="0"/>
        <w:jc w:val="left"/>
        <w:outlineLvl w:val="1"/>
      </w:pPr>
      <w:bookmarkStart w:id="33" w:name="_Toc19160"/>
      <w:r>
        <w:rPr>
          <w:rFonts w:hint="eastAsia" w:ascii="Arial" w:hAnsi="Arial" w:eastAsia="等线" w:cs="Arial"/>
          <w:b/>
          <w:sz w:val="22"/>
          <w:lang w:val="en-US" w:eastAsia="zh-CN"/>
        </w:rPr>
        <w:t>3、</w:t>
      </w:r>
      <w:r>
        <w:rPr>
          <w:rFonts w:ascii="Arial" w:hAnsi="Arial" w:eastAsia="等线" w:cs="Arial"/>
          <w:b/>
          <w:sz w:val="22"/>
        </w:rPr>
        <w:t>服务保障持续优化，群众认可度高</w:t>
      </w:r>
      <w:bookmarkEnd w:id="33"/>
    </w:p>
    <w:p w14:paraId="643816FB">
      <w:pPr>
        <w:spacing w:before="120" w:after="120" w:line="288" w:lineRule="auto"/>
        <w:ind w:left="0" w:firstLine="440" w:firstLineChars="200"/>
        <w:jc w:val="left"/>
      </w:pPr>
      <w:r>
        <w:rPr>
          <w:rFonts w:ascii="Arial" w:hAnsi="Arial" w:eastAsia="等线" w:cs="Arial"/>
          <w:sz w:val="22"/>
        </w:rPr>
        <w:t>通过一站式服务、政策宣讲、上门办理等方式，不断提升服务水平，服务对象满意度达95%，得到退役军人普遍好评。</w:t>
      </w:r>
    </w:p>
    <w:p w14:paraId="39A6C32B">
      <w:pPr>
        <w:numPr>
          <w:ilvl w:val="0"/>
          <w:numId w:val="0"/>
        </w:numPr>
        <w:spacing w:before="120" w:after="120" w:line="288" w:lineRule="auto"/>
        <w:ind w:left="0" w:leftChars="0" w:firstLine="0" w:firstLineChars="0"/>
        <w:jc w:val="left"/>
        <w:outlineLvl w:val="1"/>
      </w:pPr>
      <w:bookmarkStart w:id="34" w:name="_Toc3801"/>
      <w:r>
        <w:rPr>
          <w:rFonts w:hint="eastAsia" w:ascii="Arial" w:hAnsi="Arial" w:eastAsia="等线" w:cs="Arial"/>
          <w:b/>
          <w:sz w:val="22"/>
          <w:lang w:val="en-US" w:eastAsia="zh-CN"/>
        </w:rPr>
        <w:t>4、</w:t>
      </w:r>
      <w:r>
        <w:rPr>
          <w:rFonts w:ascii="Arial" w:hAnsi="Arial" w:eastAsia="等线" w:cs="Arial"/>
          <w:b/>
          <w:sz w:val="22"/>
        </w:rPr>
        <w:t>社会效益突出，军政军民团结巩固</w:t>
      </w:r>
      <w:bookmarkEnd w:id="34"/>
    </w:p>
    <w:p w14:paraId="7684EED4">
      <w:pPr>
        <w:spacing w:before="120" w:after="120" w:line="288" w:lineRule="auto"/>
        <w:ind w:left="0" w:firstLine="440" w:firstLineChars="200"/>
        <w:jc w:val="left"/>
      </w:pPr>
      <w:r>
        <w:rPr>
          <w:rFonts w:ascii="Arial" w:hAnsi="Arial" w:eastAsia="等线" w:cs="Arial"/>
          <w:sz w:val="22"/>
        </w:rPr>
        <w:t>项目实施有效化解各类风险隐患，稳定了退役军人群体，为支持国防和军队现代化建设、维护地方社会稳定作出了积极贡献。</w:t>
      </w:r>
    </w:p>
    <w:p w14:paraId="7B1636A1">
      <w:pPr>
        <w:spacing w:before="320" w:after="120" w:line="288" w:lineRule="auto"/>
        <w:ind w:left="0" w:leftChars="0"/>
        <w:jc w:val="left"/>
        <w:outlineLvl w:val="0"/>
      </w:pPr>
      <w:bookmarkStart w:id="35" w:name="heading_16"/>
      <w:bookmarkStart w:id="36" w:name="_Toc29290"/>
      <w:r>
        <w:rPr>
          <w:rFonts w:ascii="Arial" w:hAnsi="Arial" w:eastAsia="等线" w:cs="Arial"/>
          <w:b/>
          <w:sz w:val="32"/>
        </w:rPr>
        <w:t>五、存在的问题</w:t>
      </w:r>
      <w:bookmarkEnd w:id="35"/>
      <w:bookmarkEnd w:id="36"/>
    </w:p>
    <w:p w14:paraId="5B25EDC6">
      <w:pPr>
        <w:numPr>
          <w:ilvl w:val="0"/>
          <w:numId w:val="0"/>
        </w:numPr>
        <w:spacing w:before="120" w:after="120" w:line="288" w:lineRule="auto"/>
        <w:jc w:val="left"/>
      </w:pPr>
      <w:r>
        <w:rPr>
          <w:rFonts w:hint="eastAsia" w:ascii="Arial" w:hAnsi="Arial" w:eastAsia="等线" w:cs="Arial"/>
          <w:sz w:val="22"/>
          <w:lang w:val="en-US" w:eastAsia="zh-CN"/>
        </w:rPr>
        <w:t>1、</w:t>
      </w:r>
      <w:r>
        <w:rPr>
          <w:rFonts w:ascii="Arial" w:hAnsi="Arial" w:eastAsia="等线" w:cs="Arial"/>
          <w:sz w:val="22"/>
        </w:rPr>
        <w:t>预算编制与实际支出存在小幅差异，预算执行率仍有提升空间；</w:t>
      </w:r>
    </w:p>
    <w:p w14:paraId="7EB56237">
      <w:pPr>
        <w:numPr>
          <w:ilvl w:val="0"/>
          <w:numId w:val="0"/>
        </w:numPr>
        <w:spacing w:before="120" w:after="120" w:line="288" w:lineRule="auto"/>
        <w:jc w:val="left"/>
      </w:pPr>
      <w:r>
        <w:rPr>
          <w:rFonts w:hint="eastAsia" w:ascii="Arial" w:hAnsi="Arial" w:eastAsia="等线" w:cs="Arial"/>
          <w:sz w:val="22"/>
          <w:lang w:val="en-US" w:eastAsia="zh-CN"/>
        </w:rPr>
        <w:t>2、</w:t>
      </w:r>
      <w:r>
        <w:rPr>
          <w:rFonts w:ascii="Arial" w:hAnsi="Arial" w:eastAsia="等线" w:cs="Arial"/>
          <w:sz w:val="22"/>
        </w:rPr>
        <w:t>信息化管理水平有待进一步加强，部门间数据共享效率不高；</w:t>
      </w:r>
    </w:p>
    <w:p w14:paraId="3C6669D5">
      <w:pPr>
        <w:numPr>
          <w:ilvl w:val="0"/>
          <w:numId w:val="0"/>
        </w:numPr>
        <w:spacing w:before="120" w:after="120" w:line="288" w:lineRule="auto"/>
        <w:jc w:val="left"/>
      </w:pPr>
      <w:r>
        <w:rPr>
          <w:rFonts w:hint="eastAsia" w:ascii="Arial" w:hAnsi="Arial" w:eastAsia="等线" w:cs="Arial"/>
          <w:sz w:val="22"/>
          <w:lang w:val="en-US" w:eastAsia="zh-CN"/>
        </w:rPr>
        <w:t>3、</w:t>
      </w:r>
      <w:r>
        <w:rPr>
          <w:rFonts w:ascii="Arial" w:hAnsi="Arial" w:eastAsia="等线" w:cs="Arial"/>
          <w:sz w:val="22"/>
        </w:rPr>
        <w:t>就业创业精准化、个性化帮扶力度需持续加大；</w:t>
      </w:r>
    </w:p>
    <w:p w14:paraId="636FB648">
      <w:pPr>
        <w:numPr>
          <w:ilvl w:val="0"/>
          <w:numId w:val="0"/>
        </w:numPr>
        <w:spacing w:before="120" w:after="120" w:line="288" w:lineRule="auto"/>
        <w:jc w:val="left"/>
      </w:pPr>
      <w:r>
        <w:rPr>
          <w:rFonts w:hint="eastAsia" w:ascii="Arial" w:hAnsi="Arial" w:eastAsia="等线" w:cs="Arial"/>
          <w:sz w:val="22"/>
          <w:lang w:val="en-US" w:eastAsia="zh-CN"/>
        </w:rPr>
        <w:t>4、</w:t>
      </w:r>
      <w:r>
        <w:rPr>
          <w:rFonts w:ascii="Arial" w:hAnsi="Arial" w:eastAsia="等线" w:cs="Arial"/>
          <w:sz w:val="22"/>
        </w:rPr>
        <w:t>基层经办力量相对薄弱，服务专业化水平有待提升。</w:t>
      </w:r>
    </w:p>
    <w:p w14:paraId="2337437A">
      <w:pPr>
        <w:spacing w:before="320" w:after="120" w:line="288" w:lineRule="auto"/>
        <w:ind w:left="0" w:leftChars="0"/>
        <w:jc w:val="left"/>
        <w:outlineLvl w:val="0"/>
      </w:pPr>
      <w:bookmarkStart w:id="37" w:name="_Toc10988"/>
      <w:bookmarkStart w:id="38" w:name="heading_17"/>
      <w:r>
        <w:rPr>
          <w:rFonts w:ascii="Arial" w:hAnsi="Arial" w:eastAsia="等线" w:cs="Arial"/>
          <w:b/>
          <w:sz w:val="32"/>
        </w:rPr>
        <w:t>六、原因分析</w:t>
      </w:r>
      <w:bookmarkEnd w:id="37"/>
      <w:bookmarkEnd w:id="38"/>
    </w:p>
    <w:p w14:paraId="0529A229">
      <w:pPr>
        <w:numPr>
          <w:ilvl w:val="0"/>
          <w:numId w:val="0"/>
        </w:numPr>
        <w:spacing w:before="120" w:after="120" w:line="288" w:lineRule="auto"/>
        <w:jc w:val="left"/>
      </w:pPr>
      <w:r>
        <w:rPr>
          <w:rFonts w:hint="eastAsia" w:ascii="Arial" w:hAnsi="Arial" w:eastAsia="等线" w:cs="Arial"/>
          <w:sz w:val="22"/>
          <w:lang w:val="en-US" w:eastAsia="zh-CN"/>
        </w:rPr>
        <w:t>1、</w:t>
      </w:r>
      <w:r>
        <w:rPr>
          <w:rFonts w:ascii="Arial" w:hAnsi="Arial" w:eastAsia="等线" w:cs="Arial"/>
          <w:sz w:val="22"/>
        </w:rPr>
        <w:t>年度退役人数受上级计划调整影响，导致预算额度与实际支出存在小幅偏差；</w:t>
      </w:r>
    </w:p>
    <w:p w14:paraId="1EB5FEE2">
      <w:pPr>
        <w:numPr>
          <w:ilvl w:val="0"/>
          <w:numId w:val="0"/>
        </w:numPr>
        <w:spacing w:before="120" w:after="120" w:line="288" w:lineRule="auto"/>
        <w:jc w:val="left"/>
      </w:pPr>
      <w:r>
        <w:rPr>
          <w:rFonts w:hint="eastAsia" w:ascii="Arial" w:hAnsi="Arial" w:eastAsia="等线" w:cs="Arial"/>
          <w:sz w:val="22"/>
          <w:lang w:val="en-US" w:eastAsia="zh-CN"/>
        </w:rPr>
        <w:t>2、</w:t>
      </w:r>
      <w:r>
        <w:rPr>
          <w:rFonts w:ascii="Arial" w:hAnsi="Arial" w:eastAsia="等线" w:cs="Arial"/>
          <w:sz w:val="22"/>
        </w:rPr>
        <w:t>信息化平台建设尚不完善，跨部门数据协同机制不够健全；</w:t>
      </w:r>
    </w:p>
    <w:p w14:paraId="46FD1B35">
      <w:pPr>
        <w:numPr>
          <w:ilvl w:val="0"/>
          <w:numId w:val="0"/>
        </w:numPr>
        <w:spacing w:before="120" w:after="120" w:line="288" w:lineRule="auto"/>
        <w:jc w:val="left"/>
      </w:pPr>
      <w:r>
        <w:rPr>
          <w:rFonts w:hint="eastAsia" w:ascii="Arial" w:hAnsi="Arial" w:eastAsia="等线" w:cs="Arial"/>
          <w:sz w:val="22"/>
          <w:lang w:val="en-US" w:eastAsia="zh-CN"/>
        </w:rPr>
        <w:t>3、</w:t>
      </w:r>
      <w:r>
        <w:rPr>
          <w:rFonts w:ascii="Arial" w:hAnsi="Arial" w:eastAsia="等线" w:cs="Arial"/>
          <w:sz w:val="22"/>
        </w:rPr>
        <w:t>就业市场变化较快，针对性岗位供给和长效跟踪服务仍需加强；</w:t>
      </w:r>
    </w:p>
    <w:p w14:paraId="6EA81F57">
      <w:pPr>
        <w:numPr>
          <w:ilvl w:val="0"/>
          <w:numId w:val="0"/>
        </w:numPr>
        <w:spacing w:before="120" w:after="120" w:line="288" w:lineRule="auto"/>
        <w:jc w:val="left"/>
      </w:pPr>
      <w:r>
        <w:rPr>
          <w:rFonts w:hint="eastAsia" w:ascii="Arial" w:hAnsi="Arial" w:eastAsia="等线" w:cs="Arial"/>
          <w:sz w:val="22"/>
          <w:lang w:val="en-US" w:eastAsia="zh-CN"/>
        </w:rPr>
        <w:t>4、</w:t>
      </w:r>
      <w:r>
        <w:rPr>
          <w:rFonts w:ascii="Arial" w:hAnsi="Arial" w:eastAsia="等线" w:cs="Arial"/>
          <w:sz w:val="22"/>
        </w:rPr>
        <w:t>基层服务站点人员编制有限，专业能力和服务力量需进一步充实。</w:t>
      </w:r>
    </w:p>
    <w:p w14:paraId="3E840FB4">
      <w:pPr>
        <w:spacing w:before="320" w:after="120" w:line="288" w:lineRule="auto"/>
        <w:ind w:left="0" w:leftChars="0"/>
        <w:jc w:val="left"/>
        <w:outlineLvl w:val="0"/>
      </w:pPr>
      <w:bookmarkStart w:id="39" w:name="_Toc16887"/>
      <w:bookmarkStart w:id="40" w:name="heading_18"/>
      <w:r>
        <w:rPr>
          <w:rFonts w:ascii="Arial" w:hAnsi="Arial" w:eastAsia="等线" w:cs="Arial"/>
          <w:b/>
          <w:sz w:val="32"/>
        </w:rPr>
        <w:t>七、整改措施及下一步工作计划</w:t>
      </w:r>
      <w:bookmarkEnd w:id="39"/>
      <w:bookmarkEnd w:id="40"/>
    </w:p>
    <w:p w14:paraId="3FFAA71C">
      <w:pPr>
        <w:numPr>
          <w:ilvl w:val="0"/>
          <w:numId w:val="0"/>
        </w:numPr>
        <w:spacing w:before="120" w:after="120" w:line="288" w:lineRule="auto"/>
        <w:ind w:left="0" w:leftChars="0" w:firstLine="0" w:firstLineChars="0"/>
        <w:jc w:val="left"/>
        <w:outlineLvl w:val="1"/>
      </w:pPr>
      <w:bookmarkStart w:id="41" w:name="_Toc15506"/>
      <w:r>
        <w:rPr>
          <w:rFonts w:hint="eastAsia" w:ascii="Arial" w:hAnsi="Arial" w:eastAsia="等线" w:cs="Arial"/>
          <w:b/>
          <w:sz w:val="22"/>
          <w:lang w:val="en-US" w:eastAsia="zh-CN"/>
        </w:rPr>
        <w:t>1、</w:t>
      </w:r>
      <w:r>
        <w:rPr>
          <w:rFonts w:ascii="Arial" w:hAnsi="Arial" w:eastAsia="等线" w:cs="Arial"/>
          <w:b/>
          <w:sz w:val="22"/>
        </w:rPr>
        <w:t>强化预算精细化管理</w:t>
      </w:r>
      <w:bookmarkEnd w:id="41"/>
    </w:p>
    <w:p w14:paraId="63E01099">
      <w:pPr>
        <w:spacing w:before="120" w:after="120" w:line="288" w:lineRule="auto"/>
        <w:ind w:left="0" w:firstLine="440" w:firstLineChars="200"/>
        <w:jc w:val="left"/>
      </w:pPr>
      <w:r>
        <w:rPr>
          <w:rFonts w:ascii="Arial" w:hAnsi="Arial" w:eastAsia="等线" w:cs="Arial"/>
          <w:sz w:val="22"/>
        </w:rPr>
        <w:t>加强退役计划研判分析，提高预算编制精准度，加快资金拨付进度，进一步提升预算执行率。</w:t>
      </w:r>
    </w:p>
    <w:p w14:paraId="336A51C1">
      <w:pPr>
        <w:numPr>
          <w:ilvl w:val="0"/>
          <w:numId w:val="0"/>
        </w:numPr>
        <w:spacing w:before="120" w:after="120" w:line="288" w:lineRule="auto"/>
        <w:ind w:left="0" w:leftChars="0" w:firstLine="0" w:firstLineChars="0"/>
        <w:jc w:val="left"/>
        <w:outlineLvl w:val="1"/>
      </w:pPr>
      <w:bookmarkStart w:id="42" w:name="_Toc18750"/>
      <w:r>
        <w:rPr>
          <w:rFonts w:hint="eastAsia" w:ascii="Arial" w:hAnsi="Arial" w:eastAsia="等线" w:cs="Arial"/>
          <w:b/>
          <w:sz w:val="22"/>
          <w:lang w:val="en-US" w:eastAsia="zh-CN"/>
        </w:rPr>
        <w:t>2、</w:t>
      </w:r>
      <w:r>
        <w:rPr>
          <w:rFonts w:ascii="Arial" w:hAnsi="Arial" w:eastAsia="等线" w:cs="Arial"/>
          <w:b/>
          <w:sz w:val="22"/>
        </w:rPr>
        <w:t>加快信息化平台建设</w:t>
      </w:r>
      <w:bookmarkEnd w:id="42"/>
    </w:p>
    <w:p w14:paraId="33DA9A2B">
      <w:pPr>
        <w:spacing w:before="120" w:after="120" w:line="288" w:lineRule="auto"/>
        <w:ind w:left="0" w:firstLine="440" w:firstLineChars="200"/>
        <w:jc w:val="left"/>
      </w:pPr>
      <w:r>
        <w:rPr>
          <w:rFonts w:ascii="Arial" w:hAnsi="Arial" w:eastAsia="等线" w:cs="Arial"/>
          <w:sz w:val="22"/>
        </w:rPr>
        <w:t>完善退役军人综合信息管理系统，推进数据互通共享，实现安置、补助、培训、就业全流程闭环管理。</w:t>
      </w:r>
    </w:p>
    <w:p w14:paraId="6D301F02">
      <w:pPr>
        <w:numPr>
          <w:ilvl w:val="0"/>
          <w:numId w:val="0"/>
        </w:numPr>
        <w:spacing w:before="120" w:after="120" w:line="288" w:lineRule="auto"/>
        <w:ind w:left="0" w:leftChars="0" w:firstLine="0" w:firstLineChars="0"/>
        <w:jc w:val="left"/>
        <w:outlineLvl w:val="1"/>
      </w:pPr>
      <w:bookmarkStart w:id="43" w:name="_Toc15024"/>
      <w:r>
        <w:rPr>
          <w:rFonts w:hint="eastAsia" w:ascii="Arial" w:hAnsi="Arial" w:eastAsia="等线" w:cs="Arial"/>
          <w:b/>
          <w:sz w:val="22"/>
          <w:lang w:val="en-US" w:eastAsia="zh-CN"/>
        </w:rPr>
        <w:t>3、</w:t>
      </w:r>
      <w:r>
        <w:rPr>
          <w:rFonts w:ascii="Arial" w:hAnsi="Arial" w:eastAsia="等线" w:cs="Arial"/>
          <w:b/>
          <w:sz w:val="22"/>
        </w:rPr>
        <w:t>深化就业创业精准服务</w:t>
      </w:r>
      <w:bookmarkEnd w:id="43"/>
    </w:p>
    <w:p w14:paraId="0AF895B6">
      <w:pPr>
        <w:spacing w:before="120" w:after="120" w:line="288" w:lineRule="auto"/>
        <w:ind w:left="0" w:firstLine="440" w:firstLineChars="200"/>
        <w:jc w:val="left"/>
      </w:pPr>
      <w:r>
        <w:rPr>
          <w:rFonts w:ascii="Arial" w:hAnsi="Arial" w:eastAsia="等线" w:cs="Arial"/>
          <w:sz w:val="22"/>
        </w:rPr>
        <w:t>拓宽就业岗位渠道，加强校企合作，开展订单式、定向式培训，健全就业回访和长效帮扶机制。</w:t>
      </w:r>
    </w:p>
    <w:p w14:paraId="296FF506">
      <w:pPr>
        <w:numPr>
          <w:ilvl w:val="0"/>
          <w:numId w:val="0"/>
        </w:numPr>
        <w:spacing w:before="120" w:after="120" w:line="288" w:lineRule="auto"/>
        <w:ind w:left="0" w:leftChars="0" w:firstLine="0" w:firstLineChars="0"/>
        <w:jc w:val="left"/>
        <w:outlineLvl w:val="1"/>
      </w:pPr>
      <w:bookmarkStart w:id="44" w:name="_Toc14635"/>
      <w:r>
        <w:rPr>
          <w:rFonts w:hint="eastAsia" w:ascii="Arial" w:hAnsi="Arial" w:eastAsia="等线" w:cs="Arial"/>
          <w:b/>
          <w:sz w:val="22"/>
          <w:lang w:val="en-US" w:eastAsia="zh-CN"/>
        </w:rPr>
        <w:t>4、</w:t>
      </w:r>
      <w:r>
        <w:rPr>
          <w:rFonts w:ascii="Arial" w:hAnsi="Arial" w:eastAsia="等线" w:cs="Arial"/>
          <w:b/>
          <w:sz w:val="22"/>
        </w:rPr>
        <w:t>加强基层队伍建设</w:t>
      </w:r>
      <w:bookmarkEnd w:id="44"/>
    </w:p>
    <w:p w14:paraId="703D82FD">
      <w:pPr>
        <w:spacing w:before="120" w:after="120" w:line="288" w:lineRule="auto"/>
        <w:ind w:left="0" w:firstLine="440" w:firstLineChars="200"/>
        <w:jc w:val="left"/>
      </w:pPr>
      <w:r>
        <w:rPr>
          <w:rFonts w:ascii="Arial" w:hAnsi="Arial" w:eastAsia="等线" w:cs="Arial"/>
          <w:sz w:val="22"/>
        </w:rPr>
        <w:t>充实基层服务力量，常态化开展政策业务培训，提升经办人员专业化、规范化服务水平。</w:t>
      </w:r>
    </w:p>
    <w:p w14:paraId="0D7B390F">
      <w:pPr>
        <w:numPr>
          <w:ilvl w:val="0"/>
          <w:numId w:val="0"/>
        </w:numPr>
        <w:spacing w:before="120" w:after="120" w:line="288" w:lineRule="auto"/>
        <w:ind w:left="0" w:leftChars="0" w:firstLine="0" w:firstLineChars="0"/>
        <w:jc w:val="left"/>
        <w:outlineLvl w:val="1"/>
      </w:pPr>
      <w:bookmarkStart w:id="45" w:name="_Toc14771"/>
      <w:r>
        <w:rPr>
          <w:rFonts w:hint="eastAsia" w:ascii="Arial" w:hAnsi="Arial" w:eastAsia="等线" w:cs="Arial"/>
          <w:b/>
          <w:sz w:val="22"/>
          <w:lang w:val="en-US" w:eastAsia="zh-CN"/>
        </w:rPr>
        <w:t>5、</w:t>
      </w:r>
      <w:r>
        <w:rPr>
          <w:rFonts w:ascii="Arial" w:hAnsi="Arial" w:eastAsia="等线" w:cs="Arial"/>
          <w:b/>
          <w:sz w:val="22"/>
        </w:rPr>
        <w:t>健全绩效长效管理机制</w:t>
      </w:r>
      <w:bookmarkEnd w:id="45"/>
    </w:p>
    <w:p w14:paraId="0C5D64E2">
      <w:pPr>
        <w:spacing w:before="120" w:after="120" w:line="288" w:lineRule="auto"/>
        <w:ind w:left="0" w:firstLine="440" w:firstLineChars="200"/>
        <w:jc w:val="left"/>
      </w:pPr>
      <w:r>
        <w:rPr>
          <w:rFonts w:ascii="Arial" w:hAnsi="Arial" w:eastAsia="等线" w:cs="Arial"/>
          <w:sz w:val="22"/>
        </w:rPr>
        <w:t>持续开展绩效自评和日常监督检查，确保资金安全、政策落地、群众满意，推动安置工作高质量发展。</w:t>
      </w:r>
    </w:p>
    <w:p w14:paraId="6E91DD24">
      <w:pPr>
        <w:spacing w:before="320" w:after="120" w:line="288" w:lineRule="auto"/>
        <w:ind w:left="0" w:leftChars="0"/>
        <w:jc w:val="left"/>
        <w:outlineLvl w:val="0"/>
      </w:pPr>
      <w:bookmarkStart w:id="46" w:name="heading_19"/>
      <w:bookmarkStart w:id="47" w:name="_Toc9952"/>
      <w:r>
        <w:rPr>
          <w:rFonts w:ascii="Arial" w:hAnsi="Arial" w:eastAsia="等线" w:cs="Arial"/>
          <w:b/>
          <w:sz w:val="32"/>
        </w:rPr>
        <w:t>八、评价结论</w:t>
      </w:r>
      <w:bookmarkEnd w:id="46"/>
      <w:bookmarkEnd w:id="47"/>
    </w:p>
    <w:p w14:paraId="70C25652">
      <w:pPr>
        <w:spacing w:before="120" w:after="120" w:line="288" w:lineRule="auto"/>
        <w:ind w:left="0" w:firstLine="440" w:firstLineChars="200"/>
        <w:jc w:val="left"/>
      </w:pPr>
      <w:r>
        <w:rPr>
          <w:rFonts w:ascii="Arial" w:hAnsi="Arial" w:eastAsia="等线" w:cs="Arial"/>
          <w:sz w:val="22"/>
        </w:rPr>
        <w:t>经综合评价，2025年度退役安置项目</w:t>
      </w:r>
      <w:r>
        <w:rPr>
          <w:rFonts w:ascii="Arial" w:hAnsi="Arial" w:eastAsia="等线" w:cs="Arial"/>
          <w:b w:val="0"/>
          <w:bCs/>
          <w:sz w:val="22"/>
        </w:rPr>
        <w:t>组织实施规范、资金使用合规、产出成效明显、社会效益突出</w:t>
      </w:r>
      <w:r>
        <w:rPr>
          <w:rFonts w:ascii="Arial" w:hAnsi="Arial" w:eastAsia="等线" w:cs="Arial"/>
          <w:sz w:val="22"/>
        </w:rPr>
        <w:t>，全面完成年度各项工作任务，有效保障了</w:t>
      </w:r>
      <w:r>
        <w:rPr>
          <w:rFonts w:hint="eastAsia" w:ascii="Arial" w:hAnsi="Arial" w:eastAsia="等线" w:cs="Arial"/>
          <w:sz w:val="22"/>
          <w:lang w:val="en-US" w:eastAsia="zh-CN"/>
        </w:rPr>
        <w:t>99</w:t>
      </w:r>
      <w:r>
        <w:rPr>
          <w:rFonts w:ascii="Arial" w:hAnsi="Arial" w:eastAsia="等线" w:cs="Arial"/>
          <w:sz w:val="22"/>
        </w:rPr>
        <w:t>名退役士兵的合法权益。项目综合评价得分</w:t>
      </w:r>
      <w:r>
        <w:rPr>
          <w:rFonts w:ascii="Arial" w:hAnsi="Arial" w:eastAsia="等线" w:cs="Arial"/>
          <w:b w:val="0"/>
          <w:bCs/>
          <w:sz w:val="22"/>
        </w:rPr>
        <w:t>96分</w:t>
      </w:r>
      <w:r>
        <w:rPr>
          <w:rFonts w:ascii="Arial" w:hAnsi="Arial" w:eastAsia="等线" w:cs="Arial"/>
          <w:sz w:val="22"/>
        </w:rPr>
        <w:t>，评价等级为</w:t>
      </w:r>
      <w:r>
        <w:rPr>
          <w:rFonts w:ascii="Arial" w:hAnsi="Arial" w:eastAsia="等线" w:cs="Arial"/>
          <w:b w:val="0"/>
          <w:bCs/>
          <w:sz w:val="22"/>
        </w:rPr>
        <w:t>优秀</w:t>
      </w:r>
      <w:r>
        <w:rPr>
          <w:rFonts w:ascii="Arial" w:hAnsi="Arial" w:eastAsia="等线" w:cs="Arial"/>
          <w:sz w:val="22"/>
        </w:rPr>
        <w:t>。</w:t>
      </w:r>
    </w:p>
    <w:p w14:paraId="3AB9515B">
      <w:pPr>
        <w:spacing w:before="120" w:after="120" w:line="288" w:lineRule="auto"/>
        <w:ind w:left="0" w:firstLine="440" w:firstLineChars="200"/>
        <w:jc w:val="left"/>
        <w:rPr>
          <w:rFonts w:ascii="Arial" w:hAnsi="Arial" w:eastAsia="等线" w:cs="Arial"/>
          <w:sz w:val="22"/>
        </w:rPr>
      </w:pPr>
      <w:r>
        <w:rPr>
          <w:rFonts w:ascii="Arial" w:hAnsi="Arial" w:eastAsia="等线" w:cs="Arial"/>
          <w:sz w:val="22"/>
        </w:rPr>
        <w:t>建议今后继续保障项目资金投入，进一步优化管理流程，提升服务效能，不断推动退役军人安置工作提质增效。</w:t>
      </w:r>
    </w:p>
    <w:p w14:paraId="2BDBF9F6">
      <w:pPr>
        <w:spacing w:before="120" w:after="120" w:line="288" w:lineRule="auto"/>
        <w:ind w:left="0" w:firstLine="440" w:firstLineChars="200"/>
        <w:jc w:val="left"/>
        <w:rPr>
          <w:rFonts w:ascii="Arial" w:hAnsi="Arial" w:eastAsia="等线" w:cs="Arial"/>
          <w:sz w:val="22"/>
        </w:rPr>
      </w:pPr>
    </w:p>
    <w:p w14:paraId="7BA8F5C1">
      <w:pPr>
        <w:spacing w:before="120" w:after="120" w:line="288" w:lineRule="auto"/>
        <w:ind w:left="0" w:firstLine="440" w:firstLineChars="200"/>
        <w:jc w:val="left"/>
        <w:rPr>
          <w:rFonts w:ascii="Arial" w:hAnsi="Arial" w:eastAsia="等线" w:cs="Arial"/>
          <w:sz w:val="22"/>
        </w:rPr>
      </w:pPr>
    </w:p>
    <w:p w14:paraId="3E8F00F2">
      <w:pPr>
        <w:spacing w:before="120" w:after="120" w:line="288" w:lineRule="auto"/>
        <w:ind w:left="0" w:firstLine="440" w:firstLineChars="200"/>
        <w:jc w:val="left"/>
        <w:rPr>
          <w:rFonts w:ascii="Arial" w:hAnsi="Arial" w:eastAsia="等线" w:cs="Arial"/>
          <w:sz w:val="22"/>
        </w:rPr>
      </w:pPr>
    </w:p>
    <w:p w14:paraId="615A778B">
      <w:pPr>
        <w:spacing w:before="120" w:after="120" w:line="288" w:lineRule="auto"/>
        <w:ind w:left="0" w:firstLine="440" w:firstLineChars="200"/>
        <w:jc w:val="left"/>
        <w:rPr>
          <w:rFonts w:ascii="Arial" w:hAnsi="Arial" w:eastAsia="等线" w:cs="Arial"/>
          <w:sz w:val="22"/>
        </w:rPr>
      </w:pPr>
    </w:p>
    <w:p w14:paraId="5F2779CD">
      <w:pPr>
        <w:spacing w:before="120" w:after="120" w:line="288" w:lineRule="auto"/>
        <w:ind w:left="0" w:firstLine="440" w:firstLineChars="200"/>
        <w:jc w:val="left"/>
        <w:rPr>
          <w:rFonts w:ascii="Arial" w:hAnsi="Arial" w:eastAsia="等线" w:cs="Arial"/>
          <w:sz w:val="22"/>
        </w:rPr>
      </w:pPr>
    </w:p>
    <w:p w14:paraId="3A7EEEE9">
      <w:pPr>
        <w:spacing w:before="120" w:after="120" w:line="288" w:lineRule="auto"/>
        <w:ind w:left="0" w:firstLine="440" w:firstLineChars="200"/>
        <w:jc w:val="left"/>
        <w:rPr>
          <w:rFonts w:ascii="Arial" w:hAnsi="Arial" w:eastAsia="等线" w:cs="Arial"/>
          <w:sz w:val="22"/>
        </w:rPr>
      </w:pPr>
    </w:p>
    <w:p w14:paraId="16AEE1A6">
      <w:pPr>
        <w:pBdr>
          <w:bottom w:val="single" w:color="DEE0E3" w:sz="2" w:space="0"/>
          <w:between w:val="single" w:color="DEE0E3" w:sz="2" w:space="0"/>
        </w:pBdr>
        <w:spacing w:before="120" w:after="120" w:line="288" w:lineRule="auto"/>
        <w:ind w:left="0"/>
      </w:pPr>
    </w:p>
    <w:p w14:paraId="5DC32F30">
      <w:pPr>
        <w:spacing w:before="380" w:after="140" w:line="288" w:lineRule="auto"/>
        <w:ind w:left="0"/>
        <w:jc w:val="left"/>
        <w:outlineLvl w:val="0"/>
      </w:pPr>
      <w:bookmarkStart w:id="48" w:name="_Toc11002"/>
      <w:bookmarkStart w:id="49" w:name="heading_20"/>
      <w:r>
        <w:rPr>
          <w:rFonts w:ascii="Arial" w:hAnsi="Arial" w:eastAsia="等线" w:cs="Arial"/>
          <w:b/>
          <w:sz w:val="36"/>
        </w:rPr>
        <w:t>附件：退役安置项目支出绩效评价指标评分表</w:t>
      </w:r>
      <w:bookmarkEnd w:id="48"/>
      <w:bookmarkEnd w:id="49"/>
    </w:p>
    <w:tbl>
      <w:tblPr>
        <w:tblStyle w:val="6"/>
        <w:tblW w:w="0" w:type="auto"/>
        <w:tblInd w:w="0" w:type="dxa"/>
        <w:tblBorders>
          <w:top w:val="single" w:color="000000" w:themeColor="text1" w:sz="2" w:space="0"/>
          <w:left w:val="single" w:color="000000" w:themeColor="text1" w:sz="2" w:space="0"/>
          <w:bottom w:val="single" w:color="000000" w:themeColor="text1" w:sz="2" w:space="0"/>
          <w:right w:val="single" w:color="000000" w:themeColor="text1" w:sz="2" w:space="0"/>
          <w:insideH w:val="single" w:color="000000" w:themeColor="text1" w:sz="2" w:space="0"/>
          <w:insideV w:val="single" w:color="000000" w:themeColor="text1" w:sz="2" w:space="0"/>
        </w:tblBorders>
        <w:tblLayout w:type="fixed"/>
        <w:tblCellMar>
          <w:top w:w="0" w:type="dxa"/>
          <w:left w:w="10" w:type="dxa"/>
          <w:bottom w:w="0" w:type="dxa"/>
          <w:right w:w="10" w:type="dxa"/>
        </w:tblCellMar>
      </w:tblPr>
      <w:tblGrid>
        <w:gridCol w:w="1380"/>
        <w:gridCol w:w="1380"/>
        <w:gridCol w:w="1380"/>
        <w:gridCol w:w="1380"/>
        <w:gridCol w:w="1380"/>
        <w:gridCol w:w="1380"/>
      </w:tblGrid>
      <w:tr w14:paraId="14ED1C2F">
        <w:tblPrEx>
          <w:tblBorders>
            <w:top w:val="single" w:color="000000" w:themeColor="text1" w:sz="2" w:space="0"/>
            <w:left w:val="single" w:color="000000" w:themeColor="text1" w:sz="2" w:space="0"/>
            <w:bottom w:val="single" w:color="000000" w:themeColor="text1" w:sz="2" w:space="0"/>
            <w:right w:val="single" w:color="000000" w:themeColor="text1" w:sz="2" w:space="0"/>
            <w:insideH w:val="single" w:color="000000" w:themeColor="text1" w:sz="2" w:space="0"/>
            <w:insideV w:val="single" w:color="000000" w:themeColor="text1" w:sz="2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1380" w:type="dxa"/>
            <w:tcBorders>
              <w:tl2br w:val="nil"/>
              <w:tr2bl w:val="nil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top"/>
          </w:tcPr>
          <w:p w14:paraId="014EFBAC">
            <w:pPr>
              <w:spacing w:before="120" w:after="120" w:line="288" w:lineRule="auto"/>
              <w:ind w:left="0"/>
              <w:jc w:val="left"/>
            </w:pPr>
            <w:r>
              <w:rPr>
                <w:rFonts w:ascii="Arial" w:hAnsi="Arial" w:eastAsia="等线" w:cs="Arial"/>
                <w:sz w:val="22"/>
              </w:rPr>
              <w:t>一级指标</w:t>
            </w:r>
          </w:p>
        </w:tc>
        <w:tc>
          <w:tcPr>
            <w:tcW w:w="1380" w:type="dxa"/>
            <w:tcBorders>
              <w:tl2br w:val="nil"/>
              <w:tr2bl w:val="nil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top"/>
          </w:tcPr>
          <w:p w14:paraId="0E34DE5B">
            <w:pPr>
              <w:spacing w:before="120" w:after="120" w:line="288" w:lineRule="auto"/>
              <w:ind w:left="0"/>
              <w:jc w:val="left"/>
            </w:pPr>
            <w:r>
              <w:rPr>
                <w:rFonts w:ascii="Arial" w:hAnsi="Arial" w:eastAsia="等线" w:cs="Arial"/>
                <w:sz w:val="22"/>
              </w:rPr>
              <w:t>权重</w:t>
            </w:r>
          </w:p>
        </w:tc>
        <w:tc>
          <w:tcPr>
            <w:tcW w:w="1380" w:type="dxa"/>
            <w:tcBorders>
              <w:tl2br w:val="nil"/>
              <w:tr2bl w:val="nil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top"/>
          </w:tcPr>
          <w:p w14:paraId="39F9A142">
            <w:pPr>
              <w:spacing w:before="120" w:after="120" w:line="288" w:lineRule="auto"/>
              <w:ind w:left="0"/>
              <w:jc w:val="left"/>
            </w:pPr>
            <w:r>
              <w:rPr>
                <w:rFonts w:ascii="Arial" w:hAnsi="Arial" w:eastAsia="等线" w:cs="Arial"/>
                <w:sz w:val="22"/>
              </w:rPr>
              <w:t>二级指标</w:t>
            </w:r>
          </w:p>
        </w:tc>
        <w:tc>
          <w:tcPr>
            <w:tcW w:w="1380" w:type="dxa"/>
            <w:tcBorders>
              <w:tl2br w:val="nil"/>
              <w:tr2bl w:val="nil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top"/>
          </w:tcPr>
          <w:p w14:paraId="3B6A5432">
            <w:pPr>
              <w:spacing w:before="120" w:after="120" w:line="288" w:lineRule="auto"/>
              <w:ind w:left="0"/>
              <w:jc w:val="left"/>
            </w:pPr>
            <w:r>
              <w:rPr>
                <w:rFonts w:ascii="Arial" w:hAnsi="Arial" w:eastAsia="等线" w:cs="Arial"/>
                <w:sz w:val="22"/>
              </w:rPr>
              <w:t>评分标准</w:t>
            </w:r>
          </w:p>
        </w:tc>
        <w:tc>
          <w:tcPr>
            <w:tcW w:w="1380" w:type="dxa"/>
            <w:tcBorders>
              <w:tl2br w:val="nil"/>
              <w:tr2bl w:val="nil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top"/>
          </w:tcPr>
          <w:p w14:paraId="153A99E7">
            <w:pPr>
              <w:spacing w:before="120" w:after="120" w:line="288" w:lineRule="auto"/>
              <w:ind w:left="0"/>
              <w:jc w:val="left"/>
            </w:pPr>
            <w:r>
              <w:rPr>
                <w:rFonts w:ascii="Arial" w:hAnsi="Arial" w:eastAsia="等线" w:cs="Arial"/>
                <w:sz w:val="22"/>
              </w:rPr>
              <w:t>完成情况</w:t>
            </w:r>
          </w:p>
        </w:tc>
        <w:tc>
          <w:tcPr>
            <w:tcW w:w="1380" w:type="dxa"/>
            <w:tcBorders>
              <w:tl2br w:val="nil"/>
              <w:tr2bl w:val="nil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top"/>
          </w:tcPr>
          <w:p w14:paraId="67A02546">
            <w:pPr>
              <w:spacing w:before="120" w:after="120" w:line="288" w:lineRule="auto"/>
              <w:ind w:left="0"/>
              <w:jc w:val="left"/>
            </w:pPr>
            <w:r>
              <w:rPr>
                <w:rFonts w:ascii="Arial" w:hAnsi="Arial" w:eastAsia="等线" w:cs="Arial"/>
                <w:sz w:val="22"/>
              </w:rPr>
              <w:t>得分</w:t>
            </w:r>
            <w:bookmarkStart w:id="50" w:name="_GoBack"/>
            <w:bookmarkEnd w:id="50"/>
          </w:p>
        </w:tc>
      </w:tr>
      <w:tr w14:paraId="18564536">
        <w:tblPrEx>
          <w:tblBorders>
            <w:top w:val="single" w:color="000000" w:themeColor="text1" w:sz="2" w:space="0"/>
            <w:left w:val="single" w:color="000000" w:themeColor="text1" w:sz="2" w:space="0"/>
            <w:bottom w:val="single" w:color="000000" w:themeColor="text1" w:sz="2" w:space="0"/>
            <w:right w:val="single" w:color="000000" w:themeColor="text1" w:sz="2" w:space="0"/>
            <w:insideH w:val="single" w:color="000000" w:themeColor="text1" w:sz="2" w:space="0"/>
            <w:insideV w:val="single" w:color="000000" w:themeColor="text1" w:sz="2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1380" w:type="dxa"/>
            <w:tcBorders>
              <w:tl2br w:val="nil"/>
              <w:tr2bl w:val="nil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top"/>
          </w:tcPr>
          <w:p w14:paraId="4B7A91DC">
            <w:pPr>
              <w:spacing w:before="120" w:after="120" w:line="288" w:lineRule="auto"/>
              <w:ind w:left="0"/>
              <w:jc w:val="left"/>
            </w:pPr>
            <w:r>
              <w:rPr>
                <w:rFonts w:ascii="Arial" w:hAnsi="Arial" w:eastAsia="等线" w:cs="Arial"/>
                <w:b/>
                <w:sz w:val="22"/>
              </w:rPr>
              <w:t>项目决策</w:t>
            </w:r>
          </w:p>
        </w:tc>
        <w:tc>
          <w:tcPr>
            <w:tcW w:w="1380" w:type="dxa"/>
            <w:tcBorders>
              <w:tl2br w:val="nil"/>
              <w:tr2bl w:val="nil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top"/>
          </w:tcPr>
          <w:p w14:paraId="0FEA37BD">
            <w:pPr>
              <w:spacing w:before="120" w:after="120" w:line="288" w:lineRule="auto"/>
              <w:ind w:left="0"/>
              <w:jc w:val="left"/>
            </w:pPr>
            <w:r>
              <w:rPr>
                <w:rFonts w:ascii="Arial" w:hAnsi="Arial" w:eastAsia="等线" w:cs="Arial"/>
                <w:b/>
                <w:sz w:val="22"/>
              </w:rPr>
              <w:t>20</w:t>
            </w:r>
          </w:p>
        </w:tc>
        <w:tc>
          <w:tcPr>
            <w:tcW w:w="1380" w:type="dxa"/>
            <w:tcBorders>
              <w:tl2br w:val="nil"/>
              <w:tr2bl w:val="nil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top"/>
          </w:tcPr>
          <w:p w14:paraId="4CAEB98E">
            <w:pPr>
              <w:spacing w:before="120" w:after="120" w:line="288" w:lineRule="auto"/>
              <w:ind w:left="0"/>
              <w:jc w:val="left"/>
            </w:pPr>
            <w:r>
              <w:rPr>
                <w:rFonts w:ascii="Arial" w:hAnsi="Arial" w:eastAsia="等线" w:cs="Arial"/>
                <w:sz w:val="22"/>
              </w:rPr>
              <w:t>绩效目标合理性</w:t>
            </w:r>
          </w:p>
        </w:tc>
        <w:tc>
          <w:tcPr>
            <w:tcW w:w="1380" w:type="dxa"/>
            <w:tcBorders>
              <w:tl2br w:val="nil"/>
              <w:tr2bl w:val="nil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top"/>
          </w:tcPr>
          <w:p w14:paraId="24A99CAA">
            <w:pPr>
              <w:spacing w:before="120" w:after="120" w:line="288" w:lineRule="auto"/>
              <w:ind w:left="0"/>
              <w:jc w:val="left"/>
            </w:pPr>
            <w:r>
              <w:rPr>
                <w:rFonts w:ascii="Arial" w:hAnsi="Arial" w:eastAsia="等线" w:cs="Arial"/>
                <w:sz w:val="22"/>
              </w:rPr>
              <w:t>目标明确、量化、可行，得5分</w:t>
            </w:r>
          </w:p>
        </w:tc>
        <w:tc>
          <w:tcPr>
            <w:tcW w:w="1380" w:type="dxa"/>
            <w:tcBorders>
              <w:tl2br w:val="nil"/>
              <w:tr2bl w:val="nil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top"/>
          </w:tcPr>
          <w:p w14:paraId="741F2EE1">
            <w:pPr>
              <w:spacing w:before="120" w:after="120" w:line="288" w:lineRule="auto"/>
              <w:ind w:left="0"/>
              <w:jc w:val="left"/>
            </w:pPr>
            <w:r>
              <w:rPr>
                <w:rFonts w:ascii="Arial" w:hAnsi="Arial" w:eastAsia="等线" w:cs="Arial"/>
                <w:sz w:val="22"/>
              </w:rPr>
              <w:t>目标清晰可量化</w:t>
            </w:r>
          </w:p>
        </w:tc>
        <w:tc>
          <w:tcPr>
            <w:tcW w:w="1380" w:type="dxa"/>
            <w:tcBorders>
              <w:tl2br w:val="nil"/>
              <w:tr2bl w:val="nil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top"/>
          </w:tcPr>
          <w:p w14:paraId="437DB607">
            <w:pPr>
              <w:spacing w:before="120" w:after="120" w:line="288" w:lineRule="auto"/>
              <w:ind w:left="0"/>
              <w:jc w:val="left"/>
            </w:pPr>
            <w:r>
              <w:rPr>
                <w:rFonts w:ascii="Arial" w:hAnsi="Arial" w:eastAsia="等线" w:cs="Arial"/>
                <w:sz w:val="22"/>
              </w:rPr>
              <w:t>5</w:t>
            </w:r>
          </w:p>
        </w:tc>
      </w:tr>
      <w:tr w14:paraId="54083402">
        <w:tblPrEx>
          <w:tblBorders>
            <w:top w:val="single" w:color="000000" w:themeColor="text1" w:sz="2" w:space="0"/>
            <w:left w:val="single" w:color="000000" w:themeColor="text1" w:sz="2" w:space="0"/>
            <w:bottom w:val="single" w:color="000000" w:themeColor="text1" w:sz="2" w:space="0"/>
            <w:right w:val="single" w:color="000000" w:themeColor="text1" w:sz="2" w:space="0"/>
            <w:insideH w:val="single" w:color="000000" w:themeColor="text1" w:sz="2" w:space="0"/>
            <w:insideV w:val="single" w:color="000000" w:themeColor="text1" w:sz="2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1380" w:type="dxa"/>
            <w:tcBorders>
              <w:tl2br w:val="nil"/>
              <w:tr2bl w:val="nil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top"/>
          </w:tcPr>
          <w:p w14:paraId="658ED80E"/>
        </w:tc>
        <w:tc>
          <w:tcPr>
            <w:tcW w:w="1380" w:type="dxa"/>
            <w:tcBorders>
              <w:tl2br w:val="nil"/>
              <w:tr2bl w:val="nil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top"/>
          </w:tcPr>
          <w:p w14:paraId="2540DC6F"/>
        </w:tc>
        <w:tc>
          <w:tcPr>
            <w:tcW w:w="1380" w:type="dxa"/>
            <w:tcBorders>
              <w:tl2br w:val="nil"/>
              <w:tr2bl w:val="nil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top"/>
          </w:tcPr>
          <w:p w14:paraId="438772C6">
            <w:pPr>
              <w:spacing w:before="120" w:after="120" w:line="288" w:lineRule="auto"/>
              <w:ind w:left="0"/>
              <w:jc w:val="left"/>
            </w:pPr>
            <w:r>
              <w:rPr>
                <w:rFonts w:ascii="Arial" w:hAnsi="Arial" w:eastAsia="等线" w:cs="Arial"/>
                <w:sz w:val="22"/>
              </w:rPr>
              <w:t>项目立项规范性</w:t>
            </w:r>
          </w:p>
        </w:tc>
        <w:tc>
          <w:tcPr>
            <w:tcW w:w="1380" w:type="dxa"/>
            <w:tcBorders>
              <w:tl2br w:val="nil"/>
              <w:tr2bl w:val="nil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top"/>
          </w:tcPr>
          <w:p w14:paraId="7A6E3B5A">
            <w:pPr>
              <w:spacing w:before="120" w:after="120" w:line="288" w:lineRule="auto"/>
              <w:ind w:left="0"/>
              <w:jc w:val="left"/>
            </w:pPr>
            <w:r>
              <w:rPr>
                <w:rFonts w:ascii="Arial" w:hAnsi="Arial" w:eastAsia="等线" w:cs="Arial"/>
                <w:sz w:val="22"/>
              </w:rPr>
              <w:t>依据充分、程序合规，得5分</w:t>
            </w:r>
          </w:p>
        </w:tc>
        <w:tc>
          <w:tcPr>
            <w:tcW w:w="1380" w:type="dxa"/>
            <w:tcBorders>
              <w:tl2br w:val="nil"/>
              <w:tr2bl w:val="nil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top"/>
          </w:tcPr>
          <w:p w14:paraId="4A7091DE">
            <w:pPr>
              <w:spacing w:before="120" w:after="120" w:line="288" w:lineRule="auto"/>
              <w:ind w:left="0"/>
              <w:jc w:val="left"/>
            </w:pPr>
            <w:r>
              <w:rPr>
                <w:rFonts w:ascii="Arial" w:hAnsi="Arial" w:eastAsia="等线" w:cs="Arial"/>
                <w:sz w:val="22"/>
              </w:rPr>
              <w:t>立项合规、手续完备</w:t>
            </w:r>
          </w:p>
        </w:tc>
        <w:tc>
          <w:tcPr>
            <w:tcW w:w="1380" w:type="dxa"/>
            <w:tcBorders>
              <w:tl2br w:val="nil"/>
              <w:tr2bl w:val="nil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top"/>
          </w:tcPr>
          <w:p w14:paraId="2EA2EEAE">
            <w:pPr>
              <w:spacing w:before="120" w:after="120" w:line="288" w:lineRule="auto"/>
              <w:ind w:left="0"/>
              <w:jc w:val="left"/>
            </w:pPr>
            <w:r>
              <w:rPr>
                <w:rFonts w:ascii="Arial" w:hAnsi="Arial" w:eastAsia="等线" w:cs="Arial"/>
                <w:sz w:val="22"/>
              </w:rPr>
              <w:t>5</w:t>
            </w:r>
          </w:p>
        </w:tc>
      </w:tr>
      <w:tr w14:paraId="71FC95BF">
        <w:tblPrEx>
          <w:tblBorders>
            <w:top w:val="single" w:color="000000" w:themeColor="text1" w:sz="2" w:space="0"/>
            <w:left w:val="single" w:color="000000" w:themeColor="text1" w:sz="2" w:space="0"/>
            <w:bottom w:val="single" w:color="000000" w:themeColor="text1" w:sz="2" w:space="0"/>
            <w:right w:val="single" w:color="000000" w:themeColor="text1" w:sz="2" w:space="0"/>
            <w:insideH w:val="single" w:color="000000" w:themeColor="text1" w:sz="2" w:space="0"/>
            <w:insideV w:val="single" w:color="000000" w:themeColor="text1" w:sz="2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1380" w:type="dxa"/>
            <w:tcBorders>
              <w:tl2br w:val="nil"/>
              <w:tr2bl w:val="nil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top"/>
          </w:tcPr>
          <w:p w14:paraId="7A04A13E"/>
        </w:tc>
        <w:tc>
          <w:tcPr>
            <w:tcW w:w="1380" w:type="dxa"/>
            <w:tcBorders>
              <w:tl2br w:val="nil"/>
              <w:tr2bl w:val="nil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top"/>
          </w:tcPr>
          <w:p w14:paraId="56715CC3"/>
        </w:tc>
        <w:tc>
          <w:tcPr>
            <w:tcW w:w="1380" w:type="dxa"/>
            <w:tcBorders>
              <w:tl2br w:val="nil"/>
              <w:tr2bl w:val="nil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top"/>
          </w:tcPr>
          <w:p w14:paraId="021BF584">
            <w:pPr>
              <w:spacing w:before="120" w:after="120" w:line="288" w:lineRule="auto"/>
              <w:ind w:left="0"/>
              <w:jc w:val="left"/>
            </w:pPr>
            <w:r>
              <w:rPr>
                <w:rFonts w:ascii="Arial" w:hAnsi="Arial" w:eastAsia="等线" w:cs="Arial"/>
                <w:sz w:val="22"/>
              </w:rPr>
              <w:t>资金分配合理性</w:t>
            </w:r>
          </w:p>
        </w:tc>
        <w:tc>
          <w:tcPr>
            <w:tcW w:w="1380" w:type="dxa"/>
            <w:tcBorders>
              <w:tl2br w:val="nil"/>
              <w:tr2bl w:val="nil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top"/>
          </w:tcPr>
          <w:p w14:paraId="49B39F32">
            <w:pPr>
              <w:spacing w:before="120" w:after="120" w:line="288" w:lineRule="auto"/>
              <w:ind w:left="0"/>
              <w:jc w:val="left"/>
            </w:pPr>
            <w:r>
              <w:rPr>
                <w:rFonts w:ascii="Arial" w:hAnsi="Arial" w:eastAsia="等线" w:cs="Arial"/>
                <w:sz w:val="22"/>
              </w:rPr>
              <w:t>标准统一、分配精准，得10分</w:t>
            </w:r>
          </w:p>
        </w:tc>
        <w:tc>
          <w:tcPr>
            <w:tcW w:w="1380" w:type="dxa"/>
            <w:tcBorders>
              <w:tl2br w:val="nil"/>
              <w:tr2bl w:val="nil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top"/>
          </w:tcPr>
          <w:p w14:paraId="77ADC8A1">
            <w:pPr>
              <w:spacing w:before="120" w:after="120" w:line="288" w:lineRule="auto"/>
              <w:ind w:left="0"/>
              <w:jc w:val="left"/>
            </w:pPr>
            <w:r>
              <w:rPr>
                <w:rFonts w:ascii="Arial" w:hAnsi="Arial" w:eastAsia="等线" w:cs="Arial"/>
                <w:sz w:val="22"/>
              </w:rPr>
              <w:t>按政策分配，符合实际</w:t>
            </w:r>
          </w:p>
        </w:tc>
        <w:tc>
          <w:tcPr>
            <w:tcW w:w="1380" w:type="dxa"/>
            <w:tcBorders>
              <w:tl2br w:val="nil"/>
              <w:tr2bl w:val="nil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top"/>
          </w:tcPr>
          <w:p w14:paraId="2F3BD018">
            <w:pPr>
              <w:spacing w:before="120" w:after="120" w:line="288" w:lineRule="auto"/>
              <w:ind w:left="0"/>
              <w:jc w:val="left"/>
            </w:pPr>
            <w:r>
              <w:rPr>
                <w:rFonts w:ascii="Arial" w:hAnsi="Arial" w:eastAsia="等线" w:cs="Arial"/>
                <w:sz w:val="22"/>
              </w:rPr>
              <w:t>10</w:t>
            </w:r>
          </w:p>
        </w:tc>
      </w:tr>
      <w:tr w14:paraId="4CAC9C79">
        <w:tblPrEx>
          <w:tblBorders>
            <w:top w:val="single" w:color="000000" w:themeColor="text1" w:sz="2" w:space="0"/>
            <w:left w:val="single" w:color="000000" w:themeColor="text1" w:sz="2" w:space="0"/>
            <w:bottom w:val="single" w:color="000000" w:themeColor="text1" w:sz="2" w:space="0"/>
            <w:right w:val="single" w:color="000000" w:themeColor="text1" w:sz="2" w:space="0"/>
            <w:insideH w:val="single" w:color="000000" w:themeColor="text1" w:sz="2" w:space="0"/>
            <w:insideV w:val="single" w:color="000000" w:themeColor="text1" w:sz="2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1380" w:type="dxa"/>
            <w:tcBorders>
              <w:tl2br w:val="nil"/>
              <w:tr2bl w:val="nil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top"/>
          </w:tcPr>
          <w:p w14:paraId="0D215BAD">
            <w:pPr>
              <w:spacing w:before="120" w:after="120" w:line="288" w:lineRule="auto"/>
              <w:ind w:left="0"/>
              <w:jc w:val="left"/>
            </w:pPr>
            <w:r>
              <w:rPr>
                <w:rFonts w:ascii="Arial" w:hAnsi="Arial" w:eastAsia="等线" w:cs="Arial"/>
                <w:b/>
                <w:sz w:val="22"/>
              </w:rPr>
              <w:t>项目过程</w:t>
            </w:r>
          </w:p>
        </w:tc>
        <w:tc>
          <w:tcPr>
            <w:tcW w:w="1380" w:type="dxa"/>
            <w:tcBorders>
              <w:tl2br w:val="nil"/>
              <w:tr2bl w:val="nil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top"/>
          </w:tcPr>
          <w:p w14:paraId="59259328">
            <w:pPr>
              <w:spacing w:before="120" w:after="120" w:line="288" w:lineRule="auto"/>
              <w:ind w:left="0"/>
              <w:jc w:val="left"/>
            </w:pPr>
            <w:r>
              <w:rPr>
                <w:rFonts w:ascii="Arial" w:hAnsi="Arial" w:eastAsia="等线" w:cs="Arial"/>
                <w:b/>
                <w:sz w:val="22"/>
              </w:rPr>
              <w:t>20</w:t>
            </w:r>
          </w:p>
        </w:tc>
        <w:tc>
          <w:tcPr>
            <w:tcW w:w="1380" w:type="dxa"/>
            <w:tcBorders>
              <w:tl2br w:val="nil"/>
              <w:tr2bl w:val="nil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top"/>
          </w:tcPr>
          <w:p w14:paraId="1D5593AF">
            <w:pPr>
              <w:spacing w:before="120" w:after="120" w:line="288" w:lineRule="auto"/>
              <w:ind w:left="0"/>
              <w:jc w:val="left"/>
            </w:pPr>
            <w:r>
              <w:rPr>
                <w:rFonts w:ascii="Arial" w:hAnsi="Arial" w:eastAsia="等线" w:cs="Arial"/>
                <w:sz w:val="22"/>
              </w:rPr>
              <w:t>资金到位率</w:t>
            </w:r>
          </w:p>
        </w:tc>
        <w:tc>
          <w:tcPr>
            <w:tcW w:w="1380" w:type="dxa"/>
            <w:tcBorders>
              <w:tl2br w:val="nil"/>
              <w:tr2bl w:val="nil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top"/>
          </w:tcPr>
          <w:p w14:paraId="1E8F7DF0">
            <w:pPr>
              <w:spacing w:before="120" w:after="120" w:line="288" w:lineRule="auto"/>
              <w:ind w:left="0"/>
              <w:jc w:val="left"/>
            </w:pPr>
            <w:r>
              <w:rPr>
                <w:rFonts w:ascii="Arial" w:hAnsi="Arial" w:eastAsia="等线" w:cs="Arial"/>
                <w:sz w:val="22"/>
              </w:rPr>
              <w:t>资金100%到位得5分</w:t>
            </w:r>
          </w:p>
        </w:tc>
        <w:tc>
          <w:tcPr>
            <w:tcW w:w="1380" w:type="dxa"/>
            <w:tcBorders>
              <w:tl2br w:val="nil"/>
              <w:tr2bl w:val="nil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top"/>
          </w:tcPr>
          <w:p w14:paraId="610D992F">
            <w:pPr>
              <w:spacing w:before="120" w:after="120" w:line="288" w:lineRule="auto"/>
              <w:ind w:left="0"/>
              <w:jc w:val="left"/>
            </w:pPr>
            <w:r>
              <w:rPr>
                <w:rFonts w:ascii="Arial" w:hAnsi="Arial" w:eastAsia="等线" w:cs="Arial"/>
                <w:sz w:val="22"/>
              </w:rPr>
              <w:t>全额到位</w:t>
            </w:r>
          </w:p>
        </w:tc>
        <w:tc>
          <w:tcPr>
            <w:tcW w:w="1380" w:type="dxa"/>
            <w:tcBorders>
              <w:tl2br w:val="nil"/>
              <w:tr2bl w:val="nil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top"/>
          </w:tcPr>
          <w:p w14:paraId="2FA67491">
            <w:pPr>
              <w:spacing w:before="120" w:after="120" w:line="288" w:lineRule="auto"/>
              <w:ind w:left="0"/>
              <w:jc w:val="left"/>
            </w:pPr>
            <w:r>
              <w:rPr>
                <w:rFonts w:ascii="Arial" w:hAnsi="Arial" w:eastAsia="等线" w:cs="Arial"/>
                <w:sz w:val="22"/>
              </w:rPr>
              <w:t>5</w:t>
            </w:r>
          </w:p>
        </w:tc>
      </w:tr>
      <w:tr w14:paraId="2BA59E7A">
        <w:tblPrEx>
          <w:tblBorders>
            <w:top w:val="single" w:color="000000" w:themeColor="text1" w:sz="2" w:space="0"/>
            <w:left w:val="single" w:color="000000" w:themeColor="text1" w:sz="2" w:space="0"/>
            <w:bottom w:val="single" w:color="000000" w:themeColor="text1" w:sz="2" w:space="0"/>
            <w:right w:val="single" w:color="000000" w:themeColor="text1" w:sz="2" w:space="0"/>
            <w:insideH w:val="single" w:color="000000" w:themeColor="text1" w:sz="2" w:space="0"/>
            <w:insideV w:val="single" w:color="000000" w:themeColor="text1" w:sz="2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1380" w:type="dxa"/>
            <w:tcBorders>
              <w:tl2br w:val="nil"/>
              <w:tr2bl w:val="nil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top"/>
          </w:tcPr>
          <w:p w14:paraId="726E51C0"/>
        </w:tc>
        <w:tc>
          <w:tcPr>
            <w:tcW w:w="1380" w:type="dxa"/>
            <w:tcBorders>
              <w:tl2br w:val="nil"/>
              <w:tr2bl w:val="nil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top"/>
          </w:tcPr>
          <w:p w14:paraId="52399057"/>
        </w:tc>
        <w:tc>
          <w:tcPr>
            <w:tcW w:w="1380" w:type="dxa"/>
            <w:tcBorders>
              <w:tl2br w:val="nil"/>
              <w:tr2bl w:val="nil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top"/>
          </w:tcPr>
          <w:p w14:paraId="747CAD3B">
            <w:pPr>
              <w:spacing w:before="120" w:after="120" w:line="288" w:lineRule="auto"/>
              <w:ind w:left="0"/>
              <w:jc w:val="left"/>
            </w:pPr>
            <w:r>
              <w:rPr>
                <w:rFonts w:ascii="Arial" w:hAnsi="Arial" w:eastAsia="等线" w:cs="Arial"/>
                <w:sz w:val="22"/>
              </w:rPr>
              <w:t>预算执行率</w:t>
            </w:r>
          </w:p>
        </w:tc>
        <w:tc>
          <w:tcPr>
            <w:tcW w:w="1380" w:type="dxa"/>
            <w:tcBorders>
              <w:tl2br w:val="nil"/>
              <w:tr2bl w:val="nil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top"/>
          </w:tcPr>
          <w:p w14:paraId="5F453DF7">
            <w:pPr>
              <w:spacing w:before="120" w:after="120" w:line="288" w:lineRule="auto"/>
              <w:ind w:left="0"/>
              <w:jc w:val="left"/>
            </w:pPr>
            <w:r>
              <w:rPr>
                <w:rFonts w:ascii="Arial" w:hAnsi="Arial" w:eastAsia="等线" w:cs="Arial"/>
                <w:sz w:val="22"/>
              </w:rPr>
              <w:t>执行率≥95%得5分</w:t>
            </w:r>
          </w:p>
        </w:tc>
        <w:tc>
          <w:tcPr>
            <w:tcW w:w="1380" w:type="dxa"/>
            <w:tcBorders>
              <w:tl2br w:val="nil"/>
              <w:tr2bl w:val="nil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top"/>
          </w:tcPr>
          <w:p w14:paraId="7E4B50A3">
            <w:pPr>
              <w:spacing w:before="120" w:after="120" w:line="288" w:lineRule="auto"/>
              <w:ind w:left="0"/>
              <w:jc w:val="left"/>
            </w:pPr>
            <w:r>
              <w:rPr>
                <w:rFonts w:ascii="Arial" w:hAnsi="Arial" w:eastAsia="等线" w:cs="Arial"/>
                <w:sz w:val="22"/>
              </w:rPr>
              <w:t>96.99%</w:t>
            </w:r>
          </w:p>
        </w:tc>
        <w:tc>
          <w:tcPr>
            <w:tcW w:w="1380" w:type="dxa"/>
            <w:tcBorders>
              <w:tl2br w:val="nil"/>
              <w:tr2bl w:val="nil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top"/>
          </w:tcPr>
          <w:p w14:paraId="173F4335">
            <w:pPr>
              <w:spacing w:before="120" w:after="120" w:line="288" w:lineRule="auto"/>
              <w:ind w:left="0"/>
              <w:jc w:val="left"/>
            </w:pPr>
            <w:r>
              <w:rPr>
                <w:rFonts w:ascii="Arial" w:hAnsi="Arial" w:eastAsia="等线" w:cs="Arial"/>
                <w:sz w:val="22"/>
              </w:rPr>
              <w:t>5</w:t>
            </w:r>
          </w:p>
        </w:tc>
      </w:tr>
      <w:tr w14:paraId="7E62B272">
        <w:tblPrEx>
          <w:tblBorders>
            <w:top w:val="single" w:color="000000" w:themeColor="text1" w:sz="2" w:space="0"/>
            <w:left w:val="single" w:color="000000" w:themeColor="text1" w:sz="2" w:space="0"/>
            <w:bottom w:val="single" w:color="000000" w:themeColor="text1" w:sz="2" w:space="0"/>
            <w:right w:val="single" w:color="000000" w:themeColor="text1" w:sz="2" w:space="0"/>
            <w:insideH w:val="single" w:color="000000" w:themeColor="text1" w:sz="2" w:space="0"/>
            <w:insideV w:val="single" w:color="000000" w:themeColor="text1" w:sz="2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1380" w:type="dxa"/>
            <w:tcBorders>
              <w:tl2br w:val="nil"/>
              <w:tr2bl w:val="nil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top"/>
          </w:tcPr>
          <w:p w14:paraId="57EBF962"/>
        </w:tc>
        <w:tc>
          <w:tcPr>
            <w:tcW w:w="1380" w:type="dxa"/>
            <w:tcBorders>
              <w:tl2br w:val="nil"/>
              <w:tr2bl w:val="nil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top"/>
          </w:tcPr>
          <w:p w14:paraId="2A43C7BB"/>
        </w:tc>
        <w:tc>
          <w:tcPr>
            <w:tcW w:w="1380" w:type="dxa"/>
            <w:tcBorders>
              <w:tl2br w:val="nil"/>
              <w:tr2bl w:val="nil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top"/>
          </w:tcPr>
          <w:p w14:paraId="354AC38E">
            <w:pPr>
              <w:spacing w:before="120" w:after="120" w:line="288" w:lineRule="auto"/>
              <w:ind w:left="0"/>
              <w:jc w:val="left"/>
            </w:pPr>
            <w:r>
              <w:rPr>
                <w:rFonts w:ascii="Arial" w:hAnsi="Arial" w:eastAsia="等线" w:cs="Arial"/>
                <w:sz w:val="22"/>
              </w:rPr>
              <w:t>资金使用合规性</w:t>
            </w:r>
          </w:p>
        </w:tc>
        <w:tc>
          <w:tcPr>
            <w:tcW w:w="1380" w:type="dxa"/>
            <w:tcBorders>
              <w:tl2br w:val="nil"/>
              <w:tr2bl w:val="nil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top"/>
          </w:tcPr>
          <w:p w14:paraId="4AA5751F">
            <w:pPr>
              <w:spacing w:before="120" w:after="120" w:line="288" w:lineRule="auto"/>
              <w:ind w:left="0"/>
              <w:jc w:val="left"/>
            </w:pPr>
            <w:r>
              <w:rPr>
                <w:rFonts w:ascii="Arial" w:hAnsi="Arial" w:eastAsia="等线" w:cs="Arial"/>
                <w:sz w:val="22"/>
              </w:rPr>
              <w:t>专款专用、无违规得5分</w:t>
            </w:r>
          </w:p>
        </w:tc>
        <w:tc>
          <w:tcPr>
            <w:tcW w:w="1380" w:type="dxa"/>
            <w:tcBorders>
              <w:tl2br w:val="nil"/>
              <w:tr2bl w:val="nil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top"/>
          </w:tcPr>
          <w:p w14:paraId="03426974">
            <w:pPr>
              <w:spacing w:before="120" w:after="120" w:line="288" w:lineRule="auto"/>
              <w:ind w:left="0"/>
              <w:jc w:val="left"/>
            </w:pPr>
            <w:r>
              <w:rPr>
                <w:rFonts w:ascii="Arial" w:hAnsi="Arial" w:eastAsia="等线" w:cs="Arial"/>
                <w:sz w:val="22"/>
              </w:rPr>
              <w:t>规范使用、无挤占挪用</w:t>
            </w:r>
          </w:p>
        </w:tc>
        <w:tc>
          <w:tcPr>
            <w:tcW w:w="1380" w:type="dxa"/>
            <w:tcBorders>
              <w:tl2br w:val="nil"/>
              <w:tr2bl w:val="nil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top"/>
          </w:tcPr>
          <w:p w14:paraId="0212D8C0">
            <w:pPr>
              <w:spacing w:before="120" w:after="120" w:line="288" w:lineRule="auto"/>
              <w:ind w:left="0"/>
              <w:jc w:val="left"/>
            </w:pPr>
            <w:r>
              <w:rPr>
                <w:rFonts w:ascii="Arial" w:hAnsi="Arial" w:eastAsia="等线" w:cs="Arial"/>
                <w:sz w:val="22"/>
              </w:rPr>
              <w:t>5</w:t>
            </w:r>
          </w:p>
        </w:tc>
      </w:tr>
      <w:tr w14:paraId="5BAF2DC8">
        <w:tblPrEx>
          <w:tblBorders>
            <w:top w:val="single" w:color="000000" w:themeColor="text1" w:sz="2" w:space="0"/>
            <w:left w:val="single" w:color="000000" w:themeColor="text1" w:sz="2" w:space="0"/>
            <w:bottom w:val="single" w:color="000000" w:themeColor="text1" w:sz="2" w:space="0"/>
            <w:right w:val="single" w:color="000000" w:themeColor="text1" w:sz="2" w:space="0"/>
            <w:insideH w:val="single" w:color="000000" w:themeColor="text1" w:sz="2" w:space="0"/>
            <w:insideV w:val="single" w:color="000000" w:themeColor="text1" w:sz="2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1380" w:type="dxa"/>
            <w:tcBorders>
              <w:tl2br w:val="nil"/>
              <w:tr2bl w:val="nil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top"/>
          </w:tcPr>
          <w:p w14:paraId="6135CFEE"/>
        </w:tc>
        <w:tc>
          <w:tcPr>
            <w:tcW w:w="1380" w:type="dxa"/>
            <w:tcBorders>
              <w:tl2br w:val="nil"/>
              <w:tr2bl w:val="nil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top"/>
          </w:tcPr>
          <w:p w14:paraId="3A4A7C9B"/>
        </w:tc>
        <w:tc>
          <w:tcPr>
            <w:tcW w:w="1380" w:type="dxa"/>
            <w:tcBorders>
              <w:tl2br w:val="nil"/>
              <w:tr2bl w:val="nil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top"/>
          </w:tcPr>
          <w:p w14:paraId="6CE20906">
            <w:pPr>
              <w:spacing w:before="120" w:after="120" w:line="288" w:lineRule="auto"/>
              <w:ind w:left="0"/>
              <w:jc w:val="left"/>
            </w:pPr>
            <w:r>
              <w:rPr>
                <w:rFonts w:ascii="Arial" w:hAnsi="Arial" w:eastAsia="等线" w:cs="Arial"/>
                <w:sz w:val="22"/>
              </w:rPr>
              <w:t>组织管理有效性</w:t>
            </w:r>
          </w:p>
        </w:tc>
        <w:tc>
          <w:tcPr>
            <w:tcW w:w="1380" w:type="dxa"/>
            <w:tcBorders>
              <w:tl2br w:val="nil"/>
              <w:tr2bl w:val="nil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top"/>
          </w:tcPr>
          <w:p w14:paraId="4C9A8B7A">
            <w:pPr>
              <w:spacing w:before="120" w:after="120" w:line="288" w:lineRule="auto"/>
              <w:ind w:left="0"/>
              <w:jc w:val="left"/>
            </w:pPr>
            <w:r>
              <w:rPr>
                <w:rFonts w:ascii="Arial" w:hAnsi="Arial" w:eastAsia="等线" w:cs="Arial"/>
                <w:sz w:val="22"/>
              </w:rPr>
              <w:t>制度健全、管理到位得5分</w:t>
            </w:r>
          </w:p>
        </w:tc>
        <w:tc>
          <w:tcPr>
            <w:tcW w:w="1380" w:type="dxa"/>
            <w:tcBorders>
              <w:tl2br w:val="nil"/>
              <w:tr2bl w:val="nil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top"/>
          </w:tcPr>
          <w:p w14:paraId="42F0A4E3">
            <w:pPr>
              <w:spacing w:before="120" w:after="120" w:line="288" w:lineRule="auto"/>
              <w:ind w:left="0"/>
              <w:jc w:val="left"/>
            </w:pPr>
            <w:r>
              <w:rPr>
                <w:rFonts w:ascii="Arial" w:hAnsi="Arial" w:eastAsia="等线" w:cs="Arial"/>
                <w:sz w:val="22"/>
              </w:rPr>
              <w:t>管理规范、资料完整</w:t>
            </w:r>
          </w:p>
        </w:tc>
        <w:tc>
          <w:tcPr>
            <w:tcW w:w="1380" w:type="dxa"/>
            <w:tcBorders>
              <w:tl2br w:val="nil"/>
              <w:tr2bl w:val="nil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top"/>
          </w:tcPr>
          <w:p w14:paraId="3C0B8AC1">
            <w:pPr>
              <w:spacing w:before="120" w:after="120" w:line="288" w:lineRule="auto"/>
              <w:ind w:left="0"/>
              <w:jc w:val="left"/>
            </w:pPr>
            <w:r>
              <w:rPr>
                <w:rFonts w:ascii="Arial" w:hAnsi="Arial" w:eastAsia="等线" w:cs="Arial"/>
                <w:sz w:val="22"/>
              </w:rPr>
              <w:t>5</w:t>
            </w:r>
          </w:p>
        </w:tc>
      </w:tr>
      <w:tr w14:paraId="00B20464">
        <w:tblPrEx>
          <w:tblBorders>
            <w:top w:val="single" w:color="000000" w:themeColor="text1" w:sz="2" w:space="0"/>
            <w:left w:val="single" w:color="000000" w:themeColor="text1" w:sz="2" w:space="0"/>
            <w:bottom w:val="single" w:color="000000" w:themeColor="text1" w:sz="2" w:space="0"/>
            <w:right w:val="single" w:color="000000" w:themeColor="text1" w:sz="2" w:space="0"/>
            <w:insideH w:val="single" w:color="000000" w:themeColor="text1" w:sz="2" w:space="0"/>
            <w:insideV w:val="single" w:color="000000" w:themeColor="text1" w:sz="2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1380" w:type="dxa"/>
            <w:tcBorders>
              <w:tl2br w:val="nil"/>
              <w:tr2bl w:val="nil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top"/>
          </w:tcPr>
          <w:p w14:paraId="353D79EA">
            <w:pPr>
              <w:spacing w:before="120" w:after="120" w:line="288" w:lineRule="auto"/>
              <w:ind w:left="0"/>
              <w:jc w:val="left"/>
            </w:pPr>
            <w:r>
              <w:rPr>
                <w:rFonts w:ascii="Arial" w:hAnsi="Arial" w:eastAsia="等线" w:cs="Arial"/>
                <w:b/>
                <w:sz w:val="22"/>
              </w:rPr>
              <w:t>项目产出</w:t>
            </w:r>
          </w:p>
        </w:tc>
        <w:tc>
          <w:tcPr>
            <w:tcW w:w="1380" w:type="dxa"/>
            <w:tcBorders>
              <w:tl2br w:val="nil"/>
              <w:tr2bl w:val="nil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top"/>
          </w:tcPr>
          <w:p w14:paraId="00337759">
            <w:pPr>
              <w:spacing w:before="120" w:after="120" w:line="288" w:lineRule="auto"/>
              <w:ind w:left="0"/>
              <w:jc w:val="left"/>
            </w:pPr>
            <w:r>
              <w:rPr>
                <w:rFonts w:ascii="Arial" w:hAnsi="Arial" w:eastAsia="等线" w:cs="Arial"/>
                <w:b/>
                <w:sz w:val="22"/>
              </w:rPr>
              <w:t>35</w:t>
            </w:r>
          </w:p>
        </w:tc>
        <w:tc>
          <w:tcPr>
            <w:tcW w:w="1380" w:type="dxa"/>
            <w:tcBorders>
              <w:tl2br w:val="nil"/>
              <w:tr2bl w:val="nil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top"/>
          </w:tcPr>
          <w:p w14:paraId="1CE0E8B0">
            <w:pPr>
              <w:spacing w:before="120" w:after="120" w:line="288" w:lineRule="auto"/>
              <w:ind w:left="0"/>
              <w:jc w:val="left"/>
            </w:pPr>
            <w:r>
              <w:rPr>
                <w:rFonts w:ascii="Arial" w:hAnsi="Arial" w:eastAsia="等线" w:cs="Arial"/>
                <w:sz w:val="22"/>
              </w:rPr>
              <w:t>安置任务完成率</w:t>
            </w:r>
          </w:p>
        </w:tc>
        <w:tc>
          <w:tcPr>
            <w:tcW w:w="1380" w:type="dxa"/>
            <w:tcBorders>
              <w:tl2br w:val="nil"/>
              <w:tr2bl w:val="nil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top"/>
          </w:tcPr>
          <w:p w14:paraId="7E260567">
            <w:pPr>
              <w:spacing w:before="120" w:after="120" w:line="288" w:lineRule="auto"/>
              <w:ind w:left="0"/>
              <w:jc w:val="left"/>
            </w:pPr>
            <w:r>
              <w:rPr>
                <w:rFonts w:ascii="Arial" w:hAnsi="Arial" w:eastAsia="等线" w:cs="Arial"/>
                <w:sz w:val="22"/>
              </w:rPr>
              <w:t>完成160人得10分</w:t>
            </w:r>
          </w:p>
        </w:tc>
        <w:tc>
          <w:tcPr>
            <w:tcW w:w="1380" w:type="dxa"/>
            <w:tcBorders>
              <w:tl2br w:val="nil"/>
              <w:tr2bl w:val="nil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top"/>
          </w:tcPr>
          <w:p w14:paraId="228FC82D">
            <w:pPr>
              <w:spacing w:before="120" w:after="120" w:line="288" w:lineRule="auto"/>
              <w:ind w:left="0"/>
              <w:jc w:val="left"/>
            </w:pPr>
            <w:r>
              <w:rPr>
                <w:rFonts w:ascii="Arial" w:hAnsi="Arial" w:eastAsia="等线" w:cs="Arial"/>
                <w:sz w:val="22"/>
              </w:rPr>
              <w:t>160人，完成率100%</w:t>
            </w:r>
          </w:p>
        </w:tc>
        <w:tc>
          <w:tcPr>
            <w:tcW w:w="1380" w:type="dxa"/>
            <w:tcBorders>
              <w:tl2br w:val="nil"/>
              <w:tr2bl w:val="nil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top"/>
          </w:tcPr>
          <w:p w14:paraId="59C54574">
            <w:pPr>
              <w:spacing w:before="120" w:after="120" w:line="288" w:lineRule="auto"/>
              <w:ind w:left="0"/>
              <w:jc w:val="left"/>
            </w:pPr>
            <w:r>
              <w:rPr>
                <w:rFonts w:ascii="Arial" w:hAnsi="Arial" w:eastAsia="等线" w:cs="Arial"/>
                <w:sz w:val="22"/>
              </w:rPr>
              <w:t>10</w:t>
            </w:r>
          </w:p>
        </w:tc>
      </w:tr>
      <w:tr w14:paraId="014763FB">
        <w:tblPrEx>
          <w:tblBorders>
            <w:top w:val="single" w:color="000000" w:themeColor="text1" w:sz="2" w:space="0"/>
            <w:left w:val="single" w:color="000000" w:themeColor="text1" w:sz="2" w:space="0"/>
            <w:bottom w:val="single" w:color="000000" w:themeColor="text1" w:sz="2" w:space="0"/>
            <w:right w:val="single" w:color="000000" w:themeColor="text1" w:sz="2" w:space="0"/>
            <w:insideH w:val="single" w:color="000000" w:themeColor="text1" w:sz="2" w:space="0"/>
            <w:insideV w:val="single" w:color="000000" w:themeColor="text1" w:sz="2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1380" w:type="dxa"/>
            <w:tcBorders>
              <w:tl2br w:val="nil"/>
              <w:tr2bl w:val="nil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top"/>
          </w:tcPr>
          <w:p w14:paraId="15F75233"/>
        </w:tc>
        <w:tc>
          <w:tcPr>
            <w:tcW w:w="1380" w:type="dxa"/>
            <w:tcBorders>
              <w:tl2br w:val="nil"/>
              <w:tr2bl w:val="nil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top"/>
          </w:tcPr>
          <w:p w14:paraId="221353F7"/>
        </w:tc>
        <w:tc>
          <w:tcPr>
            <w:tcW w:w="1380" w:type="dxa"/>
            <w:tcBorders>
              <w:tl2br w:val="nil"/>
              <w:tr2bl w:val="nil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top"/>
          </w:tcPr>
          <w:p w14:paraId="72E96BA7">
            <w:pPr>
              <w:spacing w:before="120" w:after="120" w:line="288" w:lineRule="auto"/>
              <w:ind w:left="0"/>
              <w:jc w:val="left"/>
            </w:pPr>
            <w:r>
              <w:rPr>
                <w:rFonts w:ascii="Arial" w:hAnsi="Arial" w:eastAsia="等线" w:cs="Arial"/>
                <w:sz w:val="22"/>
              </w:rPr>
              <w:t>补助发放及时率</w:t>
            </w:r>
          </w:p>
        </w:tc>
        <w:tc>
          <w:tcPr>
            <w:tcW w:w="1380" w:type="dxa"/>
            <w:tcBorders>
              <w:tl2br w:val="nil"/>
              <w:tr2bl w:val="nil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top"/>
          </w:tcPr>
          <w:p w14:paraId="6A4659A9">
            <w:pPr>
              <w:spacing w:before="120" w:after="120" w:line="288" w:lineRule="auto"/>
              <w:ind w:left="0"/>
              <w:jc w:val="left"/>
            </w:pPr>
            <w:r>
              <w:rPr>
                <w:rFonts w:ascii="Arial" w:hAnsi="Arial" w:eastAsia="等线" w:cs="Arial"/>
                <w:sz w:val="22"/>
              </w:rPr>
              <w:t>及时发放得10分</w:t>
            </w:r>
          </w:p>
        </w:tc>
        <w:tc>
          <w:tcPr>
            <w:tcW w:w="1380" w:type="dxa"/>
            <w:tcBorders>
              <w:tl2br w:val="nil"/>
              <w:tr2bl w:val="nil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top"/>
          </w:tcPr>
          <w:p w14:paraId="60AC97B2">
            <w:pPr>
              <w:spacing w:before="120" w:after="120" w:line="288" w:lineRule="auto"/>
              <w:ind w:left="0"/>
              <w:jc w:val="left"/>
            </w:pPr>
            <w:r>
              <w:rPr>
                <w:rFonts w:ascii="Arial" w:hAnsi="Arial" w:eastAsia="等线" w:cs="Arial"/>
                <w:sz w:val="22"/>
              </w:rPr>
              <w:t>按时足额发放</w:t>
            </w:r>
          </w:p>
        </w:tc>
        <w:tc>
          <w:tcPr>
            <w:tcW w:w="1380" w:type="dxa"/>
            <w:tcBorders>
              <w:tl2br w:val="nil"/>
              <w:tr2bl w:val="nil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top"/>
          </w:tcPr>
          <w:p w14:paraId="70839FB3">
            <w:pPr>
              <w:spacing w:before="120" w:after="120" w:line="288" w:lineRule="auto"/>
              <w:ind w:left="0"/>
              <w:jc w:val="left"/>
            </w:pPr>
            <w:r>
              <w:rPr>
                <w:rFonts w:ascii="Arial" w:hAnsi="Arial" w:eastAsia="等线" w:cs="Arial"/>
                <w:sz w:val="22"/>
              </w:rPr>
              <w:t>10</w:t>
            </w:r>
          </w:p>
        </w:tc>
      </w:tr>
      <w:tr w14:paraId="6CCAF3ED">
        <w:tblPrEx>
          <w:tblBorders>
            <w:top w:val="single" w:color="000000" w:themeColor="text1" w:sz="2" w:space="0"/>
            <w:left w:val="single" w:color="000000" w:themeColor="text1" w:sz="2" w:space="0"/>
            <w:bottom w:val="single" w:color="000000" w:themeColor="text1" w:sz="2" w:space="0"/>
            <w:right w:val="single" w:color="000000" w:themeColor="text1" w:sz="2" w:space="0"/>
            <w:insideH w:val="single" w:color="000000" w:themeColor="text1" w:sz="2" w:space="0"/>
            <w:insideV w:val="single" w:color="000000" w:themeColor="text1" w:sz="2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1380" w:type="dxa"/>
            <w:tcBorders>
              <w:tl2br w:val="nil"/>
              <w:tr2bl w:val="nil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top"/>
          </w:tcPr>
          <w:p w14:paraId="6366DF3F"/>
        </w:tc>
        <w:tc>
          <w:tcPr>
            <w:tcW w:w="1380" w:type="dxa"/>
            <w:tcBorders>
              <w:tl2br w:val="nil"/>
              <w:tr2bl w:val="nil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top"/>
          </w:tcPr>
          <w:p w14:paraId="5382D5ED"/>
        </w:tc>
        <w:tc>
          <w:tcPr>
            <w:tcW w:w="1380" w:type="dxa"/>
            <w:tcBorders>
              <w:tl2br w:val="nil"/>
              <w:tr2bl w:val="nil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top"/>
          </w:tcPr>
          <w:p w14:paraId="3DBE6AFD">
            <w:pPr>
              <w:spacing w:before="120" w:after="120" w:line="288" w:lineRule="auto"/>
              <w:ind w:left="0"/>
              <w:jc w:val="left"/>
            </w:pPr>
            <w:r>
              <w:rPr>
                <w:rFonts w:ascii="Arial" w:hAnsi="Arial" w:eastAsia="等线" w:cs="Arial"/>
                <w:sz w:val="22"/>
              </w:rPr>
              <w:t>补助发放准确率</w:t>
            </w:r>
          </w:p>
        </w:tc>
        <w:tc>
          <w:tcPr>
            <w:tcW w:w="1380" w:type="dxa"/>
            <w:tcBorders>
              <w:tl2br w:val="nil"/>
              <w:tr2bl w:val="nil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top"/>
          </w:tcPr>
          <w:p w14:paraId="0B09985D">
            <w:pPr>
              <w:spacing w:before="120" w:after="120" w:line="288" w:lineRule="auto"/>
              <w:ind w:left="0"/>
              <w:jc w:val="left"/>
            </w:pPr>
            <w:r>
              <w:rPr>
                <w:rFonts w:ascii="Arial" w:hAnsi="Arial" w:eastAsia="等线" w:cs="Arial"/>
                <w:sz w:val="22"/>
              </w:rPr>
              <w:t>零差错得10分</w:t>
            </w:r>
          </w:p>
        </w:tc>
        <w:tc>
          <w:tcPr>
            <w:tcW w:w="1380" w:type="dxa"/>
            <w:tcBorders>
              <w:tl2br w:val="nil"/>
              <w:tr2bl w:val="nil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top"/>
          </w:tcPr>
          <w:p w14:paraId="74829498">
            <w:pPr>
              <w:spacing w:before="120" w:after="120" w:line="288" w:lineRule="auto"/>
              <w:ind w:left="0"/>
              <w:jc w:val="left"/>
            </w:pPr>
            <w:r>
              <w:rPr>
                <w:rFonts w:ascii="Arial" w:hAnsi="Arial" w:eastAsia="等线" w:cs="Arial"/>
                <w:sz w:val="22"/>
              </w:rPr>
              <w:t>准确率100%</w:t>
            </w:r>
          </w:p>
        </w:tc>
        <w:tc>
          <w:tcPr>
            <w:tcW w:w="1380" w:type="dxa"/>
            <w:tcBorders>
              <w:tl2br w:val="nil"/>
              <w:tr2bl w:val="nil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top"/>
          </w:tcPr>
          <w:p w14:paraId="43420EB4">
            <w:pPr>
              <w:spacing w:before="120" w:after="120" w:line="288" w:lineRule="auto"/>
              <w:ind w:left="0"/>
              <w:jc w:val="left"/>
            </w:pPr>
            <w:r>
              <w:rPr>
                <w:rFonts w:ascii="Arial" w:hAnsi="Arial" w:eastAsia="等线" w:cs="Arial"/>
                <w:sz w:val="22"/>
              </w:rPr>
              <w:t>10</w:t>
            </w:r>
          </w:p>
        </w:tc>
      </w:tr>
      <w:tr w14:paraId="7201E41D">
        <w:tblPrEx>
          <w:tblBorders>
            <w:top w:val="single" w:color="000000" w:themeColor="text1" w:sz="2" w:space="0"/>
            <w:left w:val="single" w:color="000000" w:themeColor="text1" w:sz="2" w:space="0"/>
            <w:bottom w:val="single" w:color="000000" w:themeColor="text1" w:sz="2" w:space="0"/>
            <w:right w:val="single" w:color="000000" w:themeColor="text1" w:sz="2" w:space="0"/>
            <w:insideH w:val="single" w:color="000000" w:themeColor="text1" w:sz="2" w:space="0"/>
            <w:insideV w:val="single" w:color="000000" w:themeColor="text1" w:sz="2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1380" w:type="dxa"/>
            <w:tcBorders>
              <w:tl2br w:val="nil"/>
              <w:tr2bl w:val="nil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top"/>
          </w:tcPr>
          <w:p w14:paraId="48D3C1C8"/>
        </w:tc>
        <w:tc>
          <w:tcPr>
            <w:tcW w:w="1380" w:type="dxa"/>
            <w:tcBorders>
              <w:tl2br w:val="nil"/>
              <w:tr2bl w:val="nil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top"/>
          </w:tcPr>
          <w:p w14:paraId="3FA3A283"/>
        </w:tc>
        <w:tc>
          <w:tcPr>
            <w:tcW w:w="1380" w:type="dxa"/>
            <w:tcBorders>
              <w:tl2br w:val="nil"/>
              <w:tr2bl w:val="nil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top"/>
          </w:tcPr>
          <w:p w14:paraId="3472AB6F">
            <w:pPr>
              <w:spacing w:before="120" w:after="120" w:line="288" w:lineRule="auto"/>
              <w:ind w:left="0"/>
              <w:jc w:val="left"/>
            </w:pPr>
            <w:r>
              <w:rPr>
                <w:rFonts w:ascii="Arial" w:hAnsi="Arial" w:eastAsia="等线" w:cs="Arial"/>
                <w:sz w:val="22"/>
              </w:rPr>
              <w:t>服务完成及时性</w:t>
            </w:r>
          </w:p>
        </w:tc>
        <w:tc>
          <w:tcPr>
            <w:tcW w:w="1380" w:type="dxa"/>
            <w:tcBorders>
              <w:tl2br w:val="nil"/>
              <w:tr2bl w:val="nil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top"/>
          </w:tcPr>
          <w:p w14:paraId="6382E777">
            <w:pPr>
              <w:spacing w:before="120" w:after="120" w:line="288" w:lineRule="auto"/>
              <w:ind w:left="0"/>
              <w:jc w:val="left"/>
            </w:pPr>
            <w:r>
              <w:rPr>
                <w:rFonts w:ascii="Arial" w:hAnsi="Arial" w:eastAsia="等线" w:cs="Arial"/>
                <w:sz w:val="22"/>
              </w:rPr>
              <w:t>按时办结得5分</w:t>
            </w:r>
          </w:p>
        </w:tc>
        <w:tc>
          <w:tcPr>
            <w:tcW w:w="1380" w:type="dxa"/>
            <w:tcBorders>
              <w:tl2br w:val="nil"/>
              <w:tr2bl w:val="nil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top"/>
          </w:tcPr>
          <w:p w14:paraId="5700E2D9">
            <w:pPr>
              <w:spacing w:before="120" w:after="120" w:line="288" w:lineRule="auto"/>
              <w:ind w:left="0"/>
              <w:jc w:val="left"/>
            </w:pPr>
            <w:r>
              <w:rPr>
                <w:rFonts w:ascii="Arial" w:hAnsi="Arial" w:eastAsia="等线" w:cs="Arial"/>
                <w:sz w:val="22"/>
              </w:rPr>
              <w:t>全部按时完成</w:t>
            </w:r>
          </w:p>
        </w:tc>
        <w:tc>
          <w:tcPr>
            <w:tcW w:w="1380" w:type="dxa"/>
            <w:tcBorders>
              <w:tl2br w:val="nil"/>
              <w:tr2bl w:val="nil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top"/>
          </w:tcPr>
          <w:p w14:paraId="56B0AC68">
            <w:pPr>
              <w:spacing w:before="120" w:after="120" w:line="288" w:lineRule="auto"/>
              <w:ind w:left="0"/>
              <w:jc w:val="left"/>
            </w:pPr>
            <w:r>
              <w:rPr>
                <w:rFonts w:ascii="Arial" w:hAnsi="Arial" w:eastAsia="等线" w:cs="Arial"/>
                <w:sz w:val="22"/>
              </w:rPr>
              <w:t>5</w:t>
            </w:r>
          </w:p>
        </w:tc>
      </w:tr>
      <w:tr w14:paraId="78C62DC2">
        <w:tblPrEx>
          <w:tblBorders>
            <w:top w:val="single" w:color="000000" w:themeColor="text1" w:sz="2" w:space="0"/>
            <w:left w:val="single" w:color="000000" w:themeColor="text1" w:sz="2" w:space="0"/>
            <w:bottom w:val="single" w:color="000000" w:themeColor="text1" w:sz="2" w:space="0"/>
            <w:right w:val="single" w:color="000000" w:themeColor="text1" w:sz="2" w:space="0"/>
            <w:insideH w:val="single" w:color="000000" w:themeColor="text1" w:sz="2" w:space="0"/>
            <w:insideV w:val="single" w:color="000000" w:themeColor="text1" w:sz="2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1380" w:type="dxa"/>
            <w:tcBorders>
              <w:tl2br w:val="nil"/>
              <w:tr2bl w:val="nil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top"/>
          </w:tcPr>
          <w:p w14:paraId="307BAF1B">
            <w:pPr>
              <w:spacing w:before="120" w:after="120" w:line="288" w:lineRule="auto"/>
              <w:ind w:left="0"/>
              <w:jc w:val="left"/>
            </w:pPr>
            <w:r>
              <w:rPr>
                <w:rFonts w:ascii="Arial" w:hAnsi="Arial" w:eastAsia="等线" w:cs="Arial"/>
                <w:b/>
                <w:sz w:val="22"/>
              </w:rPr>
              <w:t>项目效果</w:t>
            </w:r>
          </w:p>
        </w:tc>
        <w:tc>
          <w:tcPr>
            <w:tcW w:w="1380" w:type="dxa"/>
            <w:tcBorders>
              <w:tl2br w:val="nil"/>
              <w:tr2bl w:val="nil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top"/>
          </w:tcPr>
          <w:p w14:paraId="31B0FC38">
            <w:pPr>
              <w:spacing w:before="120" w:after="120" w:line="288" w:lineRule="auto"/>
              <w:ind w:left="0"/>
              <w:jc w:val="left"/>
            </w:pPr>
            <w:r>
              <w:rPr>
                <w:rFonts w:ascii="Arial" w:hAnsi="Arial" w:eastAsia="等线" w:cs="Arial"/>
                <w:b/>
                <w:sz w:val="22"/>
              </w:rPr>
              <w:t>25</w:t>
            </w:r>
          </w:p>
        </w:tc>
        <w:tc>
          <w:tcPr>
            <w:tcW w:w="1380" w:type="dxa"/>
            <w:tcBorders>
              <w:tl2br w:val="nil"/>
              <w:tr2bl w:val="nil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top"/>
          </w:tcPr>
          <w:p w14:paraId="770C81C8">
            <w:pPr>
              <w:spacing w:before="120" w:after="120" w:line="288" w:lineRule="auto"/>
              <w:ind w:left="0"/>
              <w:jc w:val="left"/>
            </w:pPr>
            <w:r>
              <w:rPr>
                <w:rFonts w:ascii="Arial" w:hAnsi="Arial" w:eastAsia="等线" w:cs="Arial"/>
                <w:sz w:val="22"/>
              </w:rPr>
              <w:t>社会效益</w:t>
            </w:r>
          </w:p>
        </w:tc>
        <w:tc>
          <w:tcPr>
            <w:tcW w:w="1380" w:type="dxa"/>
            <w:tcBorders>
              <w:tl2br w:val="nil"/>
              <w:tr2bl w:val="nil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top"/>
          </w:tcPr>
          <w:p w14:paraId="6A77268C">
            <w:pPr>
              <w:spacing w:before="120" w:after="120" w:line="288" w:lineRule="auto"/>
              <w:ind w:left="0"/>
              <w:jc w:val="left"/>
            </w:pPr>
            <w:r>
              <w:rPr>
                <w:rFonts w:ascii="Arial" w:hAnsi="Arial" w:eastAsia="等线" w:cs="Arial"/>
                <w:sz w:val="22"/>
              </w:rPr>
              <w:t>保障权益、维护稳定得10分</w:t>
            </w:r>
          </w:p>
        </w:tc>
        <w:tc>
          <w:tcPr>
            <w:tcW w:w="1380" w:type="dxa"/>
            <w:tcBorders>
              <w:tl2br w:val="nil"/>
              <w:tr2bl w:val="nil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top"/>
          </w:tcPr>
          <w:p w14:paraId="524D5477">
            <w:pPr>
              <w:spacing w:before="120" w:after="120" w:line="288" w:lineRule="auto"/>
              <w:ind w:left="0"/>
              <w:jc w:val="left"/>
            </w:pPr>
            <w:r>
              <w:rPr>
                <w:rFonts w:ascii="Arial" w:hAnsi="Arial" w:eastAsia="等线" w:cs="Arial"/>
                <w:sz w:val="22"/>
              </w:rPr>
              <w:t>成效显著</w:t>
            </w:r>
          </w:p>
        </w:tc>
        <w:tc>
          <w:tcPr>
            <w:tcW w:w="1380" w:type="dxa"/>
            <w:tcBorders>
              <w:tl2br w:val="nil"/>
              <w:tr2bl w:val="nil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top"/>
          </w:tcPr>
          <w:p w14:paraId="128D11D3">
            <w:pPr>
              <w:spacing w:before="120" w:after="120" w:line="288" w:lineRule="auto"/>
              <w:ind w:left="0"/>
              <w:jc w:val="left"/>
            </w:pPr>
            <w:r>
              <w:rPr>
                <w:rFonts w:ascii="Arial" w:hAnsi="Arial" w:eastAsia="等线" w:cs="Arial"/>
                <w:sz w:val="22"/>
              </w:rPr>
              <w:t>10</w:t>
            </w:r>
          </w:p>
        </w:tc>
      </w:tr>
      <w:tr w14:paraId="187AD787">
        <w:tblPrEx>
          <w:tblBorders>
            <w:top w:val="single" w:color="000000" w:themeColor="text1" w:sz="2" w:space="0"/>
            <w:left w:val="single" w:color="000000" w:themeColor="text1" w:sz="2" w:space="0"/>
            <w:bottom w:val="single" w:color="000000" w:themeColor="text1" w:sz="2" w:space="0"/>
            <w:right w:val="single" w:color="000000" w:themeColor="text1" w:sz="2" w:space="0"/>
            <w:insideH w:val="single" w:color="000000" w:themeColor="text1" w:sz="2" w:space="0"/>
            <w:insideV w:val="single" w:color="000000" w:themeColor="text1" w:sz="2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1380" w:type="dxa"/>
            <w:tcBorders>
              <w:tl2br w:val="nil"/>
              <w:tr2bl w:val="nil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top"/>
          </w:tcPr>
          <w:p w14:paraId="5606820F"/>
        </w:tc>
        <w:tc>
          <w:tcPr>
            <w:tcW w:w="1380" w:type="dxa"/>
            <w:tcBorders>
              <w:tl2br w:val="nil"/>
              <w:tr2bl w:val="nil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top"/>
          </w:tcPr>
          <w:p w14:paraId="691473A2"/>
        </w:tc>
        <w:tc>
          <w:tcPr>
            <w:tcW w:w="1380" w:type="dxa"/>
            <w:tcBorders>
              <w:tl2br w:val="nil"/>
              <w:tr2bl w:val="nil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top"/>
          </w:tcPr>
          <w:p w14:paraId="02CD47D8">
            <w:pPr>
              <w:spacing w:before="120" w:after="120" w:line="288" w:lineRule="auto"/>
              <w:ind w:left="0"/>
              <w:jc w:val="left"/>
            </w:pPr>
            <w:r>
              <w:rPr>
                <w:rFonts w:ascii="Arial" w:hAnsi="Arial" w:eastAsia="等线" w:cs="Arial"/>
                <w:sz w:val="22"/>
              </w:rPr>
              <w:t>服务对象满意度</w:t>
            </w:r>
          </w:p>
        </w:tc>
        <w:tc>
          <w:tcPr>
            <w:tcW w:w="1380" w:type="dxa"/>
            <w:tcBorders>
              <w:tl2br w:val="nil"/>
              <w:tr2bl w:val="nil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top"/>
          </w:tcPr>
          <w:p w14:paraId="0E080D30">
            <w:pPr>
              <w:spacing w:before="120" w:after="120" w:line="288" w:lineRule="auto"/>
              <w:ind w:left="0"/>
              <w:jc w:val="left"/>
            </w:pPr>
            <w:r>
              <w:rPr>
                <w:rFonts w:ascii="Arial" w:hAnsi="Arial" w:eastAsia="等线" w:cs="Arial"/>
                <w:sz w:val="22"/>
              </w:rPr>
              <w:t>≥95%得10分</w:t>
            </w:r>
          </w:p>
        </w:tc>
        <w:tc>
          <w:tcPr>
            <w:tcW w:w="1380" w:type="dxa"/>
            <w:tcBorders>
              <w:tl2br w:val="nil"/>
              <w:tr2bl w:val="nil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top"/>
          </w:tcPr>
          <w:p w14:paraId="0FBC9C8A">
            <w:pPr>
              <w:spacing w:before="120" w:after="120" w:line="288" w:lineRule="auto"/>
              <w:ind w:left="0"/>
              <w:jc w:val="left"/>
            </w:pPr>
            <w:r>
              <w:rPr>
                <w:rFonts w:ascii="Arial" w:hAnsi="Arial" w:eastAsia="等线" w:cs="Arial"/>
                <w:sz w:val="22"/>
              </w:rPr>
              <w:t>95%</w:t>
            </w:r>
          </w:p>
        </w:tc>
        <w:tc>
          <w:tcPr>
            <w:tcW w:w="1380" w:type="dxa"/>
            <w:tcBorders>
              <w:tl2br w:val="nil"/>
              <w:tr2bl w:val="nil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top"/>
          </w:tcPr>
          <w:p w14:paraId="588089EF">
            <w:pPr>
              <w:spacing w:before="120" w:after="120" w:line="288" w:lineRule="auto"/>
              <w:ind w:left="0"/>
              <w:jc w:val="left"/>
            </w:pPr>
            <w:r>
              <w:rPr>
                <w:rFonts w:ascii="Arial" w:hAnsi="Arial" w:eastAsia="等线" w:cs="Arial"/>
                <w:sz w:val="22"/>
              </w:rPr>
              <w:t>9</w:t>
            </w:r>
          </w:p>
        </w:tc>
      </w:tr>
      <w:tr w14:paraId="72D9DF16">
        <w:tblPrEx>
          <w:tblBorders>
            <w:top w:val="single" w:color="000000" w:themeColor="text1" w:sz="2" w:space="0"/>
            <w:left w:val="single" w:color="000000" w:themeColor="text1" w:sz="2" w:space="0"/>
            <w:bottom w:val="single" w:color="000000" w:themeColor="text1" w:sz="2" w:space="0"/>
            <w:right w:val="single" w:color="000000" w:themeColor="text1" w:sz="2" w:space="0"/>
            <w:insideH w:val="single" w:color="000000" w:themeColor="text1" w:sz="2" w:space="0"/>
            <w:insideV w:val="single" w:color="000000" w:themeColor="text1" w:sz="2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1380" w:type="dxa"/>
            <w:tcBorders>
              <w:tl2br w:val="nil"/>
              <w:tr2bl w:val="nil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top"/>
          </w:tcPr>
          <w:p w14:paraId="714BA3FB"/>
        </w:tc>
        <w:tc>
          <w:tcPr>
            <w:tcW w:w="1380" w:type="dxa"/>
            <w:tcBorders>
              <w:tl2br w:val="nil"/>
              <w:tr2bl w:val="nil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top"/>
          </w:tcPr>
          <w:p w14:paraId="37A6B644"/>
        </w:tc>
        <w:tc>
          <w:tcPr>
            <w:tcW w:w="1380" w:type="dxa"/>
            <w:tcBorders>
              <w:tl2br w:val="nil"/>
              <w:tr2bl w:val="nil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top"/>
          </w:tcPr>
          <w:p w14:paraId="6A56E2C7">
            <w:pPr>
              <w:spacing w:before="120" w:after="120" w:line="288" w:lineRule="auto"/>
              <w:ind w:left="0"/>
              <w:jc w:val="left"/>
            </w:pPr>
            <w:r>
              <w:rPr>
                <w:rFonts w:ascii="Arial" w:hAnsi="Arial" w:eastAsia="等线" w:cs="Arial"/>
                <w:sz w:val="22"/>
              </w:rPr>
              <w:t>可持续影响</w:t>
            </w:r>
          </w:p>
        </w:tc>
        <w:tc>
          <w:tcPr>
            <w:tcW w:w="1380" w:type="dxa"/>
            <w:tcBorders>
              <w:tl2br w:val="nil"/>
              <w:tr2bl w:val="nil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top"/>
          </w:tcPr>
          <w:p w14:paraId="4AE8BF74">
            <w:pPr>
              <w:spacing w:before="120" w:after="120" w:line="288" w:lineRule="auto"/>
              <w:ind w:left="0"/>
              <w:jc w:val="left"/>
            </w:pPr>
            <w:r>
              <w:rPr>
                <w:rFonts w:ascii="Arial" w:hAnsi="Arial" w:eastAsia="等线" w:cs="Arial"/>
                <w:sz w:val="22"/>
              </w:rPr>
              <w:t>机制完善得5分</w:t>
            </w:r>
          </w:p>
        </w:tc>
        <w:tc>
          <w:tcPr>
            <w:tcW w:w="1380" w:type="dxa"/>
            <w:tcBorders>
              <w:tl2br w:val="nil"/>
              <w:tr2bl w:val="nil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top"/>
          </w:tcPr>
          <w:p w14:paraId="2652E9CB">
            <w:pPr>
              <w:spacing w:before="120" w:after="120" w:line="288" w:lineRule="auto"/>
              <w:ind w:left="0"/>
              <w:jc w:val="left"/>
            </w:pPr>
            <w:r>
              <w:rPr>
                <w:rFonts w:ascii="Arial" w:hAnsi="Arial" w:eastAsia="等线" w:cs="Arial"/>
                <w:sz w:val="22"/>
              </w:rPr>
              <w:t>长效机制基本建立</w:t>
            </w:r>
          </w:p>
        </w:tc>
        <w:tc>
          <w:tcPr>
            <w:tcW w:w="1380" w:type="dxa"/>
            <w:tcBorders>
              <w:tl2br w:val="nil"/>
              <w:tr2bl w:val="nil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top"/>
          </w:tcPr>
          <w:p w14:paraId="7063D951">
            <w:pPr>
              <w:spacing w:before="120" w:after="120" w:line="288" w:lineRule="auto"/>
              <w:ind w:left="0"/>
              <w:jc w:val="left"/>
            </w:pPr>
            <w:r>
              <w:rPr>
                <w:rFonts w:ascii="Arial" w:hAnsi="Arial" w:eastAsia="等线" w:cs="Arial"/>
                <w:sz w:val="22"/>
              </w:rPr>
              <w:t>5</w:t>
            </w:r>
          </w:p>
        </w:tc>
      </w:tr>
      <w:tr w14:paraId="695CD2A9">
        <w:tblPrEx>
          <w:tblBorders>
            <w:top w:val="single" w:color="000000" w:themeColor="text1" w:sz="2" w:space="0"/>
            <w:left w:val="single" w:color="000000" w:themeColor="text1" w:sz="2" w:space="0"/>
            <w:bottom w:val="single" w:color="000000" w:themeColor="text1" w:sz="2" w:space="0"/>
            <w:right w:val="single" w:color="000000" w:themeColor="text1" w:sz="2" w:space="0"/>
            <w:insideH w:val="single" w:color="000000" w:themeColor="text1" w:sz="2" w:space="0"/>
            <w:insideV w:val="single" w:color="000000" w:themeColor="text1" w:sz="2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1380" w:type="dxa"/>
            <w:tcBorders>
              <w:tl2br w:val="nil"/>
              <w:tr2bl w:val="nil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top"/>
          </w:tcPr>
          <w:p w14:paraId="1570B048">
            <w:pPr>
              <w:spacing w:before="120" w:after="120" w:line="288" w:lineRule="auto"/>
              <w:ind w:left="0"/>
              <w:jc w:val="left"/>
            </w:pPr>
            <w:r>
              <w:rPr>
                <w:rFonts w:ascii="Arial" w:hAnsi="Arial" w:eastAsia="等线" w:cs="Arial"/>
                <w:b/>
                <w:sz w:val="22"/>
              </w:rPr>
              <w:t>合计</w:t>
            </w:r>
          </w:p>
        </w:tc>
        <w:tc>
          <w:tcPr>
            <w:tcW w:w="1380" w:type="dxa"/>
            <w:tcBorders>
              <w:tl2br w:val="nil"/>
              <w:tr2bl w:val="nil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top"/>
          </w:tcPr>
          <w:p w14:paraId="7B1E898A">
            <w:pPr>
              <w:spacing w:before="120" w:after="120" w:line="288" w:lineRule="auto"/>
              <w:ind w:left="0"/>
              <w:jc w:val="left"/>
            </w:pPr>
            <w:r>
              <w:rPr>
                <w:rFonts w:ascii="Arial" w:hAnsi="Arial" w:eastAsia="等线" w:cs="Arial"/>
                <w:b/>
                <w:sz w:val="22"/>
              </w:rPr>
              <w:t>100</w:t>
            </w:r>
          </w:p>
        </w:tc>
        <w:tc>
          <w:tcPr>
            <w:tcW w:w="1380" w:type="dxa"/>
            <w:tcBorders>
              <w:tl2br w:val="nil"/>
              <w:tr2bl w:val="nil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top"/>
          </w:tcPr>
          <w:p w14:paraId="5C47E1ED">
            <w:pPr>
              <w:spacing w:before="120" w:after="120" w:line="288" w:lineRule="auto"/>
              <w:ind w:left="0"/>
              <w:jc w:val="left"/>
            </w:pPr>
            <w:r>
              <w:rPr>
                <w:rFonts w:ascii="Arial" w:hAnsi="Arial" w:eastAsia="等线" w:cs="Arial"/>
                <w:sz w:val="22"/>
              </w:rPr>
              <w:t>——</w:t>
            </w:r>
          </w:p>
        </w:tc>
        <w:tc>
          <w:tcPr>
            <w:tcW w:w="1380" w:type="dxa"/>
            <w:tcBorders>
              <w:tl2br w:val="nil"/>
              <w:tr2bl w:val="nil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top"/>
          </w:tcPr>
          <w:p w14:paraId="0B3853BE">
            <w:pPr>
              <w:spacing w:before="120" w:after="120" w:line="288" w:lineRule="auto"/>
              <w:ind w:left="0"/>
              <w:jc w:val="left"/>
            </w:pPr>
            <w:r>
              <w:rPr>
                <w:rFonts w:ascii="Arial" w:hAnsi="Arial" w:eastAsia="等线" w:cs="Arial"/>
                <w:sz w:val="22"/>
              </w:rPr>
              <w:t>——</w:t>
            </w:r>
          </w:p>
        </w:tc>
        <w:tc>
          <w:tcPr>
            <w:tcW w:w="1380" w:type="dxa"/>
            <w:tcBorders>
              <w:tl2br w:val="nil"/>
              <w:tr2bl w:val="nil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top"/>
          </w:tcPr>
          <w:p w14:paraId="3E78CEDD">
            <w:pPr>
              <w:spacing w:before="120" w:after="120" w:line="288" w:lineRule="auto"/>
              <w:ind w:left="0"/>
              <w:jc w:val="left"/>
            </w:pPr>
            <w:r>
              <w:rPr>
                <w:rFonts w:ascii="Arial" w:hAnsi="Arial" w:eastAsia="等线" w:cs="Arial"/>
                <w:sz w:val="22"/>
              </w:rPr>
              <w:t>——</w:t>
            </w:r>
          </w:p>
        </w:tc>
        <w:tc>
          <w:tcPr>
            <w:tcW w:w="1380" w:type="dxa"/>
            <w:tcBorders>
              <w:tl2br w:val="nil"/>
              <w:tr2bl w:val="nil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top"/>
          </w:tcPr>
          <w:p w14:paraId="20918D2F">
            <w:pPr>
              <w:spacing w:before="120" w:after="120" w:line="288" w:lineRule="auto"/>
              <w:ind w:left="0"/>
              <w:jc w:val="left"/>
            </w:pPr>
            <w:r>
              <w:rPr>
                <w:rFonts w:ascii="Arial" w:hAnsi="Arial" w:eastAsia="等线" w:cs="Arial"/>
                <w:b/>
                <w:sz w:val="22"/>
              </w:rPr>
              <w:t>96</w:t>
            </w:r>
          </w:p>
        </w:tc>
      </w:tr>
    </w:tbl>
    <w:p w14:paraId="14B2ED7C">
      <w:pPr>
        <w:pBdr>
          <w:bottom w:val="single" w:color="DEE0E3" w:sz="2" w:space="0"/>
          <w:between w:val="single" w:color="DEE0E3" w:sz="2" w:space="0"/>
        </w:pBdr>
        <w:spacing w:before="120" w:after="120" w:line="288" w:lineRule="auto"/>
        <w:ind w:left="0"/>
      </w:pPr>
    </w:p>
    <w:p w14:paraId="6FDC8BC4">
      <w:pPr>
        <w:spacing w:before="120" w:after="120" w:line="288" w:lineRule="auto"/>
        <w:ind w:left="0"/>
        <w:jc w:val="left"/>
      </w:pPr>
    </w:p>
    <w:sectPr>
      <w:footerReference r:id="rId3" w:type="default"/>
      <w:pgSz w:w="11905" w:h="16840"/>
      <w:pgBorders>
        <w:top w:val="none" w:sz="0" w:space="0"/>
        <w:left w:val="none" w:sz="0" w:space="0"/>
        <w:bottom w:val="none" w:sz="0" w:space="0"/>
        <w:right w:val="none" w:sz="0" w:space="0"/>
      </w:pgBorders>
      <w:cols w:space="72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MS Gothic">
    <w:panose1 w:val="020B0609070205080204"/>
    <w:charset w:val="86"/>
    <w:family w:val="auto"/>
    <w:pitch w:val="default"/>
    <w:sig w:usb0="E00002FF" w:usb1="6AC7FDFB" w:usb2="00000012" w:usb3="00000000" w:csb0="4002009F" w:csb1="DFD70000"/>
  </w:font>
  <w:font w:name="等线">
    <w:altName w:val="微软雅黑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6AD5F7A">
    <w:r>
      <w:rPr>
        <w:sz w:val="21"/>
      </w:rPr>
      <w:pict>
        <v:shape id="_x0000_s4097" o:spid="_x0000_s4097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>
          <v:path/>
          <v:fill on="f" focussize="0,0"/>
          <v:stroke on="f"/>
          <v:imagedata o:title=""/>
          <o:lock v:ext="edit" aspectratio="f"/>
          <v:textbox inset="0mm,0mm,0mm,0mm" style="mso-fit-shape-to-text:t;">
            <w:txbxContent>
              <w:p w14:paraId="68B69066">
                <w:pPr>
                  <w:pStyle w:val="3"/>
                </w:pPr>
                <w:r>
                  <w:fldChar w:fldCharType="begin"/>
                </w:r>
                <w:r>
                  <w:instrText xml:space="preserve"> PAGE  \* MERGEFORMAT </w:instrText>
                </w:r>
                <w:r>
                  <w:fldChar w:fldCharType="separate"/>
                </w:r>
                <w:r>
                  <w:t>1</w:t>
                </w:r>
                <w:r>
                  <w:fldChar w:fldCharType="end"/>
                </w:r>
              </w:p>
            </w:txbxContent>
          </v:textbox>
        </v:shape>
      </w:pic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hdrShapeDefaults>
    <o:shapelayout v:ext="edit">
      <o:idmap v:ext="edit" data="3,4"/>
    </o:shapelayout>
  </w:hdrShapeDefaults>
  <w:compat>
    <w:useFELayout/>
    <w:splitPgBreakAndParaMark/>
    <w:compatSetting w:name="compatibilityMode" w:uri="http://schemas.microsoft.com/office/word" w:val="12"/>
  </w:compat>
  <w:rsids>
    <w:rsidRoot w:val="00000000"/>
    <w:rsid w:val="068237C5"/>
    <w:rsid w:val="0A0818DD"/>
    <w:rsid w:val="1A98548D"/>
    <w:rsid w:val="763138F9"/>
    <w:rsid w:val="7A0A30AB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sz w:val="21"/>
      <w:szCs w:val="22"/>
    </w:rPr>
  </w:style>
  <w:style w:type="character" w:default="1" w:styleId="7">
    <w:name w:val="Default Paragraph Font"/>
    <w:semiHidden/>
    <w:qFormat/>
    <w:uiPriority w:val="0"/>
  </w:style>
  <w:style w:type="table" w:default="1" w:styleId="6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semiHidden/>
    <w:qFormat/>
    <w:uiPriority w:val="0"/>
    <w:rPr>
      <w:rFonts w:ascii="仿宋" w:hAnsi="仿宋" w:eastAsia="仿宋" w:cs="仿宋"/>
      <w:sz w:val="18"/>
      <w:szCs w:val="18"/>
      <w:lang w:val="en-US" w:eastAsia="en-US" w:bidi="ar-SA"/>
    </w:rPr>
  </w:style>
  <w:style w:type="paragraph" w:styleId="3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toc 1"/>
    <w:basedOn w:val="1"/>
    <w:next w:val="1"/>
    <w:uiPriority w:val="0"/>
  </w:style>
  <w:style w:type="paragraph" w:styleId="5">
    <w:name w:val="toc 2"/>
    <w:basedOn w:val="1"/>
    <w:next w:val="1"/>
    <w:uiPriority w:val="0"/>
    <w:pPr>
      <w:ind w:left="420" w:leftChars="200"/>
    </w:p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4097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Pages>8</Pages>
  <Words>3184</Words>
  <Characters>3300</Characters>
  <TotalTime>5</TotalTime>
  <ScaleCrop>false</ScaleCrop>
  <LinksUpToDate>false</LinksUpToDate>
  <CharactersWithSpaces>3446</CharactersWithSpaces>
  <Application>WPS Office_12.1.0.25225_F1E327BC-269C-435d-A152-05C5408002CA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2026-03-24T03:18:00Z</dcterms:created>
  <dc:creator>Apache POI</dc:creator>
  <cp:lastModifiedBy>笑傲江湖De鱼</cp:lastModifiedBy>
  <cp:lastPrinted>2026-03-24T04:38:22Z</cp:lastPrinted>
  <dcterms:modified xsi:type="dcterms:W3CDTF">2026-03-24T04:40:44Z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eyJoZGlkIjoiZDc0NzBmMGM2MDU2M2M1MmU2ZGIxNjk0ZGVkZDUxNjEiLCJ1c2VySWQiOiI3NjYyOTc2MDEifQ==</vt:lpwstr>
  </property>
  <property fmtid="{D5CDD505-2E9C-101B-9397-08002B2CF9AE}" pid="3" name="KSOProductBuildVer">
    <vt:lpwstr>2052-12.1.0.25225</vt:lpwstr>
  </property>
  <property fmtid="{D5CDD505-2E9C-101B-9397-08002B2CF9AE}" pid="4" name="ICV">
    <vt:lpwstr>D554AFA071BF4285BA837D88986CAB08_12</vt:lpwstr>
  </property>
</Properties>
</file>