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szCs w:val="44"/>
        </w:rPr>
      </w:pPr>
    </w:p>
    <w:p>
      <w:pPr>
        <w:tabs>
          <w:tab w:val="left" w:pos="1185"/>
        </w:tabs>
        <w:rPr>
          <w:rFonts w:ascii="黑体" w:hAnsi="黑体" w:eastAsia="黑体" w:cs="黑体"/>
          <w:bCs/>
          <w:szCs w:val="44"/>
        </w:rPr>
      </w:pPr>
      <w:r>
        <w:rPr>
          <w:rFonts w:ascii="黑体" w:hAnsi="黑体" w:eastAsia="黑体" w:cs="黑体"/>
          <w:bCs/>
          <w:szCs w:val="44"/>
        </w:rPr>
        <w:tab/>
      </w:r>
    </w:p>
    <w:p>
      <w:pPr>
        <w:jc w:val="center"/>
        <w:rPr>
          <w:rFonts w:ascii="黑体" w:hAnsi="黑体" w:eastAsia="黑体" w:cs="黑体"/>
          <w:bCs/>
          <w:szCs w:val="44"/>
        </w:rPr>
      </w:pPr>
    </w:p>
    <w:p>
      <w:pPr>
        <w:jc w:val="center"/>
        <w:rPr>
          <w:rFonts w:ascii="黑体" w:hAnsi="黑体" w:eastAsia="黑体" w:cs="黑体"/>
          <w:bCs/>
          <w:szCs w:val="44"/>
        </w:rPr>
      </w:pPr>
    </w:p>
    <w:p>
      <w:pPr>
        <w:jc w:val="center"/>
        <w:outlineLvl w:val="0"/>
        <w:rPr>
          <w:rFonts w:ascii="黑体" w:hAnsi="黑体" w:eastAsia="黑体" w:cs="黑体"/>
          <w:b/>
          <w:bCs/>
          <w:sz w:val="44"/>
          <w:szCs w:val="44"/>
        </w:rPr>
      </w:pPr>
      <w:bookmarkStart w:id="0" w:name="_Toc74994696"/>
      <w:bookmarkStart w:id="1" w:name="_Toc13129"/>
      <w:bookmarkStart w:id="2" w:name="_Toc27568"/>
      <w:bookmarkStart w:id="3" w:name="_Toc22192"/>
      <w:r>
        <w:rPr>
          <w:rFonts w:hint="eastAsia" w:ascii="黑体" w:hAnsi="黑体" w:eastAsia="黑体" w:cs="黑体"/>
          <w:b/>
          <w:bCs/>
          <w:sz w:val="44"/>
          <w:szCs w:val="44"/>
        </w:rPr>
        <w:t>浮梁县应急管理局</w:t>
      </w:r>
      <w:bookmarkEnd w:id="0"/>
      <w:bookmarkEnd w:id="1"/>
    </w:p>
    <w:bookmarkEnd w:id="2"/>
    <w:bookmarkEnd w:id="3"/>
    <w:p>
      <w:pPr>
        <w:ind w:firstLine="440" w:firstLineChars="100"/>
        <w:outlineLvl w:val="0"/>
        <w:rPr>
          <w:rFonts w:ascii="黑体" w:hAnsi="黑体" w:eastAsia="黑体"/>
          <w:sz w:val="44"/>
          <w:szCs w:val="44"/>
        </w:rPr>
      </w:pPr>
      <w:bookmarkStart w:id="4" w:name="_Toc26324"/>
      <w:bookmarkStart w:id="5" w:name="_Toc74994697"/>
      <w:bookmarkStart w:id="6" w:name="_Toc2080"/>
      <w:r>
        <w:rPr>
          <w:rFonts w:hint="eastAsia" w:ascii="黑体" w:hAnsi="黑体" w:eastAsia="黑体"/>
          <w:sz w:val="44"/>
          <w:szCs w:val="44"/>
        </w:rPr>
        <w:t>202</w:t>
      </w:r>
      <w:r>
        <w:rPr>
          <w:rFonts w:hint="eastAsia" w:ascii="黑体" w:hAnsi="黑体" w:eastAsia="黑体"/>
          <w:sz w:val="44"/>
          <w:szCs w:val="44"/>
          <w:lang w:val="en-US" w:eastAsia="zh-CN"/>
        </w:rPr>
        <w:t>1</w:t>
      </w:r>
      <w:r>
        <w:rPr>
          <w:rFonts w:hint="eastAsia" w:ascii="黑体" w:hAnsi="黑体" w:eastAsia="黑体"/>
          <w:sz w:val="44"/>
          <w:szCs w:val="44"/>
        </w:rPr>
        <w:t>年部门预算整体支出绩效自评报告</w:t>
      </w:r>
      <w:bookmarkEnd w:id="4"/>
      <w:bookmarkEnd w:id="5"/>
      <w:bookmarkEnd w:id="6"/>
    </w:p>
    <w:p>
      <w:pPr>
        <w:jc w:val="center"/>
        <w:rPr>
          <w:rFonts w:ascii="黑体" w:hAnsi="黑体" w:eastAsia="黑体" w:cs="黑体"/>
          <w:b/>
          <w:bCs/>
          <w:sz w:val="44"/>
          <w:szCs w:val="44"/>
        </w:rPr>
      </w:pPr>
    </w:p>
    <w:p>
      <w:pPr>
        <w:jc w:val="center"/>
        <w:rPr>
          <w:rFonts w:hint="default" w:ascii="黑体" w:hAnsi="黑体" w:eastAsia="黑体" w:cs="黑体"/>
          <w:b/>
          <w:bCs/>
          <w:sz w:val="44"/>
          <w:szCs w:val="44"/>
          <w:lang w:val="en-US" w:eastAsia="zh-CN"/>
        </w:rPr>
      </w:pPr>
      <w:r>
        <w:rPr>
          <w:rFonts w:hint="eastAsia" w:ascii="黑体" w:hAnsi="黑体" w:eastAsia="黑体" w:cs="黑体"/>
          <w:b/>
          <w:bCs/>
          <w:sz w:val="44"/>
          <w:szCs w:val="44"/>
          <w:lang w:val="en-US" w:eastAsia="zh-CN"/>
        </w:rPr>
        <w:t xml:space="preserve">                                                                                    </w:t>
      </w: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jc w:val="center"/>
        <w:rPr>
          <w:rFonts w:ascii="黑体" w:hAnsi="黑体" w:eastAsia="黑体" w:cs="黑体"/>
          <w:b/>
          <w:bCs/>
          <w:sz w:val="44"/>
          <w:szCs w:val="44"/>
        </w:rPr>
      </w:pPr>
    </w:p>
    <w:p>
      <w:pPr>
        <w:rPr>
          <w:rFonts w:ascii="黑体" w:hAnsi="黑体" w:eastAsia="黑体" w:cs="黑体"/>
          <w:b/>
          <w:bCs/>
          <w:sz w:val="44"/>
          <w:szCs w:val="44"/>
        </w:rPr>
      </w:pPr>
    </w:p>
    <w:p>
      <w:pPr>
        <w:jc w:val="center"/>
        <w:rPr>
          <w:rFonts w:ascii="黑体" w:hAnsi="黑体" w:eastAsia="黑体" w:cs="黑体"/>
          <w:b/>
          <w:bCs/>
          <w:sz w:val="44"/>
          <w:szCs w:val="44"/>
        </w:rPr>
      </w:pPr>
    </w:p>
    <w:p>
      <w:pPr>
        <w:tabs>
          <w:tab w:val="left" w:pos="3808"/>
        </w:tabs>
        <w:spacing w:before="15"/>
        <w:ind w:left="1052" w:firstLine="1120" w:firstLineChars="400"/>
        <w:rPr>
          <w:rFonts w:ascii="仿宋" w:eastAsia="仿宋"/>
          <w:sz w:val="28"/>
        </w:rPr>
      </w:pPr>
      <w:r>
        <w:rPr>
          <w:rFonts w:hint="eastAsia" w:ascii="仿宋" w:eastAsia="仿宋"/>
          <w:sz w:val="28"/>
        </w:rPr>
        <w:t>评价单位（盖章）：浮梁县应急管理局</w:t>
      </w:r>
    </w:p>
    <w:p>
      <w:pPr>
        <w:tabs>
          <w:tab w:val="left" w:pos="3808"/>
        </w:tabs>
        <w:spacing w:before="15"/>
        <w:ind w:firstLine="3080" w:firstLineChars="1100"/>
        <w:rPr>
          <w:rFonts w:ascii="仿宋" w:eastAsia="仿宋"/>
          <w:sz w:val="28"/>
        </w:rPr>
      </w:pPr>
      <w:r>
        <w:rPr>
          <w:rFonts w:hint="eastAsia" w:ascii="仿宋" w:eastAsia="仿宋"/>
          <w:sz w:val="28"/>
        </w:rPr>
        <w:t>上报时间：202</w:t>
      </w:r>
      <w:r>
        <w:rPr>
          <w:rFonts w:hint="eastAsia" w:ascii="仿宋" w:eastAsia="仿宋"/>
          <w:sz w:val="28"/>
          <w:lang w:val="en-US" w:eastAsia="zh-CN"/>
        </w:rPr>
        <w:t>2</w:t>
      </w:r>
      <w:r>
        <w:rPr>
          <w:rFonts w:hint="eastAsia" w:ascii="仿宋" w:eastAsia="仿宋"/>
          <w:sz w:val="28"/>
        </w:rPr>
        <w:t>年6月</w:t>
      </w:r>
      <w:r>
        <w:rPr>
          <w:rFonts w:hint="eastAsia" w:ascii="仿宋" w:eastAsia="仿宋"/>
          <w:sz w:val="28"/>
          <w:lang w:val="en-US" w:eastAsia="zh-CN"/>
        </w:rPr>
        <w:t>10</w:t>
      </w:r>
      <w:r>
        <w:rPr>
          <w:rFonts w:hint="eastAsia" w:ascii="仿宋" w:eastAsia="仿宋"/>
          <w:sz w:val="28"/>
        </w:rPr>
        <w:t>日</w:t>
      </w:r>
    </w:p>
    <w:p>
      <w:pPr>
        <w:jc w:val="center"/>
        <w:rPr>
          <w:rFonts w:ascii="黑体" w:hAnsi="黑体" w:eastAsia="黑体" w:cs="黑体"/>
          <w:b/>
          <w:bCs/>
          <w:sz w:val="44"/>
          <w:szCs w:val="44"/>
        </w:rPr>
      </w:pPr>
    </w:p>
    <w:p>
      <w:pPr>
        <w:rPr>
          <w:rFonts w:ascii="黑体" w:hAnsi="黑体" w:eastAsia="黑体" w:cs="黑体"/>
          <w:b/>
          <w:bCs/>
          <w:sz w:val="44"/>
          <w:szCs w:val="44"/>
        </w:rPr>
      </w:pPr>
    </w:p>
    <w:p>
      <w:pPr>
        <w:jc w:val="center"/>
        <w:rPr>
          <w:rFonts w:ascii="黑体" w:hAnsi="黑体" w:eastAsia="黑体" w:cs="黑体"/>
          <w:bCs/>
          <w:szCs w:val="44"/>
        </w:rPr>
        <w:sectPr>
          <w:footerReference r:id="rId3" w:type="default"/>
          <w:pgSz w:w="11906" w:h="16838"/>
          <w:pgMar w:top="1440" w:right="1800" w:bottom="1440" w:left="1800" w:header="851" w:footer="992" w:gutter="0"/>
          <w:pgNumType w:start="1"/>
          <w:cols w:space="425" w:num="1"/>
          <w:docGrid w:type="lines" w:linePitch="312" w:charSpace="0"/>
        </w:sectPr>
      </w:pPr>
    </w:p>
    <w:p/>
    <w:p>
      <w:pPr>
        <w:jc w:val="center"/>
        <w:rPr>
          <w:rFonts w:ascii="宋体" w:hAnsi="宋体" w:eastAsia="宋体"/>
        </w:rPr>
      </w:pPr>
    </w:p>
    <w:p>
      <w:pPr>
        <w:rPr>
          <w:rFonts w:ascii="黑体" w:hAnsi="黑体" w:eastAsia="黑体" w:cs="黑体"/>
          <w:bCs/>
          <w:szCs w:val="44"/>
        </w:rPr>
      </w:pPr>
    </w:p>
    <w:p>
      <w:pPr>
        <w:jc w:val="center"/>
        <w:outlineLvl w:val="0"/>
        <w:rPr>
          <w:rFonts w:hint="eastAsia" w:ascii="黑体" w:hAnsi="黑体" w:eastAsia="黑体" w:cs="黑体"/>
          <w:b/>
          <w:bCs/>
          <w:sz w:val="44"/>
          <w:szCs w:val="44"/>
        </w:rPr>
      </w:pPr>
      <w:bookmarkStart w:id="7" w:name="_Toc74994698"/>
      <w:bookmarkStart w:id="8" w:name="_Toc7523"/>
      <w:bookmarkStart w:id="9" w:name="_Toc22175"/>
    </w:p>
    <w:p>
      <w:pPr>
        <w:jc w:val="center"/>
        <w:outlineLvl w:val="0"/>
        <w:rPr>
          <w:rFonts w:ascii="黑体" w:hAnsi="黑体" w:eastAsia="黑体" w:cs="黑体"/>
          <w:b/>
          <w:bCs/>
          <w:sz w:val="44"/>
          <w:szCs w:val="44"/>
        </w:rPr>
      </w:pPr>
      <w:r>
        <w:rPr>
          <w:rFonts w:hint="eastAsia" w:ascii="黑体" w:hAnsi="黑体" w:eastAsia="黑体" w:cs="黑体"/>
          <w:b/>
          <w:bCs/>
          <w:sz w:val="44"/>
          <w:szCs w:val="44"/>
        </w:rPr>
        <w:t>浮梁县应急管理局</w:t>
      </w:r>
      <w:bookmarkEnd w:id="7"/>
      <w:bookmarkEnd w:id="8"/>
    </w:p>
    <w:p>
      <w:pPr>
        <w:jc w:val="center"/>
        <w:outlineLvl w:val="0"/>
        <w:rPr>
          <w:rFonts w:ascii="黑体" w:hAnsi="黑体" w:eastAsia="黑体" w:cs="黑体"/>
          <w:b/>
          <w:bCs/>
          <w:sz w:val="44"/>
          <w:szCs w:val="44"/>
        </w:rPr>
      </w:pPr>
      <w:bookmarkStart w:id="10" w:name="_Toc22965"/>
      <w:bookmarkStart w:id="11" w:name="_Toc74994699"/>
      <w:r>
        <w:rPr>
          <w:rFonts w:hint="eastAsia" w:ascii="黑体" w:hAnsi="黑体" w:eastAsia="黑体" w:cs="黑体"/>
          <w:b/>
          <w:bCs/>
          <w:sz w:val="44"/>
          <w:szCs w:val="44"/>
        </w:rPr>
        <w:t>部门预算整体支出绩效</w:t>
      </w:r>
      <w:bookmarkEnd w:id="9"/>
      <w:bookmarkStart w:id="12" w:name="_Toc20141"/>
      <w:bookmarkStart w:id="13" w:name="_Toc25185"/>
      <w:bookmarkStart w:id="14" w:name="_Toc281"/>
      <w:r>
        <w:rPr>
          <w:rFonts w:hint="eastAsia" w:ascii="黑体" w:hAnsi="黑体" w:eastAsia="黑体" w:cs="黑体"/>
          <w:b/>
          <w:bCs/>
          <w:sz w:val="44"/>
          <w:szCs w:val="44"/>
        </w:rPr>
        <w:t>自评报告</w:t>
      </w:r>
      <w:bookmarkEnd w:id="10"/>
      <w:bookmarkEnd w:id="11"/>
      <w:bookmarkEnd w:id="12"/>
      <w:bookmarkEnd w:id="13"/>
      <w:bookmarkEnd w:id="14"/>
    </w:p>
    <w:p>
      <w:pPr>
        <w:rPr>
          <w:sz w:val="28"/>
          <w:szCs w:val="28"/>
        </w:rPr>
      </w:pPr>
    </w:p>
    <w:p>
      <w:pPr>
        <w:ind w:firstLine="560" w:firstLineChars="200"/>
        <w:rPr>
          <w:sz w:val="28"/>
          <w:szCs w:val="28"/>
        </w:rPr>
      </w:pPr>
      <w:r>
        <w:rPr>
          <w:rFonts w:hint="eastAsia"/>
          <w:sz w:val="28"/>
          <w:szCs w:val="28"/>
        </w:rPr>
        <w:t>按照浮梁县财政局《关于</w:t>
      </w:r>
      <w:r>
        <w:rPr>
          <w:rFonts w:hint="eastAsia"/>
          <w:sz w:val="28"/>
          <w:szCs w:val="28"/>
          <w:lang w:val="en-US" w:eastAsia="zh-CN"/>
        </w:rPr>
        <w:t>开展县直部门和乡镇单位自评及绩效监控</w:t>
      </w:r>
      <w:r>
        <w:rPr>
          <w:rFonts w:hint="eastAsia"/>
          <w:sz w:val="28"/>
          <w:szCs w:val="28"/>
        </w:rPr>
        <w:t>工作的通知》（浮财绩字[202</w:t>
      </w:r>
      <w:r>
        <w:rPr>
          <w:rFonts w:hint="eastAsia"/>
          <w:sz w:val="28"/>
          <w:szCs w:val="28"/>
          <w:lang w:val="en-US" w:eastAsia="zh-CN"/>
        </w:rPr>
        <w:t>2</w:t>
      </w:r>
      <w:r>
        <w:rPr>
          <w:rFonts w:hint="eastAsia"/>
          <w:sz w:val="28"/>
          <w:szCs w:val="28"/>
        </w:rPr>
        <w:t>]</w:t>
      </w:r>
      <w:r>
        <w:rPr>
          <w:rFonts w:hint="eastAsia"/>
          <w:sz w:val="28"/>
          <w:szCs w:val="28"/>
          <w:lang w:val="en-US" w:eastAsia="zh-CN"/>
        </w:rPr>
        <w:t>2</w:t>
      </w:r>
      <w:r>
        <w:rPr>
          <w:rFonts w:hint="eastAsia"/>
          <w:sz w:val="28"/>
          <w:szCs w:val="28"/>
        </w:rPr>
        <w:t>号）要求，我单位对照预算安排的资金情况，从投入管理指标、产出指标、效果指标和满意度指标，进行了全面综合评价。经认真自查自评，202</w:t>
      </w:r>
      <w:r>
        <w:rPr>
          <w:rFonts w:hint="eastAsia"/>
          <w:sz w:val="28"/>
          <w:szCs w:val="28"/>
          <w:lang w:val="en-US" w:eastAsia="zh-CN"/>
        </w:rPr>
        <w:t>1</w:t>
      </w:r>
      <w:r>
        <w:rPr>
          <w:rFonts w:hint="eastAsia"/>
          <w:sz w:val="28"/>
          <w:szCs w:val="28"/>
        </w:rPr>
        <w:t>年度我单位各项指标任务总体评价较好, 现将绩效自评报告如下:</w:t>
      </w:r>
    </w:p>
    <w:p>
      <w:pPr>
        <w:ind w:firstLine="643" w:firstLineChars="200"/>
        <w:outlineLvl w:val="0"/>
        <w:rPr>
          <w:rFonts w:ascii="黑体" w:hAnsi="黑体" w:eastAsia="黑体" w:cs="黑体"/>
          <w:b/>
          <w:bCs/>
          <w:sz w:val="32"/>
          <w:szCs w:val="32"/>
        </w:rPr>
      </w:pPr>
      <w:bookmarkStart w:id="15" w:name="_Toc14918"/>
      <w:bookmarkStart w:id="16" w:name="_Toc1783"/>
      <w:bookmarkStart w:id="17" w:name="_Toc74994700"/>
      <w:bookmarkStart w:id="18" w:name="_Toc18976"/>
      <w:r>
        <w:rPr>
          <w:rFonts w:hint="eastAsia" w:ascii="黑体" w:hAnsi="黑体" w:eastAsia="黑体" w:cs="黑体"/>
          <w:b/>
          <w:bCs/>
          <w:sz w:val="32"/>
          <w:szCs w:val="32"/>
        </w:rPr>
        <w:t>一、部门概况</w:t>
      </w:r>
      <w:bookmarkEnd w:id="15"/>
      <w:bookmarkEnd w:id="16"/>
      <w:bookmarkEnd w:id="17"/>
      <w:bookmarkEnd w:id="18"/>
    </w:p>
    <w:p>
      <w:pPr>
        <w:ind w:firstLine="562" w:firstLineChars="200"/>
        <w:outlineLvl w:val="1"/>
        <w:rPr>
          <w:sz w:val="28"/>
          <w:szCs w:val="28"/>
        </w:rPr>
      </w:pPr>
      <w:bookmarkStart w:id="19" w:name="_Toc74994701"/>
      <w:r>
        <w:rPr>
          <w:rFonts w:hint="eastAsia"/>
          <w:b/>
          <w:bCs/>
          <w:sz w:val="28"/>
          <w:szCs w:val="28"/>
        </w:rPr>
        <w:t>（一）主要职责职能，组织架构、人员及资产等基本情况</w:t>
      </w:r>
      <w:bookmarkEnd w:id="19"/>
    </w:p>
    <w:p>
      <w:pPr>
        <w:ind w:firstLine="562" w:firstLineChars="200"/>
        <w:outlineLvl w:val="2"/>
        <w:rPr>
          <w:b/>
          <w:bCs/>
          <w:sz w:val="28"/>
          <w:szCs w:val="28"/>
        </w:rPr>
      </w:pPr>
      <w:bookmarkStart w:id="20" w:name="_Toc74994702"/>
      <w:r>
        <w:rPr>
          <w:rFonts w:hint="eastAsia"/>
          <w:b/>
          <w:bCs/>
          <w:sz w:val="28"/>
          <w:szCs w:val="28"/>
        </w:rPr>
        <w:t>1.</w:t>
      </w:r>
      <w:r>
        <w:rPr>
          <w:rFonts w:hint="eastAsia"/>
          <w:b/>
          <w:bCs/>
          <w:sz w:val="28"/>
          <w:szCs w:val="28"/>
        </w:rPr>
        <w:tab/>
      </w:r>
      <w:r>
        <w:rPr>
          <w:rFonts w:hint="eastAsia"/>
          <w:b/>
          <w:bCs/>
          <w:sz w:val="28"/>
          <w:szCs w:val="28"/>
        </w:rPr>
        <w:t>部门职责职能</w:t>
      </w:r>
      <w:bookmarkEnd w:id="20"/>
    </w:p>
    <w:p>
      <w:pPr>
        <w:ind w:firstLine="700" w:firstLineChars="250"/>
        <w:rPr>
          <w:sz w:val="28"/>
          <w:szCs w:val="28"/>
        </w:rPr>
      </w:pPr>
      <w:r>
        <w:rPr>
          <w:rFonts w:hint="eastAsia" w:asciiTheme="minorEastAsia" w:hAnsiTheme="minorEastAsia"/>
          <w:sz w:val="28"/>
          <w:szCs w:val="28"/>
        </w:rPr>
        <w:t>应急管理局主要负责全县应急管理工作，统一指挥、指导全县各级各部门应对安全生产类、自然灾害类等突发事件和综合防灾减灾救灾工作。负责安全生产综合监督管理和工矿商贸行业安全生产监督管理等工作。</w:t>
      </w:r>
    </w:p>
    <w:p>
      <w:pPr>
        <w:ind w:firstLine="562" w:firstLineChars="200"/>
        <w:outlineLvl w:val="2"/>
        <w:rPr>
          <w:b/>
          <w:bCs/>
          <w:sz w:val="28"/>
          <w:szCs w:val="28"/>
        </w:rPr>
      </w:pPr>
      <w:bookmarkStart w:id="21" w:name="_Toc74994703"/>
      <w:r>
        <w:rPr>
          <w:rFonts w:hint="eastAsia"/>
          <w:b/>
          <w:bCs/>
          <w:sz w:val="28"/>
          <w:szCs w:val="28"/>
        </w:rPr>
        <w:t>2.</w:t>
      </w:r>
      <w:r>
        <w:rPr>
          <w:rFonts w:hint="eastAsia"/>
          <w:b/>
          <w:bCs/>
          <w:sz w:val="28"/>
          <w:szCs w:val="28"/>
        </w:rPr>
        <w:tab/>
      </w:r>
      <w:r>
        <w:rPr>
          <w:rFonts w:hint="eastAsia"/>
          <w:b/>
          <w:bCs/>
          <w:sz w:val="28"/>
          <w:szCs w:val="28"/>
        </w:rPr>
        <w:t>部门机构设置及人员情况</w:t>
      </w:r>
      <w:bookmarkEnd w:id="21"/>
    </w:p>
    <w:p>
      <w:pPr>
        <w:ind w:firstLine="560" w:firstLineChars="200"/>
        <w:rPr>
          <w:rFonts w:asciiTheme="minorEastAsia" w:hAnsiTheme="minorEastAsia"/>
          <w:sz w:val="28"/>
          <w:szCs w:val="28"/>
        </w:rPr>
      </w:pPr>
      <w:r>
        <w:rPr>
          <w:rFonts w:hint="eastAsia" w:asciiTheme="minorEastAsia" w:hAnsiTheme="minorEastAsia"/>
          <w:sz w:val="28"/>
          <w:szCs w:val="28"/>
        </w:rPr>
        <w:t>2018年国家组建应急管理部，不再保留国家安全生产监督管理总局。2019年3月，浮梁县安全生产监督管理局撤销，县应急管理局转隶组建成立。单位内设机构有党政办、综合协调股、防灾减灾救灾保障股、安全生产监管股、预案协调股。所属事业单位有7个：防汛抗旱指挥办公室、防汛抗旱服务队、减灾备灾中心、安全生产监查股、安全生产培训中心、专业森林消防大队、森林防火指挥办公室。</w:t>
      </w:r>
    </w:p>
    <w:p>
      <w:pPr>
        <w:ind w:firstLine="560" w:firstLineChars="200"/>
        <w:rPr>
          <w:rFonts w:asciiTheme="minorEastAsia" w:hAnsiTheme="minorEastAsia"/>
          <w:sz w:val="28"/>
          <w:szCs w:val="28"/>
        </w:rPr>
      </w:pPr>
      <w:r>
        <w:rPr>
          <w:rFonts w:hint="eastAsia" w:asciiTheme="minorEastAsia" w:hAnsiTheme="minorEastAsia"/>
          <w:sz w:val="28"/>
          <w:szCs w:val="28"/>
        </w:rPr>
        <w:t>根据《浮梁县应急管理局职能配置、内设机构和人员编制规定》规定，县应急局机关行政编制22名。截至20</w:t>
      </w:r>
      <w:r>
        <w:rPr>
          <w:rFonts w:hint="eastAsia" w:asciiTheme="minorEastAsia" w:hAnsiTheme="minorEastAsia"/>
          <w:sz w:val="28"/>
          <w:szCs w:val="28"/>
          <w:lang w:val="en-US" w:eastAsia="zh-CN"/>
        </w:rPr>
        <w:t>21</w:t>
      </w:r>
      <w:r>
        <w:rPr>
          <w:rFonts w:hint="eastAsia" w:asciiTheme="minorEastAsia" w:hAnsiTheme="minorEastAsia"/>
          <w:sz w:val="28"/>
          <w:szCs w:val="28"/>
        </w:rPr>
        <w:t>年12月31日，局本级在职人员共计5</w:t>
      </w:r>
      <w:r>
        <w:rPr>
          <w:rFonts w:hint="eastAsia" w:asciiTheme="minorEastAsia" w:hAnsiTheme="minorEastAsia"/>
          <w:sz w:val="28"/>
          <w:szCs w:val="28"/>
          <w:lang w:val="en-US" w:eastAsia="zh-CN"/>
        </w:rPr>
        <w:t>3</w:t>
      </w:r>
      <w:r>
        <w:rPr>
          <w:rFonts w:hint="eastAsia" w:asciiTheme="minorEastAsia" w:hAnsiTheme="minorEastAsia"/>
          <w:sz w:val="28"/>
          <w:szCs w:val="28"/>
        </w:rPr>
        <w:t>名，退休人员</w:t>
      </w:r>
      <w:r>
        <w:rPr>
          <w:rFonts w:hint="eastAsia" w:asciiTheme="minorEastAsia" w:hAnsiTheme="minorEastAsia"/>
          <w:sz w:val="28"/>
          <w:szCs w:val="28"/>
          <w:lang w:val="en-US" w:eastAsia="zh-CN"/>
        </w:rPr>
        <w:t>6</w:t>
      </w:r>
      <w:r>
        <w:rPr>
          <w:rFonts w:hint="eastAsia" w:asciiTheme="minorEastAsia" w:hAnsiTheme="minorEastAsia"/>
          <w:sz w:val="28"/>
          <w:szCs w:val="28"/>
        </w:rPr>
        <w:t>名。</w:t>
      </w:r>
    </w:p>
    <w:p>
      <w:pPr>
        <w:ind w:firstLine="843" w:firstLineChars="300"/>
        <w:outlineLvl w:val="2"/>
        <w:rPr>
          <w:b/>
          <w:bCs/>
          <w:sz w:val="28"/>
          <w:szCs w:val="28"/>
        </w:rPr>
      </w:pPr>
      <w:bookmarkStart w:id="22" w:name="_Toc74994704"/>
      <w:r>
        <w:rPr>
          <w:rFonts w:hint="eastAsia"/>
          <w:b/>
          <w:bCs/>
          <w:sz w:val="28"/>
          <w:szCs w:val="28"/>
        </w:rPr>
        <w:t>3.</w:t>
      </w:r>
      <w:r>
        <w:rPr>
          <w:rFonts w:hint="eastAsia"/>
          <w:b/>
          <w:bCs/>
          <w:sz w:val="28"/>
          <w:szCs w:val="28"/>
        </w:rPr>
        <w:tab/>
      </w:r>
      <w:r>
        <w:rPr>
          <w:rFonts w:hint="eastAsia"/>
          <w:b/>
          <w:bCs/>
          <w:sz w:val="28"/>
          <w:szCs w:val="28"/>
        </w:rPr>
        <w:t>部门资产情况</w:t>
      </w:r>
      <w:bookmarkEnd w:id="22"/>
    </w:p>
    <w:p>
      <w:pPr>
        <w:spacing w:line="360" w:lineRule="auto"/>
        <w:ind w:firstLine="562" w:firstLineChars="200"/>
        <w:rPr>
          <w:rFonts w:asciiTheme="minorEastAsia" w:hAnsiTheme="minorEastAsia" w:cstheme="minorEastAsia"/>
          <w:sz w:val="28"/>
          <w:szCs w:val="28"/>
        </w:rPr>
      </w:pPr>
      <w:r>
        <w:rPr>
          <w:rFonts w:hint="eastAsia"/>
          <w:b/>
          <w:color w:val="FF0000"/>
          <w:sz w:val="28"/>
          <w:szCs w:val="28"/>
        </w:rPr>
        <w:t xml:space="preserve"> </w:t>
      </w:r>
      <w:r>
        <w:rPr>
          <w:rFonts w:hint="eastAsia" w:asciiTheme="minorEastAsia" w:hAnsiTheme="minorEastAsia" w:cstheme="minorEastAsia"/>
          <w:sz w:val="28"/>
          <w:szCs w:val="28"/>
        </w:rPr>
        <w:t>截至2020年12月31日,县应急局本级</w:t>
      </w:r>
      <w:r>
        <w:rPr>
          <w:rFonts w:hint="eastAsia" w:asciiTheme="minorEastAsia" w:hAnsiTheme="minorEastAsia" w:cstheme="minorEastAsia"/>
          <w:color w:val="auto"/>
          <w:sz w:val="28"/>
          <w:szCs w:val="28"/>
        </w:rPr>
        <w:t>资产总额</w:t>
      </w:r>
      <w:r>
        <w:rPr>
          <w:rFonts w:hint="eastAsia" w:asciiTheme="minorEastAsia" w:hAnsiTheme="minorEastAsia" w:cstheme="minorEastAsia"/>
          <w:color w:val="auto"/>
          <w:sz w:val="28"/>
          <w:szCs w:val="28"/>
          <w:lang w:val="en-US" w:eastAsia="zh-CN"/>
        </w:rPr>
        <w:t>1561.3</w:t>
      </w:r>
      <w:r>
        <w:rPr>
          <w:rFonts w:hint="eastAsia" w:asciiTheme="minorEastAsia" w:hAnsiTheme="minorEastAsia" w:cstheme="minorEastAsia"/>
          <w:color w:val="auto"/>
          <w:sz w:val="28"/>
          <w:szCs w:val="28"/>
        </w:rPr>
        <w:t>万元，其中，固定资产净值</w:t>
      </w:r>
      <w:r>
        <w:rPr>
          <w:rFonts w:hint="eastAsia" w:asciiTheme="minorEastAsia" w:hAnsiTheme="minorEastAsia" w:cstheme="minorEastAsia"/>
          <w:color w:val="auto"/>
          <w:sz w:val="28"/>
          <w:szCs w:val="28"/>
          <w:lang w:val="en-US" w:eastAsia="zh-CN"/>
        </w:rPr>
        <w:t>277.6</w:t>
      </w:r>
      <w:r>
        <w:rPr>
          <w:rFonts w:hint="eastAsia" w:asciiTheme="minorEastAsia" w:hAnsiTheme="minorEastAsia" w:cstheme="minorEastAsia"/>
          <w:color w:val="auto"/>
          <w:sz w:val="28"/>
          <w:szCs w:val="28"/>
        </w:rPr>
        <w:t>万元</w:t>
      </w:r>
      <w:r>
        <w:rPr>
          <w:rFonts w:hint="eastAsia" w:asciiTheme="minorEastAsia" w:hAnsiTheme="minorEastAsia" w:cstheme="minorEastAsia"/>
          <w:sz w:val="28"/>
          <w:szCs w:val="28"/>
        </w:rPr>
        <w:t>；制定了《固定资产管理制度》、《车辆管理制度》、大额资金使用等内部管理制度，</w:t>
      </w:r>
      <w:r>
        <w:rPr>
          <w:rFonts w:hint="eastAsia"/>
          <w:sz w:val="28"/>
          <w:szCs w:val="28"/>
        </w:rPr>
        <w:t>资产运行情况较好。</w:t>
      </w:r>
    </w:p>
    <w:p>
      <w:pPr>
        <w:ind w:firstLine="562" w:firstLineChars="200"/>
        <w:outlineLvl w:val="1"/>
        <w:rPr>
          <w:b/>
          <w:bCs/>
          <w:sz w:val="28"/>
          <w:szCs w:val="28"/>
        </w:rPr>
      </w:pPr>
      <w:bookmarkStart w:id="23" w:name="_Toc74994705"/>
      <w:r>
        <w:rPr>
          <w:rFonts w:hint="eastAsia"/>
          <w:b/>
          <w:bCs/>
          <w:sz w:val="28"/>
          <w:szCs w:val="28"/>
        </w:rPr>
        <w:t>（二）当年部门履职总体目标、工作任务</w:t>
      </w:r>
      <w:bookmarkEnd w:id="23"/>
    </w:p>
    <w:p>
      <w:pPr>
        <w:ind w:firstLine="562" w:firstLineChars="200"/>
        <w:outlineLvl w:val="2"/>
        <w:rPr>
          <w:b/>
          <w:bCs/>
          <w:sz w:val="28"/>
          <w:szCs w:val="28"/>
        </w:rPr>
      </w:pPr>
      <w:bookmarkStart w:id="24" w:name="_Toc74994706"/>
      <w:r>
        <w:rPr>
          <w:rFonts w:hint="eastAsia"/>
          <w:b/>
          <w:bCs/>
          <w:sz w:val="28"/>
          <w:szCs w:val="28"/>
        </w:rPr>
        <w:t>1.</w:t>
      </w:r>
      <w:r>
        <w:rPr>
          <w:rFonts w:hint="eastAsia"/>
          <w:b/>
          <w:bCs/>
          <w:sz w:val="28"/>
          <w:szCs w:val="28"/>
        </w:rPr>
        <w:tab/>
      </w:r>
      <w:r>
        <w:rPr>
          <w:rFonts w:hint="eastAsia"/>
          <w:b/>
          <w:bCs/>
          <w:sz w:val="28"/>
          <w:szCs w:val="28"/>
        </w:rPr>
        <w:t>总体目标</w:t>
      </w:r>
      <w:bookmarkEnd w:id="24"/>
    </w:p>
    <w:p>
      <w:pPr>
        <w:spacing w:line="360" w:lineRule="auto"/>
        <w:ind w:firstLine="560" w:firstLineChars="200"/>
        <w:rPr>
          <w:sz w:val="28"/>
          <w:szCs w:val="28"/>
        </w:rPr>
      </w:pPr>
      <w:r>
        <w:rPr>
          <w:rFonts w:hint="eastAsia"/>
          <w:sz w:val="28"/>
          <w:szCs w:val="28"/>
        </w:rPr>
        <w:t>统筹指导全县应对安全生产类、自然灾害类等突发事件和综合防灾减灾救灾；负责安全生产综合监督管理和工矿商贸行业安全。深入分析研判，加强督导检查，紧盯重点环节，狠抓责任落实，从源头上防范化解重大安全风险，坚决遏制重特大事故发生, 毫不松懈做好安全防范各项工作，不断优化宣传培训和安全检查工作方式方法，强化企业行政执法检查工作，坚决防范遏制各类生产安全事故发生。</w:t>
      </w:r>
    </w:p>
    <w:p>
      <w:pPr>
        <w:spacing w:line="360" w:lineRule="auto"/>
        <w:ind w:firstLine="560" w:firstLineChars="200"/>
        <w:rPr>
          <w:sz w:val="28"/>
          <w:szCs w:val="28"/>
        </w:rPr>
      </w:pPr>
      <w:r>
        <w:rPr>
          <w:rFonts w:hint="eastAsia" w:ascii="Calibri" w:hAnsi="Calibri" w:cs="宋体"/>
          <w:sz w:val="28"/>
          <w:szCs w:val="28"/>
        </w:rPr>
        <w:t>通过项目的实施，保证各种应急反应资源处于良好的备战状态；指导应急反应行动按计划有序地进行，防止因应急反应行动组织不得力或现场救援工作的无序和混乱而延误事故的应急救援；有效地避免或降低人员伤亡和财产损失；实现应急反应行动的快速、有序、高效；充分体现应急救援的“应急精神”。</w:t>
      </w:r>
    </w:p>
    <w:p>
      <w:pPr>
        <w:ind w:firstLine="562" w:firstLineChars="200"/>
        <w:outlineLvl w:val="2"/>
        <w:rPr>
          <w:b/>
          <w:bCs/>
          <w:sz w:val="28"/>
          <w:szCs w:val="28"/>
        </w:rPr>
      </w:pPr>
      <w:bookmarkStart w:id="25" w:name="_Toc74994707"/>
      <w:r>
        <w:rPr>
          <w:rFonts w:hint="eastAsia"/>
          <w:b/>
          <w:bCs/>
          <w:sz w:val="28"/>
          <w:szCs w:val="28"/>
        </w:rPr>
        <w:t>2.</w:t>
      </w:r>
      <w:r>
        <w:rPr>
          <w:rFonts w:hint="eastAsia"/>
          <w:b/>
          <w:bCs/>
          <w:sz w:val="28"/>
          <w:szCs w:val="28"/>
        </w:rPr>
        <w:tab/>
      </w:r>
      <w:r>
        <w:rPr>
          <w:rFonts w:hint="eastAsia"/>
          <w:b/>
          <w:bCs/>
          <w:sz w:val="28"/>
          <w:szCs w:val="28"/>
        </w:rPr>
        <w:t>工作任务</w:t>
      </w:r>
      <w:bookmarkEnd w:id="25"/>
    </w:p>
    <w:p>
      <w:pPr>
        <w:ind w:firstLine="700" w:firstLineChars="250"/>
        <w:rPr>
          <w:rFonts w:hint="eastAsia" w:ascii="Calibri" w:hAnsi="Calibri" w:cs="宋体"/>
          <w:sz w:val="28"/>
          <w:szCs w:val="28"/>
        </w:rPr>
      </w:pPr>
      <w:r>
        <w:rPr>
          <w:rFonts w:hint="eastAsia"/>
          <w:sz w:val="28"/>
          <w:szCs w:val="28"/>
        </w:rPr>
        <w:t>围绕202</w:t>
      </w:r>
      <w:r>
        <w:rPr>
          <w:rFonts w:hint="eastAsia"/>
          <w:sz w:val="28"/>
          <w:szCs w:val="28"/>
          <w:lang w:val="en-US" w:eastAsia="zh-CN"/>
        </w:rPr>
        <w:t>1</w:t>
      </w:r>
      <w:r>
        <w:rPr>
          <w:rFonts w:hint="eastAsia"/>
          <w:sz w:val="28"/>
          <w:szCs w:val="28"/>
        </w:rPr>
        <w:t>年在安全生产、疫情防控、维修维护、防灾减灾、抗旱防汛、宣传培训等方面开展具体了工作任务，并明确202</w:t>
      </w:r>
      <w:r>
        <w:rPr>
          <w:rFonts w:hint="eastAsia"/>
          <w:sz w:val="28"/>
          <w:szCs w:val="28"/>
          <w:lang w:val="en-US" w:eastAsia="zh-CN"/>
        </w:rPr>
        <w:t>1</w:t>
      </w:r>
      <w:r>
        <w:rPr>
          <w:rFonts w:hint="eastAsia"/>
          <w:sz w:val="28"/>
          <w:szCs w:val="28"/>
        </w:rPr>
        <w:t>年底前必须完成。制定应急物资储备和应急救援装备规划并组织实施，指导乡镇（街道）各部门应对安全生产类、自然灾害类等突发事件和综合防灾减灾救灾工作，负责安全生产综合监督管理和工矿商贸行业安全生产监督管理，保障应急工作正常开展。，应急培训和演练，</w:t>
      </w:r>
      <w:r>
        <w:rPr>
          <w:rFonts w:hint="eastAsia" w:ascii="Calibri" w:hAnsi="Calibri" w:cs="宋体"/>
          <w:sz w:val="28"/>
          <w:szCs w:val="28"/>
        </w:rPr>
        <w:t>防止因应急反应行动组织不得力或现场救援工作的无序和混乱而延误事故的应急救援，有效地避免或降低人员伤亡和财产损失；实现快速、有序、高效的应急反应行动。</w:t>
      </w:r>
    </w:p>
    <w:p>
      <w:pPr>
        <w:ind w:firstLine="643" w:firstLineChars="200"/>
        <w:rPr>
          <w:rFonts w:ascii="Arial" w:hAnsi="Arial" w:eastAsia="宋体" w:cs="Arial"/>
          <w:color w:val="333333"/>
          <w:sz w:val="28"/>
          <w:szCs w:val="28"/>
          <w:shd w:val="clear" w:color="auto" w:fill="FFFFFF"/>
        </w:rPr>
      </w:pPr>
      <w:r>
        <w:rPr>
          <w:rFonts w:hint="eastAsia" w:ascii="楷体_GB2312" w:hAnsi="楷体_GB2312" w:eastAsia="楷体_GB2312" w:cs="楷体_GB2312"/>
          <w:b/>
          <w:bCs/>
          <w:sz w:val="32"/>
          <w:szCs w:val="32"/>
        </w:rPr>
        <w:t>（1）安全生产方面。</w:t>
      </w:r>
      <w:r>
        <w:rPr>
          <w:rFonts w:hint="eastAsia" w:ascii="Arial" w:hAnsi="Arial" w:eastAsia="宋体" w:cs="Arial"/>
          <w:color w:val="333333"/>
          <w:sz w:val="28"/>
          <w:szCs w:val="28"/>
          <w:shd w:val="clear" w:color="auto" w:fill="FFFFFF"/>
        </w:rPr>
        <w:t>县委、县政府高度重视安全生产工作，将其作为各项工作的重中之重来抓，做到“月月议安全、逢会讲安全”。一是强化学习调度。县委理论学习中心组将学习传达习近平总书记和李克强总理关于安全生产重要批示精神和《生命重于泰山---学习习近平总书记关于安全生产重要论述》电视片作为重要学习内容，县委常委会研究安全生产工作1次、县政府常务会和县长办公会传达学习和研究安全生产工作达</w:t>
      </w:r>
      <w:r>
        <w:rPr>
          <w:rFonts w:hint="eastAsia" w:ascii="Arial" w:hAnsi="Arial" w:eastAsia="宋体" w:cs="Arial"/>
          <w:color w:val="333333"/>
          <w:sz w:val="28"/>
          <w:szCs w:val="28"/>
          <w:shd w:val="clear" w:color="auto" w:fill="FFFFFF"/>
          <w:lang w:val="en-US" w:eastAsia="zh-CN"/>
        </w:rPr>
        <w:t>7</w:t>
      </w:r>
      <w:r>
        <w:rPr>
          <w:rFonts w:hint="eastAsia" w:ascii="Arial" w:hAnsi="Arial" w:eastAsia="宋体" w:cs="Arial"/>
          <w:color w:val="333333"/>
          <w:sz w:val="28"/>
          <w:szCs w:val="28"/>
          <w:shd w:val="clear" w:color="auto" w:fill="FFFFFF"/>
        </w:rPr>
        <w:t>次、县安委会全体会议及工作调度会达</w:t>
      </w:r>
      <w:r>
        <w:rPr>
          <w:rFonts w:hint="eastAsia" w:ascii="Arial" w:hAnsi="Arial" w:eastAsia="宋体" w:cs="Arial"/>
          <w:color w:val="333333"/>
          <w:sz w:val="28"/>
          <w:szCs w:val="28"/>
          <w:shd w:val="clear" w:color="auto" w:fill="FFFFFF"/>
          <w:lang w:val="en-US" w:eastAsia="zh-CN"/>
        </w:rPr>
        <w:t>9</w:t>
      </w:r>
      <w:r>
        <w:rPr>
          <w:rFonts w:hint="eastAsia" w:ascii="Arial" w:hAnsi="Arial" w:eastAsia="宋体" w:cs="Arial"/>
          <w:color w:val="333333"/>
          <w:sz w:val="28"/>
          <w:szCs w:val="28"/>
          <w:shd w:val="clear" w:color="auto" w:fill="FFFFFF"/>
        </w:rPr>
        <w:t>次，客观分析全县安全生产形势，及时解决安全生产领域重点、难点问题，有针对性地制定加强安全生产工作的办法措施。二是落实工作责任。进一步强化“党政同责、一岗双责、齐抓共管、失职追责”安全生产责任体系建设，重新调整两委三部组成人员，年初县政府对16个乡镇和24个重点涉安职能部门分别下发了安全生产目标责任书，将各项目标任务细化分解到乡（镇）和各涉安职能部门，形成了安全生产工作“权责清晰、齐抓共管”的良好局面；三是加强重点行业领域安全防范。制定并下发了《浮梁县安全生产专项整治三年行动“十大攻坚战”工作方案》《浮梁县安全生产专项整治三年行动实施方案》《2021年应急管理工作要点》等文件，有力推动重点行业领域安全生产防范工作，2021年初，县委县政府对2020年度6个乡镇和11个单位应急管理综合考核工作先进单位予以表彰。四是扎实开展推进安全生产监督检查“双随机、一公开”工作。根据年初制定的《2021年浮梁县应急管理综合行政执法计划》，全县高危行业实行全覆盖，工贸八大类等其他行业实行“双随机、一公开”，检查企业67家，发现安全隐患193处，整改隐患186处，整改率达96.37%</w:t>
      </w:r>
      <w:r>
        <w:rPr>
          <w:rFonts w:hint="eastAsia" w:ascii="Arial" w:hAnsi="Arial" w:eastAsia="宋体" w:cs="Arial"/>
          <w:color w:val="333333"/>
          <w:sz w:val="28"/>
          <w:szCs w:val="28"/>
          <w:shd w:val="clear" w:color="auto" w:fill="FFFFFF"/>
          <w:lang w:eastAsia="zh-CN"/>
        </w:rPr>
        <w:t>，</w:t>
      </w:r>
      <w:r>
        <w:rPr>
          <w:rFonts w:hint="eastAsia" w:ascii="Arial" w:hAnsi="Arial" w:eastAsia="宋体" w:cs="Arial"/>
          <w:color w:val="333333"/>
          <w:sz w:val="28"/>
          <w:szCs w:val="28"/>
          <w:shd w:val="clear" w:color="auto" w:fill="FFFFFF"/>
          <w:lang w:val="en-US" w:eastAsia="zh-CN"/>
        </w:rPr>
        <w:t>4家违法违规企业被列为典型案例</w:t>
      </w:r>
      <w:r>
        <w:rPr>
          <w:rFonts w:hint="eastAsia" w:ascii="Arial" w:hAnsi="Arial" w:eastAsia="宋体" w:cs="Arial"/>
          <w:color w:val="333333"/>
          <w:sz w:val="28"/>
          <w:szCs w:val="28"/>
          <w:shd w:val="clear" w:color="auto" w:fill="FFFFFF"/>
        </w:rPr>
        <w:t>。县消防救援大队在县城内1100多家大型超市个体经营店安装智慧烟感报警装置系统，实现店主手机联网，有效防范了火灾事故的发生。五是推进安全生产三年专项整治攻坚战。自开展三年行动攻坚战以来，共辨识风险点1203处，管控到位1203处，管控率100%。共排查隐患452条，整治到位437条，整改率96.68%，共组织检查组21个，检查单位1214家，责令停产整顿20家，经济处罚</w:t>
      </w:r>
      <w:r>
        <w:rPr>
          <w:rFonts w:hint="eastAsia" w:ascii="Arial" w:hAnsi="Arial" w:eastAsia="宋体" w:cs="Arial"/>
          <w:color w:val="333333"/>
          <w:sz w:val="28"/>
          <w:szCs w:val="28"/>
          <w:shd w:val="clear" w:color="auto" w:fill="FFFFFF"/>
          <w:lang w:val="en-US" w:eastAsia="zh-CN"/>
        </w:rPr>
        <w:t>73</w:t>
      </w:r>
      <w:r>
        <w:rPr>
          <w:rFonts w:hint="eastAsia" w:ascii="Arial" w:hAnsi="Arial" w:eastAsia="宋体" w:cs="Arial"/>
          <w:color w:val="333333"/>
          <w:sz w:val="28"/>
          <w:szCs w:val="28"/>
          <w:shd w:val="clear" w:color="auto" w:fill="FFFFFF"/>
        </w:rPr>
        <w:t>万</w:t>
      </w:r>
      <w:r>
        <w:rPr>
          <w:rFonts w:hint="eastAsia" w:ascii="Arial" w:hAnsi="Arial" w:eastAsia="宋体" w:cs="Arial"/>
          <w:color w:val="333333"/>
          <w:sz w:val="28"/>
          <w:szCs w:val="28"/>
          <w:shd w:val="clear" w:color="auto" w:fill="FFFFFF"/>
          <w:lang w:val="en-US" w:eastAsia="zh-CN"/>
        </w:rPr>
        <w:t>余</w:t>
      </w:r>
      <w:r>
        <w:rPr>
          <w:rFonts w:hint="eastAsia" w:ascii="Arial" w:hAnsi="Arial" w:eastAsia="宋体" w:cs="Arial"/>
          <w:color w:val="333333"/>
          <w:sz w:val="28"/>
          <w:szCs w:val="28"/>
          <w:shd w:val="clear" w:color="auto" w:fill="FFFFFF"/>
        </w:rPr>
        <w:t>元，约谈34次，如4月7日开展了危险化学品经营企业负责人集体约谈会。 六是推进省安委会安全生产检查组问题整改工作。针对检查发现县4个企业11个安全问题已经全部整改落实到位。七是推进安全生产宣传教育工作。</w:t>
      </w:r>
      <w:r>
        <w:rPr>
          <w:rFonts w:hint="eastAsia" w:ascii="Arial" w:hAnsi="Arial" w:eastAsia="宋体" w:cs="Arial"/>
          <w:color w:val="333333"/>
          <w:sz w:val="28"/>
          <w:szCs w:val="28"/>
          <w:shd w:val="clear" w:color="auto" w:fill="FFFFFF"/>
          <w:lang w:val="en-US" w:eastAsia="zh-CN"/>
        </w:rPr>
        <w:t>10月18日至29日县委组织部、县委党校组织的全县机关、企事业单位、两新党支部书记培训班，把</w:t>
      </w:r>
      <w:r>
        <w:rPr>
          <w:rFonts w:hint="eastAsia" w:ascii="Arial" w:hAnsi="Arial" w:eastAsia="宋体" w:cs="Arial"/>
          <w:color w:val="333333"/>
          <w:sz w:val="28"/>
          <w:szCs w:val="28"/>
          <w:shd w:val="clear" w:color="auto" w:fill="FFFFFF"/>
        </w:rPr>
        <w:t>新《安全生产法》</w:t>
      </w:r>
      <w:r>
        <w:rPr>
          <w:rFonts w:hint="eastAsia" w:ascii="Arial" w:hAnsi="Arial" w:eastAsia="宋体" w:cs="Arial"/>
          <w:color w:val="333333"/>
          <w:sz w:val="28"/>
          <w:szCs w:val="28"/>
          <w:shd w:val="clear" w:color="auto" w:fill="FFFFFF"/>
          <w:lang w:val="en-US" w:eastAsia="zh-CN"/>
        </w:rPr>
        <w:t>作为重要培训内容，培训人员达300余人；</w:t>
      </w:r>
      <w:r>
        <w:rPr>
          <w:rFonts w:hint="eastAsia" w:ascii="Arial" w:hAnsi="Arial" w:eastAsia="宋体" w:cs="Arial"/>
          <w:color w:val="333333"/>
          <w:sz w:val="28"/>
          <w:szCs w:val="28"/>
          <w:shd w:val="clear" w:color="auto" w:fill="FFFFFF"/>
        </w:rPr>
        <w:t>5月26日组织工贸行业管理人员和从业人员培训班，培训人员达80余人；组织全县非煤矿山企业新《安全生产法》培训班，6月25日培训人员达50余人，</w:t>
      </w:r>
      <w:r>
        <w:rPr>
          <w:rFonts w:hint="eastAsia" w:ascii="Arial" w:hAnsi="Arial" w:eastAsia="宋体" w:cs="Arial"/>
          <w:color w:val="333333"/>
          <w:sz w:val="28"/>
          <w:szCs w:val="28"/>
          <w:shd w:val="clear" w:color="auto" w:fill="FFFFFF"/>
          <w:lang w:val="en-US" w:eastAsia="zh-CN"/>
        </w:rPr>
        <w:t>10月10日组织全县烟花爆竹零售经营户延期换证负责人培训班，培训人员达66人，</w:t>
      </w:r>
      <w:r>
        <w:rPr>
          <w:rFonts w:hint="eastAsia" w:ascii="Arial" w:hAnsi="Arial" w:eastAsia="宋体" w:cs="Arial"/>
          <w:color w:val="333333"/>
          <w:sz w:val="28"/>
          <w:szCs w:val="28"/>
          <w:shd w:val="clear" w:color="auto" w:fill="FFFFFF"/>
        </w:rPr>
        <w:t>为高危行业高质量发展、安全发展提供智力支持。</w:t>
      </w:r>
    </w:p>
    <w:p>
      <w:pPr>
        <w:ind w:firstLine="560" w:firstLineChars="200"/>
        <w:rPr>
          <w:rFonts w:ascii="Arial" w:hAnsi="Arial" w:eastAsia="宋体" w:cs="Arial"/>
          <w:color w:val="333333"/>
          <w:sz w:val="28"/>
          <w:szCs w:val="28"/>
          <w:shd w:val="clear" w:color="auto" w:fill="FFFFFF"/>
        </w:rPr>
      </w:pPr>
      <w:r>
        <w:rPr>
          <w:rFonts w:hint="eastAsia" w:ascii="Arial" w:hAnsi="Arial" w:eastAsia="宋体" w:cs="Arial"/>
          <w:color w:val="333333"/>
          <w:sz w:val="28"/>
          <w:szCs w:val="28"/>
          <w:shd w:val="clear" w:color="auto" w:fill="FFFFFF"/>
        </w:rPr>
        <w:t>（2）防汛方面。一是提早谋划，扎实做好备汛工作。4月9日召开了全县安委会全体成员（扩大）暨防汛工作会议，对2021年防汛工作进行了全面部署，相继出台了《2021年县防指有关成员单位防汛物资储备任务》，积极做好五个方面的准备，即工程准备、物料准备、预案准备、队伍准备、抢险准备，严格落实抢险应急方案。县财政安排资金20万元补充防汛物资，投资103万元购置2台水陆两栖车和皮划艇，添置20台卫星电话。二是落实责任、强化措施。县政府与各乡镇签订了《防汛目标责任书》《地质灾害目标责任书》，印发了《关于2021年县级领导干部汛期分片负责安排的通知》《关于2021年度防汛抗旱指挥部成员分工的通知》《关于2021年防指部份成员汛期分片负责安排的通知》，完善防汛抗旱指挥部及其成员单位工作职责。同时，强化基层防汛抗旱组织建设，抓好机构和人员到位及物资保障工作。三是强化检查督查，确保防汛安全。6月30日县委书记胡春平、县长程新宇坐阵县应急救援指挥中心调度全县防汛工作，所有副县级以上干部、县防指各成员单位负责人立即赴挂点乡镇督导防汛工作。县防指办对乡镇和县直部门防指成员单位开展防汛物资储备检查，对检查发现的问题，县防指及时下达整改指令。四是严肃纪律，强化值班值守。县防汛抗旱指挥部办公室印发文件，明确了县应急管理局会同县水利局落实汛期24小时值班值守工作，县机构改革后，汛期指挥部办公室正常运转，工作无缝对接，实现了“不死一人、不倒一库”防汛总目标。</w:t>
      </w:r>
    </w:p>
    <w:p>
      <w:pPr>
        <w:ind w:firstLine="560" w:firstLineChars="200"/>
        <w:rPr>
          <w:rFonts w:hint="eastAsia" w:ascii="Arial" w:hAnsi="Arial" w:eastAsia="宋体" w:cs="Arial"/>
          <w:color w:val="333333"/>
          <w:sz w:val="28"/>
          <w:szCs w:val="28"/>
          <w:shd w:val="clear" w:color="auto" w:fill="FFFFFF"/>
        </w:rPr>
      </w:pPr>
      <w:r>
        <w:rPr>
          <w:rFonts w:hint="eastAsia" w:ascii="Arial" w:hAnsi="Arial" w:eastAsia="宋体" w:cs="Arial"/>
          <w:color w:val="333333"/>
          <w:sz w:val="28"/>
          <w:szCs w:val="28"/>
          <w:shd w:val="clear" w:color="auto" w:fill="FFFFFF"/>
        </w:rPr>
        <w:t>（3）森林防灭火方面。未发生大的森林火灾和人员伤亡事故。一是及时调度。县政府与乡（镇）、森林经营单位签订了森林防火责任状17份，乡（镇）与村签订森林防火责任状149份，修订了《浮梁县森林火灾预案》。1月5日县应急管理局、县林业局联合蛟潭镇、峙滩镇、经公桥镇开展了一次扑火实战演练；3月31日召开了浮梁县、祁门县、休宁县边界应急联防联控协调工作会议，会上签订了浮梁县、祁门县、休宁县边界应急联防联控合作协议书，4月28日西湖乡与安微省祁门县专业森林消防队联合开展了一次森林火灾扑救应急演练；</w:t>
      </w:r>
      <w:r>
        <w:rPr>
          <w:rFonts w:hint="eastAsia" w:ascii="Arial" w:hAnsi="Arial" w:eastAsia="宋体" w:cs="Arial"/>
          <w:color w:val="333333"/>
          <w:sz w:val="28"/>
          <w:szCs w:val="28"/>
          <w:shd w:val="clear" w:color="auto" w:fill="FFFFFF"/>
          <w:lang w:val="en-US" w:eastAsia="zh-CN"/>
        </w:rPr>
        <w:t>8月16日至26日县防灭火指挥部办对16个乡镇480余名半专业扑火队员开展为期10天森林防灭火理论和技能培训。</w:t>
      </w:r>
      <w:r>
        <w:rPr>
          <w:rFonts w:hint="eastAsia" w:ascii="Arial" w:hAnsi="Arial" w:eastAsia="宋体" w:cs="Arial"/>
          <w:color w:val="333333"/>
          <w:sz w:val="28"/>
          <w:szCs w:val="28"/>
          <w:shd w:val="clear" w:color="auto" w:fill="FFFFFF"/>
        </w:rPr>
        <w:t>二是加强督查。由县森防指办牵头，县应急管理局、县林业局、县森林公安局组成两个工作组对17个乡镇森林防灭火工作督查。三是强化保障。在县财政安排预算143.6万元的基础上增加了35.92万元，采购队员装备和扑火设备达13.53万元，投资14万元建设体能训练室和森林消防专用车辆棚。四是加强宣传。做到“三突出”（广泛开展全民防火宣传，突出重点人群宣传），如全县各中小学校共上森林防火宣传课1000课时，1月18日及时发布《浮梁县人民政府森林防火禁火令》5000余份。</w:t>
      </w:r>
    </w:p>
    <w:p>
      <w:pPr>
        <w:ind w:firstLine="560" w:firstLineChars="200"/>
        <w:rPr>
          <w:rFonts w:hint="eastAsia" w:ascii="Arial" w:hAnsi="Arial" w:eastAsia="宋体" w:cs="Arial"/>
          <w:color w:val="333333"/>
          <w:sz w:val="28"/>
          <w:szCs w:val="28"/>
          <w:shd w:val="clear" w:color="auto" w:fill="FFFFFF"/>
        </w:rPr>
      </w:pPr>
      <w:r>
        <w:rPr>
          <w:rFonts w:hint="eastAsia" w:ascii="Arial" w:hAnsi="Arial" w:eastAsia="宋体" w:cs="Arial"/>
          <w:color w:val="333333"/>
          <w:sz w:val="28"/>
          <w:szCs w:val="28"/>
          <w:shd w:val="clear" w:color="auto" w:fill="FFFFFF"/>
        </w:rPr>
        <w:t>（4）减灾救灾方面。一是</w:t>
      </w:r>
      <w:r>
        <w:rPr>
          <w:rFonts w:hint="eastAsia" w:ascii="Arial" w:hAnsi="Arial" w:eastAsia="宋体" w:cs="Arial"/>
          <w:color w:val="333333"/>
          <w:sz w:val="28"/>
          <w:szCs w:val="28"/>
          <w:shd w:val="clear" w:color="auto" w:fill="FFFFFF"/>
          <w:lang w:val="en-US" w:eastAsia="zh-CN"/>
        </w:rPr>
        <w:t>做好自然灾害风险综合普查工作。由县应急管理局牵头，在有关职能部门配合下，基本完成了自然灾害风险综合调查普查工作。二是</w:t>
      </w:r>
      <w:r>
        <w:rPr>
          <w:rFonts w:hint="eastAsia" w:ascii="Arial" w:hAnsi="Arial" w:eastAsia="宋体" w:cs="Arial"/>
          <w:color w:val="333333"/>
          <w:sz w:val="28"/>
          <w:szCs w:val="28"/>
          <w:shd w:val="clear" w:color="auto" w:fill="FFFFFF"/>
        </w:rPr>
        <w:t>做好救灾物资保障工作。1月24日发放冬春救助救灾物资棉被890床、被套890床、毛毯890床、羽绒服890床、菜籽油540桶、大米540袋。在“5.23”洪灾期间，发放折叠床200副、毛毯440床、棉被420床</w:t>
      </w:r>
      <w:r>
        <w:rPr>
          <w:rFonts w:hint="eastAsia" w:ascii="Arial" w:hAnsi="Arial" w:eastAsia="宋体" w:cs="Arial"/>
          <w:color w:val="333333"/>
          <w:sz w:val="28"/>
          <w:szCs w:val="28"/>
          <w:shd w:val="clear" w:color="auto" w:fill="FFFFFF"/>
          <w:lang w:eastAsia="zh-CN"/>
        </w:rPr>
        <w:t>；</w:t>
      </w:r>
      <w:r>
        <w:rPr>
          <w:rFonts w:hint="eastAsia" w:ascii="Arial" w:hAnsi="Arial" w:eastAsia="宋体" w:cs="Arial"/>
          <w:color w:val="333333"/>
          <w:sz w:val="28"/>
          <w:szCs w:val="28"/>
          <w:shd w:val="clear" w:color="auto" w:fill="FFFFFF"/>
          <w:lang w:val="en-US" w:eastAsia="zh-CN"/>
        </w:rPr>
        <w:t>8月6日调用救灾物资帐篷3副给瑶里镇；8月18日调用救灾物资棉被20床、毛毯20床、羽绒服20件给浮梁镇。三</w:t>
      </w:r>
      <w:r>
        <w:rPr>
          <w:rFonts w:hint="eastAsia" w:ascii="Arial" w:hAnsi="Arial" w:eastAsia="宋体" w:cs="Arial"/>
          <w:color w:val="333333"/>
          <w:sz w:val="28"/>
          <w:szCs w:val="28"/>
          <w:shd w:val="clear" w:color="auto" w:fill="FFFFFF"/>
        </w:rPr>
        <w:t>是加大资金投入。县政府常务会议安排了393.02万元,用于县应急救援指挥平台建设，目前已完工并投入使用。此项工作得到了国家省市领导的充分肯定。</w:t>
      </w:r>
      <w:r>
        <w:rPr>
          <w:rFonts w:hint="eastAsia" w:ascii="Arial" w:hAnsi="Arial" w:eastAsia="宋体" w:cs="Arial"/>
          <w:color w:val="333333"/>
          <w:sz w:val="28"/>
          <w:szCs w:val="28"/>
          <w:shd w:val="clear" w:color="auto" w:fill="FFFFFF"/>
          <w:lang w:val="en-US" w:eastAsia="zh-CN"/>
        </w:rPr>
        <w:t>四</w:t>
      </w:r>
      <w:r>
        <w:rPr>
          <w:rFonts w:hint="eastAsia" w:ascii="Arial" w:hAnsi="Arial" w:eastAsia="宋体" w:cs="Arial"/>
          <w:color w:val="333333"/>
          <w:sz w:val="28"/>
          <w:szCs w:val="28"/>
          <w:shd w:val="clear" w:color="auto" w:fill="FFFFFF"/>
        </w:rPr>
        <w:t>是巩固加强“县—乡—村”三级灾情报送体系。完善灾情信息员183人，建立减灾委统筹、应急管理部门牵头的灾情会商和信息共享机制，提升灾情管理工作的时效性、准确性、科学性。</w:t>
      </w:r>
      <w:r>
        <w:rPr>
          <w:rFonts w:hint="eastAsia" w:ascii="Arial" w:hAnsi="Arial" w:eastAsia="宋体" w:cs="Arial"/>
          <w:color w:val="333333"/>
          <w:sz w:val="28"/>
          <w:szCs w:val="28"/>
          <w:shd w:val="clear" w:color="auto" w:fill="FFFFFF"/>
          <w:lang w:val="en-US" w:eastAsia="zh-CN"/>
        </w:rPr>
        <w:t>五</w:t>
      </w:r>
      <w:r>
        <w:rPr>
          <w:rFonts w:hint="eastAsia" w:ascii="Arial" w:hAnsi="Arial" w:eastAsia="宋体" w:cs="Arial"/>
          <w:color w:val="333333"/>
          <w:sz w:val="28"/>
          <w:szCs w:val="28"/>
          <w:shd w:val="clear" w:color="auto" w:fill="FFFFFF"/>
        </w:rPr>
        <w:t>是强化政策保障。推进了全县农村住房保险工作，为应对不可抗拒自然灾害农房保险工作奠定了基础。印发了《关于印发浮梁县2021年政策性农村住房保险实施方案的通知》，据统计全县应参保51404户，实际参保47865户，农户自缴保费143695元，提升农村人口住房保险的保障水平。</w:t>
      </w:r>
    </w:p>
    <w:p>
      <w:pPr>
        <w:ind w:firstLine="560" w:firstLineChars="200"/>
        <w:rPr>
          <w:rFonts w:hint="eastAsia" w:ascii="Arial" w:hAnsi="Arial" w:eastAsia="宋体" w:cs="Arial"/>
          <w:color w:val="333333"/>
          <w:sz w:val="28"/>
          <w:szCs w:val="28"/>
          <w:shd w:val="clear" w:color="auto" w:fill="FFFFFF"/>
        </w:rPr>
      </w:pPr>
      <w:r>
        <w:rPr>
          <w:rFonts w:hint="eastAsia" w:ascii="Arial" w:hAnsi="Arial" w:eastAsia="宋体" w:cs="Arial"/>
          <w:color w:val="333333"/>
          <w:sz w:val="28"/>
          <w:szCs w:val="28"/>
          <w:shd w:val="clear" w:color="auto" w:fill="FFFFFF"/>
        </w:rPr>
        <w:t>（5）防震减灾方面。一是着力提升地震应急处置能力。加强地震救援工作队伍和装备建设，以县消防救援大队和县专业森林消防大队主力军为骨干，充分发挥社会、市场、企业的作用，形成地震应急救援合力，积极组织开展应急演练，落实加强灾害信息员队伍建设。二是着力提升地震灾害防御能力。及时修定了《浮梁县突发地质灾害应急预案》</w:t>
      </w:r>
      <w:r>
        <w:rPr>
          <w:rFonts w:hint="eastAsia" w:ascii="Arial" w:hAnsi="Arial" w:eastAsia="宋体" w:cs="Arial"/>
          <w:color w:val="333333"/>
          <w:sz w:val="28"/>
          <w:szCs w:val="28"/>
          <w:shd w:val="clear" w:color="auto" w:fill="FFFFFF"/>
          <w:lang w:val="en-US" w:eastAsia="zh-CN"/>
        </w:rPr>
        <w:t>和《浮梁县突发事件总体应急预案》</w:t>
      </w:r>
      <w:r>
        <w:rPr>
          <w:rFonts w:hint="eastAsia" w:ascii="Arial" w:hAnsi="Arial" w:eastAsia="宋体" w:cs="Arial"/>
          <w:color w:val="333333"/>
          <w:sz w:val="28"/>
          <w:szCs w:val="28"/>
          <w:shd w:val="clear" w:color="auto" w:fill="FFFFFF"/>
        </w:rPr>
        <w:t>，落实地震灾害防治的行业部门管理责任，共同推进抗震设防要求落实。三是着力提升地震信息服务能力。坚持不懈做好震情监视跟踪工作，依法加强地震监测设施和观测环境保护。四是着力加强防灾减灾救灾教育。在县供销社门口集中开展了“5.12”全国防灾减灾日宣传活动，防灾减灾日开展有奖竞答活动，发放宣传资料5000份，答复群众咨询200人次。</w:t>
      </w:r>
    </w:p>
    <w:p>
      <w:pPr>
        <w:ind w:firstLine="562" w:firstLineChars="200"/>
        <w:outlineLvl w:val="1"/>
        <w:rPr>
          <w:b/>
          <w:bCs/>
          <w:sz w:val="28"/>
          <w:szCs w:val="28"/>
        </w:rPr>
      </w:pPr>
      <w:bookmarkStart w:id="26" w:name="_Toc74994708"/>
      <w:r>
        <w:rPr>
          <w:rFonts w:hint="eastAsia"/>
          <w:b/>
          <w:bCs/>
          <w:sz w:val="28"/>
          <w:szCs w:val="28"/>
        </w:rPr>
        <w:t>（三）当年部门年度整体支出绩效目标</w:t>
      </w:r>
      <w:bookmarkEnd w:id="26"/>
    </w:p>
    <w:p>
      <w:pPr>
        <w:ind w:firstLine="560" w:firstLineChars="200"/>
        <w:outlineLvl w:val="1"/>
        <w:rPr>
          <w:rFonts w:hint="eastAsia" w:ascii="宋体" w:hAnsi="宋体"/>
          <w:sz w:val="28"/>
          <w:szCs w:val="28"/>
        </w:rPr>
      </w:pPr>
      <w:bookmarkStart w:id="27" w:name="_Toc74994714"/>
      <w:r>
        <w:rPr>
          <w:rFonts w:hint="eastAsia" w:ascii="宋体" w:hAnsi="宋体"/>
          <w:sz w:val="28"/>
          <w:szCs w:val="28"/>
        </w:rPr>
        <w:t>1、防止和减轻洪水灾害；</w:t>
      </w:r>
    </w:p>
    <w:p>
      <w:pPr>
        <w:ind w:firstLine="560" w:firstLineChars="200"/>
        <w:outlineLvl w:val="1"/>
        <w:rPr>
          <w:rFonts w:hint="eastAsia" w:ascii="宋体" w:hAnsi="宋体"/>
          <w:sz w:val="28"/>
          <w:szCs w:val="28"/>
        </w:rPr>
      </w:pPr>
      <w:r>
        <w:rPr>
          <w:rFonts w:hint="eastAsia" w:ascii="宋体" w:hAnsi="宋体"/>
          <w:sz w:val="28"/>
          <w:szCs w:val="28"/>
        </w:rPr>
        <w:t>2、进行森林防火通信系统建设，保障森林防火安全；</w:t>
      </w:r>
    </w:p>
    <w:p>
      <w:pPr>
        <w:ind w:firstLine="560" w:firstLineChars="200"/>
        <w:outlineLvl w:val="1"/>
        <w:rPr>
          <w:rFonts w:hint="eastAsia" w:ascii="宋体" w:hAnsi="宋体"/>
          <w:sz w:val="28"/>
          <w:szCs w:val="28"/>
        </w:rPr>
      </w:pPr>
      <w:r>
        <w:rPr>
          <w:rFonts w:hint="eastAsia" w:ascii="宋体" w:hAnsi="宋体"/>
          <w:sz w:val="28"/>
          <w:szCs w:val="28"/>
        </w:rPr>
        <w:t>3、保证机构改革人员转隶顺利进行；</w:t>
      </w:r>
    </w:p>
    <w:p>
      <w:pPr>
        <w:ind w:firstLine="560" w:firstLineChars="200"/>
        <w:outlineLvl w:val="1"/>
        <w:rPr>
          <w:rFonts w:hint="eastAsia" w:ascii="宋体" w:hAnsi="宋体"/>
          <w:sz w:val="28"/>
          <w:szCs w:val="28"/>
        </w:rPr>
      </w:pPr>
      <w:r>
        <w:rPr>
          <w:rFonts w:hint="eastAsia" w:ascii="宋体" w:hAnsi="宋体"/>
          <w:sz w:val="28"/>
          <w:szCs w:val="28"/>
        </w:rPr>
        <w:t>4、保护自然资源，保障消防队的工资及福利；</w:t>
      </w:r>
    </w:p>
    <w:p>
      <w:pPr>
        <w:ind w:firstLine="560" w:firstLineChars="200"/>
        <w:outlineLvl w:val="1"/>
        <w:rPr>
          <w:rFonts w:hint="eastAsia" w:ascii="宋体" w:hAnsi="宋体"/>
          <w:sz w:val="28"/>
          <w:szCs w:val="28"/>
        </w:rPr>
      </w:pPr>
      <w:r>
        <w:rPr>
          <w:rFonts w:hint="eastAsia" w:ascii="宋体" w:hAnsi="宋体"/>
          <w:sz w:val="28"/>
          <w:szCs w:val="28"/>
        </w:rPr>
        <w:t>5、保障森林防火工作的基本支出，保护自然资源；</w:t>
      </w:r>
    </w:p>
    <w:p>
      <w:pPr>
        <w:ind w:firstLine="560" w:firstLineChars="200"/>
        <w:outlineLvl w:val="1"/>
        <w:rPr>
          <w:rFonts w:hint="eastAsia" w:ascii="宋体" w:hAnsi="宋体"/>
          <w:sz w:val="28"/>
          <w:szCs w:val="28"/>
        </w:rPr>
      </w:pPr>
      <w:r>
        <w:rPr>
          <w:rFonts w:hint="eastAsia" w:ascii="宋体" w:hAnsi="宋体"/>
          <w:sz w:val="28"/>
          <w:szCs w:val="28"/>
        </w:rPr>
        <w:t>6、制定应急物资储备和应急救援装备规划并组织实施，指导乡镇（街道）各部门应对安全生产类、自然灾害类等突发事件和综合防灾减灾救灾工作；负责安全生产综合监督管理和工矿商贸行业安全生产监督管理，保障应急工作正常开展。</w:t>
      </w:r>
    </w:p>
    <w:p>
      <w:pPr>
        <w:ind w:firstLine="562" w:firstLineChars="200"/>
        <w:outlineLvl w:val="1"/>
        <w:rPr>
          <w:b/>
          <w:bCs/>
          <w:sz w:val="28"/>
          <w:szCs w:val="28"/>
        </w:rPr>
      </w:pPr>
      <w:bookmarkStart w:id="45" w:name="_GoBack"/>
      <w:bookmarkEnd w:id="45"/>
      <w:r>
        <w:rPr>
          <w:rFonts w:hint="eastAsia"/>
          <w:b/>
          <w:bCs/>
          <w:sz w:val="28"/>
          <w:szCs w:val="28"/>
        </w:rPr>
        <w:t>（四）部门预算绩效管理开展情况</w:t>
      </w:r>
      <w:bookmarkEnd w:id="27"/>
    </w:p>
    <w:p>
      <w:pPr>
        <w:ind w:firstLine="562" w:firstLineChars="200"/>
        <w:rPr>
          <w:sz w:val="28"/>
          <w:szCs w:val="28"/>
        </w:rPr>
      </w:pPr>
      <w:r>
        <w:rPr>
          <w:rFonts w:hint="eastAsia"/>
          <w:b/>
          <w:bCs/>
          <w:sz w:val="28"/>
          <w:szCs w:val="28"/>
        </w:rPr>
        <w:t>1.</w:t>
      </w:r>
      <w:r>
        <w:rPr>
          <w:rFonts w:hint="eastAsia"/>
          <w:b/>
          <w:bCs/>
          <w:sz w:val="28"/>
          <w:szCs w:val="28"/>
        </w:rPr>
        <w:tab/>
      </w:r>
      <w:r>
        <w:rPr>
          <w:rFonts w:hint="eastAsia"/>
          <w:b/>
          <w:bCs/>
          <w:sz w:val="28"/>
          <w:szCs w:val="28"/>
        </w:rPr>
        <w:t>合理设置预算绩效管理目标。</w:t>
      </w:r>
      <w:r>
        <w:rPr>
          <w:rFonts w:hint="eastAsia"/>
          <w:sz w:val="28"/>
          <w:szCs w:val="28"/>
        </w:rPr>
        <w:t>我单位按照省财政绩效相关管理要求，结合部门职责和当年工作任务，确定当年部门预算绩效管理目标，优化绩效指标体系和设置绩效评价标准。</w:t>
      </w:r>
    </w:p>
    <w:p>
      <w:pPr>
        <w:ind w:firstLine="562" w:firstLineChars="200"/>
        <w:rPr>
          <w:sz w:val="28"/>
          <w:szCs w:val="28"/>
        </w:rPr>
      </w:pPr>
      <w:r>
        <w:rPr>
          <w:rFonts w:hint="eastAsia"/>
          <w:b/>
          <w:bCs/>
          <w:sz w:val="28"/>
          <w:szCs w:val="28"/>
        </w:rPr>
        <w:t>2.</w:t>
      </w:r>
      <w:r>
        <w:rPr>
          <w:rFonts w:hint="eastAsia"/>
          <w:b/>
          <w:bCs/>
          <w:sz w:val="28"/>
          <w:szCs w:val="28"/>
        </w:rPr>
        <w:tab/>
      </w:r>
      <w:r>
        <w:rPr>
          <w:rFonts w:hint="eastAsia"/>
          <w:b/>
          <w:bCs/>
          <w:sz w:val="28"/>
          <w:szCs w:val="28"/>
        </w:rPr>
        <w:t>定期开展预算绩效执行分析。</w:t>
      </w:r>
      <w:r>
        <w:rPr>
          <w:rFonts w:hint="eastAsia"/>
          <w:sz w:val="28"/>
          <w:szCs w:val="28"/>
        </w:rPr>
        <w:t>结合设定的绩效管理目标，加强对预算绩效执行日常管理和监控，定期对执行信息进行收集、审核、分析；分析偏离绩效目标的原因，并及时采取纠偏措施。</w:t>
      </w:r>
    </w:p>
    <w:p>
      <w:pPr>
        <w:ind w:firstLine="562" w:firstLineChars="200"/>
        <w:rPr>
          <w:sz w:val="28"/>
          <w:szCs w:val="28"/>
        </w:rPr>
      </w:pPr>
      <w:r>
        <w:rPr>
          <w:rFonts w:hint="eastAsia"/>
          <w:b/>
          <w:sz w:val="28"/>
          <w:szCs w:val="28"/>
        </w:rPr>
        <w:t>3.</w:t>
      </w:r>
      <w:r>
        <w:rPr>
          <w:rFonts w:hint="eastAsia"/>
          <w:b/>
          <w:sz w:val="28"/>
          <w:szCs w:val="28"/>
        </w:rPr>
        <w:tab/>
      </w:r>
      <w:r>
        <w:rPr>
          <w:rFonts w:hint="eastAsia"/>
          <w:b/>
          <w:sz w:val="28"/>
          <w:szCs w:val="28"/>
        </w:rPr>
        <w:t>高度重视预算绩效管理自评工作</w:t>
      </w:r>
      <w:r>
        <w:rPr>
          <w:rFonts w:hint="eastAsia"/>
          <w:sz w:val="28"/>
          <w:szCs w:val="28"/>
        </w:rPr>
        <w:t>。在年度终了或项目完成时，按照“查问题、找原因”的思路，开展预算绩效管理自评工作，对照设定的绩效管理目标和评价标准，找出我单位在当前预算绩效管理工作中存在的不足和问题。</w:t>
      </w:r>
    </w:p>
    <w:p>
      <w:pPr>
        <w:ind w:firstLine="562" w:firstLineChars="200"/>
        <w:rPr>
          <w:sz w:val="28"/>
          <w:szCs w:val="28"/>
        </w:rPr>
      </w:pPr>
      <w:r>
        <w:rPr>
          <w:rFonts w:hint="eastAsia"/>
          <w:b/>
          <w:bCs/>
          <w:sz w:val="28"/>
          <w:szCs w:val="28"/>
        </w:rPr>
        <w:t>4.</w:t>
      </w:r>
      <w:r>
        <w:rPr>
          <w:rFonts w:hint="eastAsia"/>
          <w:b/>
          <w:bCs/>
          <w:sz w:val="28"/>
          <w:szCs w:val="28"/>
        </w:rPr>
        <w:tab/>
      </w:r>
      <w:r>
        <w:rPr>
          <w:rFonts w:hint="eastAsia"/>
          <w:b/>
          <w:bCs/>
          <w:sz w:val="28"/>
          <w:szCs w:val="28"/>
        </w:rPr>
        <w:t>充分利用预算绩效管理评价结果。</w:t>
      </w:r>
      <w:r>
        <w:rPr>
          <w:rFonts w:hint="eastAsia"/>
          <w:sz w:val="28"/>
          <w:szCs w:val="28"/>
        </w:rPr>
        <w:t>根据预算绩效评价中找出的问题和原因，进行整改，同时，将评价结果作为次年预算编制的依据，从而进一步提升我单位预算绩效管理水平。</w:t>
      </w:r>
    </w:p>
    <w:p>
      <w:pPr>
        <w:ind w:firstLine="562" w:firstLineChars="200"/>
        <w:outlineLvl w:val="1"/>
        <w:rPr>
          <w:b/>
          <w:bCs/>
          <w:sz w:val="28"/>
          <w:szCs w:val="28"/>
        </w:rPr>
      </w:pPr>
      <w:bookmarkStart w:id="28" w:name="_Toc74994716"/>
      <w:r>
        <w:rPr>
          <w:rFonts w:hint="eastAsia"/>
          <w:b/>
          <w:bCs/>
          <w:sz w:val="28"/>
          <w:szCs w:val="28"/>
        </w:rPr>
        <w:t>（五）当年部门预算及执行情况</w:t>
      </w:r>
      <w:bookmarkEnd w:id="28"/>
    </w:p>
    <w:p>
      <w:pPr>
        <w:ind w:firstLine="562" w:firstLineChars="200"/>
        <w:outlineLvl w:val="2"/>
        <w:rPr>
          <w:b/>
          <w:bCs/>
          <w:sz w:val="28"/>
          <w:szCs w:val="28"/>
        </w:rPr>
      </w:pPr>
      <w:bookmarkStart w:id="29" w:name="_Toc74994717"/>
      <w:r>
        <w:rPr>
          <w:rFonts w:hint="eastAsia"/>
          <w:b/>
          <w:bCs/>
          <w:sz w:val="28"/>
          <w:szCs w:val="28"/>
        </w:rPr>
        <w:t>1.</w:t>
      </w:r>
      <w:r>
        <w:rPr>
          <w:rFonts w:hint="eastAsia"/>
          <w:b/>
          <w:bCs/>
          <w:sz w:val="28"/>
          <w:szCs w:val="28"/>
        </w:rPr>
        <w:tab/>
      </w:r>
      <w:r>
        <w:rPr>
          <w:rFonts w:hint="eastAsia"/>
          <w:b/>
          <w:bCs/>
          <w:sz w:val="28"/>
          <w:szCs w:val="28"/>
        </w:rPr>
        <w:t>部门预算情况</w:t>
      </w:r>
      <w:bookmarkEnd w:id="29"/>
    </w:p>
    <w:p>
      <w:pPr>
        <w:ind w:firstLine="560" w:firstLineChars="200"/>
        <w:rPr>
          <w:rFonts w:ascii="宋体" w:hAnsi="宋体" w:eastAsia="宋体" w:cs="宋体"/>
          <w:sz w:val="28"/>
          <w:szCs w:val="28"/>
        </w:rPr>
      </w:pPr>
      <w:r>
        <w:rPr>
          <w:rFonts w:hint="eastAsia" w:ascii="宋体" w:hAnsi="宋体" w:eastAsia="宋体" w:cs="宋体"/>
          <w:sz w:val="28"/>
          <w:szCs w:val="28"/>
        </w:rPr>
        <w:t>202</w:t>
      </w:r>
      <w:r>
        <w:rPr>
          <w:rFonts w:hint="eastAsia" w:ascii="宋体" w:hAnsi="宋体" w:eastAsia="宋体" w:cs="宋体"/>
          <w:sz w:val="28"/>
          <w:szCs w:val="28"/>
          <w:lang w:val="en-US" w:eastAsia="zh-CN"/>
        </w:rPr>
        <w:t>1</w:t>
      </w:r>
      <w:r>
        <w:rPr>
          <w:rFonts w:hint="eastAsia" w:ascii="宋体" w:hAnsi="宋体" w:eastAsia="宋体" w:cs="宋体"/>
          <w:sz w:val="28"/>
          <w:szCs w:val="28"/>
        </w:rPr>
        <w:t>年全年收入预算数为</w:t>
      </w:r>
      <w:r>
        <w:rPr>
          <w:rFonts w:hint="eastAsia" w:ascii="宋体" w:hAnsi="宋体" w:eastAsia="宋体" w:cs="宋体"/>
          <w:color w:val="000000"/>
          <w:sz w:val="28"/>
          <w:szCs w:val="28"/>
          <w:lang w:val="en-US" w:eastAsia="zh-CN"/>
        </w:rPr>
        <w:t>2521.59</w:t>
      </w:r>
      <w:r>
        <w:rPr>
          <w:rFonts w:hint="eastAsia" w:ascii="宋体" w:hAnsi="宋体" w:eastAsia="宋体" w:cs="宋体"/>
          <w:sz w:val="28"/>
          <w:szCs w:val="28"/>
        </w:rPr>
        <w:t>万元，资金来源为财政拨款</w:t>
      </w:r>
      <w:r>
        <w:rPr>
          <w:rFonts w:hint="eastAsia" w:ascii="宋体" w:hAnsi="宋体" w:eastAsia="宋体" w:cs="宋体"/>
          <w:sz w:val="28"/>
          <w:szCs w:val="28"/>
          <w:lang w:val="en-US" w:eastAsia="zh-CN"/>
        </w:rPr>
        <w:t>2119.28</w:t>
      </w:r>
      <w:r>
        <w:rPr>
          <w:rFonts w:hint="eastAsia" w:ascii="宋体" w:hAnsi="宋体" w:eastAsia="宋体" w:cs="宋体"/>
          <w:sz w:val="28"/>
          <w:szCs w:val="28"/>
        </w:rPr>
        <w:t>万元，其中，项目支出</w:t>
      </w:r>
      <w:r>
        <w:rPr>
          <w:rFonts w:hint="eastAsia" w:ascii="宋体" w:hAnsi="宋体" w:eastAsia="宋体" w:cs="宋体"/>
          <w:color w:val="000000"/>
          <w:sz w:val="28"/>
          <w:szCs w:val="28"/>
          <w:lang w:val="en-US" w:eastAsia="zh-CN"/>
        </w:rPr>
        <w:t>2027.97</w:t>
      </w:r>
      <w:r>
        <w:rPr>
          <w:rFonts w:hint="eastAsia" w:ascii="宋体" w:hAnsi="宋体" w:eastAsia="宋体" w:cs="宋体"/>
          <w:sz w:val="28"/>
          <w:szCs w:val="28"/>
        </w:rPr>
        <w:t>万元。</w:t>
      </w:r>
    </w:p>
    <w:p>
      <w:pPr>
        <w:ind w:firstLine="562" w:firstLineChars="200"/>
        <w:outlineLvl w:val="2"/>
        <w:rPr>
          <w:b/>
          <w:bCs/>
          <w:sz w:val="28"/>
          <w:szCs w:val="28"/>
        </w:rPr>
      </w:pPr>
      <w:bookmarkStart w:id="30" w:name="_Toc74994718"/>
      <w:r>
        <w:rPr>
          <w:rFonts w:hint="eastAsia"/>
          <w:b/>
          <w:bCs/>
          <w:sz w:val="28"/>
          <w:szCs w:val="28"/>
        </w:rPr>
        <w:t>2.</w:t>
      </w:r>
      <w:r>
        <w:rPr>
          <w:rFonts w:hint="eastAsia"/>
          <w:b/>
          <w:bCs/>
          <w:sz w:val="28"/>
          <w:szCs w:val="28"/>
        </w:rPr>
        <w:tab/>
      </w:r>
      <w:r>
        <w:rPr>
          <w:rFonts w:hint="eastAsia"/>
          <w:b/>
          <w:bCs/>
          <w:sz w:val="28"/>
          <w:szCs w:val="28"/>
        </w:rPr>
        <w:t>预算执行情况</w:t>
      </w:r>
      <w:bookmarkEnd w:id="30"/>
    </w:p>
    <w:p>
      <w:pPr>
        <w:ind w:firstLine="560" w:firstLineChars="200"/>
        <w:rPr>
          <w:sz w:val="28"/>
          <w:szCs w:val="28"/>
        </w:rPr>
      </w:pPr>
      <w:r>
        <w:rPr>
          <w:rFonts w:hint="eastAsia"/>
          <w:sz w:val="28"/>
          <w:szCs w:val="28"/>
        </w:rPr>
        <w:t>202</w:t>
      </w:r>
      <w:r>
        <w:rPr>
          <w:rFonts w:hint="eastAsia"/>
          <w:sz w:val="28"/>
          <w:szCs w:val="28"/>
          <w:lang w:val="en-US" w:eastAsia="zh-CN"/>
        </w:rPr>
        <w:t>1</w:t>
      </w:r>
      <w:r>
        <w:rPr>
          <w:rFonts w:hint="eastAsia"/>
          <w:sz w:val="28"/>
          <w:szCs w:val="28"/>
        </w:rPr>
        <w:t>年全年预算支出执行数为</w:t>
      </w:r>
      <w:r>
        <w:rPr>
          <w:rFonts w:hint="eastAsia" w:ascii="宋体" w:hAnsi="宋体" w:cs="仿宋_GB2312"/>
          <w:color w:val="000000"/>
          <w:sz w:val="28"/>
          <w:szCs w:val="28"/>
          <w:lang w:val="en-US" w:eastAsia="zh-CN"/>
        </w:rPr>
        <w:t>2472.01</w:t>
      </w:r>
      <w:r>
        <w:rPr>
          <w:rFonts w:hint="eastAsia"/>
          <w:sz w:val="28"/>
          <w:szCs w:val="28"/>
        </w:rPr>
        <w:t>万元，预算执行率为</w:t>
      </w:r>
      <w:r>
        <w:rPr>
          <w:rFonts w:hint="eastAsia"/>
          <w:sz w:val="28"/>
          <w:szCs w:val="28"/>
          <w:lang w:val="en-US" w:eastAsia="zh-CN"/>
        </w:rPr>
        <w:t>98</w:t>
      </w:r>
      <w:r>
        <w:rPr>
          <w:rFonts w:hint="eastAsia"/>
          <w:sz w:val="28"/>
          <w:szCs w:val="28"/>
        </w:rPr>
        <w:t>%，预算执行总体情况较好。其中，项目支出</w:t>
      </w:r>
      <w:r>
        <w:rPr>
          <w:rFonts w:hint="eastAsia" w:ascii="宋体" w:hAnsi="宋体" w:cs="仿宋_GB2312"/>
          <w:color w:val="000000"/>
          <w:sz w:val="28"/>
          <w:szCs w:val="28"/>
          <w:lang w:val="en-US" w:eastAsia="zh-CN"/>
        </w:rPr>
        <w:t>1978.39</w:t>
      </w:r>
      <w:r>
        <w:rPr>
          <w:rFonts w:hint="eastAsia"/>
          <w:sz w:val="28"/>
          <w:szCs w:val="28"/>
        </w:rPr>
        <w:t>万元，预算执行率为</w:t>
      </w:r>
      <w:r>
        <w:rPr>
          <w:rFonts w:hint="eastAsia"/>
          <w:sz w:val="28"/>
          <w:szCs w:val="28"/>
          <w:lang w:val="en-US" w:eastAsia="zh-CN"/>
        </w:rPr>
        <w:t>98</w:t>
      </w:r>
      <w:r>
        <w:rPr>
          <w:rFonts w:hint="eastAsia"/>
          <w:sz w:val="28"/>
          <w:szCs w:val="28"/>
        </w:rPr>
        <w:t>%。</w:t>
      </w:r>
    </w:p>
    <w:p>
      <w:pPr>
        <w:ind w:firstLine="643" w:firstLineChars="200"/>
        <w:outlineLvl w:val="0"/>
        <w:rPr>
          <w:rFonts w:ascii="黑体" w:hAnsi="黑体" w:eastAsia="黑体" w:cs="黑体"/>
          <w:b/>
          <w:bCs/>
          <w:sz w:val="32"/>
          <w:szCs w:val="32"/>
        </w:rPr>
      </w:pPr>
      <w:bookmarkStart w:id="31" w:name="_Toc22218"/>
      <w:bookmarkStart w:id="32" w:name="_Toc30780"/>
      <w:bookmarkStart w:id="33" w:name="_Toc74994719"/>
      <w:bookmarkStart w:id="34" w:name="_Toc31662"/>
      <w:r>
        <w:rPr>
          <w:rFonts w:hint="eastAsia" w:ascii="黑体" w:hAnsi="黑体" w:eastAsia="黑体" w:cs="黑体"/>
          <w:b/>
          <w:bCs/>
          <w:sz w:val="32"/>
          <w:szCs w:val="32"/>
        </w:rPr>
        <w:t>二、部门整体支出绩效实现情况</w:t>
      </w:r>
      <w:bookmarkEnd w:id="31"/>
      <w:bookmarkEnd w:id="32"/>
      <w:bookmarkEnd w:id="33"/>
      <w:bookmarkEnd w:id="34"/>
    </w:p>
    <w:p>
      <w:pPr>
        <w:ind w:firstLine="560" w:firstLineChars="200"/>
        <w:rPr>
          <w:sz w:val="28"/>
          <w:szCs w:val="28"/>
        </w:rPr>
      </w:pPr>
      <w:r>
        <w:rPr>
          <w:rFonts w:hint="eastAsia"/>
          <w:sz w:val="28"/>
          <w:szCs w:val="28"/>
        </w:rPr>
        <w:t>我单位部门预算整体支出能够根据履责需要，科学合理编制预决算，不断完善和落实相关管理制度，从管理机制上规范预算执行，为有效履行职责和完成各项重点工作任务发挥了重要保障支撑作用。依据财政局部门整体支出绩效评价指标体系和评分标准，我单位202</w:t>
      </w:r>
      <w:r>
        <w:rPr>
          <w:rFonts w:hint="eastAsia"/>
          <w:sz w:val="28"/>
          <w:szCs w:val="28"/>
          <w:lang w:val="en-US" w:eastAsia="zh-CN"/>
        </w:rPr>
        <w:t>1</w:t>
      </w:r>
      <w:r>
        <w:rPr>
          <w:rFonts w:hint="eastAsia"/>
          <w:sz w:val="28"/>
          <w:szCs w:val="28"/>
        </w:rPr>
        <w:t>年部门整体支出绩效综合自评得分为</w:t>
      </w:r>
      <w:r>
        <w:rPr>
          <w:rFonts w:hint="eastAsia"/>
          <w:sz w:val="28"/>
          <w:szCs w:val="28"/>
          <w:lang w:val="en-US" w:eastAsia="zh-CN"/>
        </w:rPr>
        <w:t>93</w:t>
      </w:r>
      <w:r>
        <w:rPr>
          <w:rFonts w:hint="eastAsia"/>
          <w:sz w:val="28"/>
          <w:szCs w:val="28"/>
        </w:rPr>
        <w:t>分（详见附表）。</w:t>
      </w:r>
    </w:p>
    <w:p>
      <w:pPr>
        <w:ind w:firstLine="562" w:firstLineChars="200"/>
        <w:rPr>
          <w:b/>
          <w:bCs/>
          <w:sz w:val="28"/>
          <w:szCs w:val="28"/>
        </w:rPr>
      </w:pPr>
      <w:r>
        <w:rPr>
          <w:rFonts w:hint="eastAsia"/>
          <w:b/>
          <w:bCs/>
          <w:sz w:val="28"/>
          <w:szCs w:val="28"/>
        </w:rPr>
        <w:t>（—）履职完成情况</w:t>
      </w:r>
    </w:p>
    <w:p>
      <w:pPr>
        <w:ind w:firstLine="562" w:firstLineChars="200"/>
        <w:rPr>
          <w:b/>
          <w:bCs/>
          <w:sz w:val="28"/>
          <w:szCs w:val="28"/>
        </w:rPr>
      </w:pPr>
      <w:r>
        <w:rPr>
          <w:rFonts w:hint="eastAsia"/>
          <w:b/>
          <w:bCs/>
          <w:sz w:val="28"/>
          <w:szCs w:val="28"/>
        </w:rPr>
        <w:t>1.</w:t>
      </w:r>
      <w:r>
        <w:rPr>
          <w:rFonts w:hint="eastAsia"/>
          <w:b/>
          <w:bCs/>
          <w:sz w:val="28"/>
          <w:szCs w:val="28"/>
        </w:rPr>
        <w:tab/>
      </w:r>
      <w:r>
        <w:rPr>
          <w:rFonts w:hint="eastAsia"/>
          <w:b/>
          <w:bCs/>
          <w:sz w:val="28"/>
          <w:szCs w:val="28"/>
        </w:rPr>
        <w:t>数量指标（1</w:t>
      </w:r>
      <w:r>
        <w:rPr>
          <w:rFonts w:hint="eastAsia"/>
          <w:b/>
          <w:bCs/>
          <w:sz w:val="28"/>
          <w:szCs w:val="28"/>
          <w:lang w:val="en-US" w:eastAsia="zh-CN"/>
        </w:rPr>
        <w:t>1</w:t>
      </w:r>
      <w:r>
        <w:rPr>
          <w:rFonts w:hint="eastAsia"/>
          <w:b/>
          <w:bCs/>
          <w:sz w:val="28"/>
          <w:szCs w:val="28"/>
        </w:rPr>
        <w:t>分）</w:t>
      </w:r>
    </w:p>
    <w:p>
      <w:pPr>
        <w:ind w:firstLine="560" w:firstLineChars="200"/>
        <w:rPr>
          <w:sz w:val="28"/>
          <w:szCs w:val="28"/>
        </w:rPr>
      </w:pPr>
      <w:r>
        <w:rPr>
          <w:rFonts w:hint="eastAsia"/>
          <w:sz w:val="28"/>
          <w:szCs w:val="28"/>
        </w:rPr>
        <w:t>（1）防汛</w:t>
      </w:r>
      <w:r>
        <w:rPr>
          <w:rFonts w:hint="eastAsia"/>
          <w:sz w:val="28"/>
          <w:szCs w:val="28"/>
          <w:lang w:val="en-US" w:eastAsia="zh-CN"/>
        </w:rPr>
        <w:t>抗旱</w:t>
      </w:r>
      <w:r>
        <w:rPr>
          <w:rFonts w:hint="eastAsia"/>
          <w:sz w:val="28"/>
          <w:szCs w:val="28"/>
        </w:rPr>
        <w:t>工作，共支出</w:t>
      </w:r>
      <w:r>
        <w:rPr>
          <w:rFonts w:hint="eastAsia"/>
          <w:sz w:val="28"/>
          <w:szCs w:val="28"/>
          <w:lang w:val="en-US" w:eastAsia="zh-CN"/>
        </w:rPr>
        <w:t>10</w:t>
      </w:r>
      <w:r>
        <w:rPr>
          <w:rFonts w:hint="eastAsia"/>
          <w:sz w:val="28"/>
          <w:szCs w:val="28"/>
        </w:rPr>
        <w:t>万元，目标完成率100%。</w:t>
      </w:r>
    </w:p>
    <w:p>
      <w:pPr>
        <w:ind w:firstLine="560" w:firstLineChars="200"/>
        <w:rPr>
          <w:sz w:val="28"/>
          <w:szCs w:val="28"/>
        </w:rPr>
      </w:pPr>
      <w:r>
        <w:rPr>
          <w:rFonts w:hint="eastAsia"/>
          <w:sz w:val="28"/>
          <w:szCs w:val="28"/>
        </w:rPr>
        <w:t>（</w:t>
      </w:r>
      <w:r>
        <w:rPr>
          <w:rFonts w:hint="eastAsia"/>
          <w:sz w:val="28"/>
          <w:szCs w:val="28"/>
          <w:lang w:val="en-US" w:eastAsia="zh-CN"/>
        </w:rPr>
        <w:t>2</w:t>
      </w:r>
      <w:r>
        <w:rPr>
          <w:rFonts w:hint="eastAsia"/>
          <w:sz w:val="28"/>
          <w:szCs w:val="28"/>
        </w:rPr>
        <w:t>）202</w:t>
      </w:r>
      <w:r>
        <w:rPr>
          <w:rFonts w:hint="eastAsia"/>
          <w:sz w:val="28"/>
          <w:szCs w:val="28"/>
          <w:lang w:val="en-US" w:eastAsia="zh-CN"/>
        </w:rPr>
        <w:t>1</w:t>
      </w:r>
      <w:r>
        <w:rPr>
          <w:rFonts w:hint="eastAsia"/>
          <w:sz w:val="28"/>
          <w:szCs w:val="28"/>
        </w:rPr>
        <w:t>年应急管理工作，共支出180万元，目标完成率100%。</w:t>
      </w:r>
    </w:p>
    <w:p>
      <w:pPr>
        <w:ind w:firstLine="560" w:firstLineChars="200"/>
        <w:rPr>
          <w:sz w:val="28"/>
          <w:szCs w:val="28"/>
        </w:rPr>
      </w:pPr>
      <w:r>
        <w:rPr>
          <w:rFonts w:hint="eastAsia"/>
          <w:sz w:val="28"/>
          <w:szCs w:val="28"/>
        </w:rPr>
        <w:t>（</w:t>
      </w:r>
      <w:r>
        <w:rPr>
          <w:rFonts w:hint="eastAsia"/>
          <w:sz w:val="28"/>
          <w:szCs w:val="28"/>
          <w:lang w:val="en-US" w:eastAsia="zh-CN"/>
        </w:rPr>
        <w:t>3</w:t>
      </w:r>
      <w:r>
        <w:rPr>
          <w:rFonts w:hint="eastAsia"/>
          <w:sz w:val="28"/>
          <w:szCs w:val="28"/>
        </w:rPr>
        <w:t>）森林防火人员基本支出共计</w:t>
      </w:r>
      <w:r>
        <w:rPr>
          <w:rFonts w:hint="eastAsia"/>
          <w:sz w:val="28"/>
          <w:szCs w:val="28"/>
          <w:lang w:val="en-US" w:eastAsia="zh-CN"/>
        </w:rPr>
        <w:t>179.52</w:t>
      </w:r>
      <w:r>
        <w:rPr>
          <w:rFonts w:hint="eastAsia"/>
          <w:sz w:val="28"/>
          <w:szCs w:val="28"/>
        </w:rPr>
        <w:t>万元，目标完成率100%。</w:t>
      </w:r>
    </w:p>
    <w:p>
      <w:pPr>
        <w:ind w:firstLine="562" w:firstLineChars="200"/>
        <w:rPr>
          <w:b/>
          <w:bCs/>
          <w:sz w:val="28"/>
          <w:szCs w:val="28"/>
        </w:rPr>
      </w:pPr>
      <w:r>
        <w:rPr>
          <w:rFonts w:hint="eastAsia"/>
          <w:b/>
          <w:bCs/>
          <w:sz w:val="28"/>
          <w:szCs w:val="28"/>
        </w:rPr>
        <w:t>2.</w:t>
      </w:r>
      <w:r>
        <w:rPr>
          <w:rFonts w:hint="eastAsia"/>
          <w:b/>
          <w:bCs/>
          <w:sz w:val="28"/>
          <w:szCs w:val="28"/>
        </w:rPr>
        <w:tab/>
      </w:r>
      <w:r>
        <w:rPr>
          <w:rFonts w:hint="eastAsia"/>
          <w:b/>
          <w:bCs/>
          <w:sz w:val="28"/>
          <w:szCs w:val="28"/>
        </w:rPr>
        <w:t>质量指标（1</w:t>
      </w:r>
      <w:r>
        <w:rPr>
          <w:rFonts w:hint="eastAsia"/>
          <w:b/>
          <w:bCs/>
          <w:sz w:val="28"/>
          <w:szCs w:val="28"/>
          <w:lang w:val="en-US" w:eastAsia="zh-CN"/>
        </w:rPr>
        <w:t>1</w:t>
      </w:r>
      <w:r>
        <w:rPr>
          <w:rFonts w:hint="eastAsia"/>
          <w:b/>
          <w:bCs/>
          <w:sz w:val="28"/>
          <w:szCs w:val="28"/>
        </w:rPr>
        <w:t>分）</w:t>
      </w:r>
    </w:p>
    <w:p>
      <w:pPr>
        <w:numPr>
          <w:ilvl w:val="0"/>
          <w:numId w:val="1"/>
        </w:numPr>
        <w:ind w:firstLine="560" w:firstLineChars="200"/>
        <w:rPr>
          <w:rFonts w:asciiTheme="minorEastAsia" w:hAnsiTheme="minorEastAsia"/>
          <w:sz w:val="28"/>
          <w:szCs w:val="28"/>
        </w:rPr>
      </w:pPr>
      <w:r>
        <w:rPr>
          <w:rFonts w:hint="eastAsia" w:asciiTheme="minorEastAsia" w:hAnsiTheme="minorEastAsia"/>
          <w:sz w:val="28"/>
          <w:szCs w:val="28"/>
        </w:rPr>
        <w:t>扎实做好了汛前防灾减灾救灾准备、防汛物资储备等工作，强化基层防汛抗旱组织建设，抓好机构和人员到位和保障。实现了“不死一人、不倒一库 ” 防汛总目标。</w:t>
      </w:r>
    </w:p>
    <w:p>
      <w:pPr>
        <w:ind w:firstLine="560" w:firstLineChars="200"/>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2</w:t>
      </w:r>
      <w:r>
        <w:rPr>
          <w:rFonts w:hint="eastAsia" w:ascii="宋体" w:hAnsi="宋体" w:eastAsia="宋体" w:cs="宋体"/>
          <w:sz w:val="28"/>
          <w:szCs w:val="28"/>
        </w:rPr>
        <w:t>）</w:t>
      </w:r>
      <w:r>
        <w:rPr>
          <w:rFonts w:hint="eastAsia" w:ascii="宋体" w:hAnsi="宋体" w:eastAsia="宋体" w:cs="宋体"/>
          <w:sz w:val="28"/>
          <w:szCs w:val="28"/>
          <w:shd w:val="clear" w:color="auto" w:fill="FFFFFF"/>
        </w:rPr>
        <w:t>全面落实任务，突出抓好学习引导、事中管理和事后监管，确保意识到位、管理到位、监督到位，顺利完成了</w:t>
      </w:r>
      <w:r>
        <w:rPr>
          <w:rFonts w:hint="eastAsia" w:ascii="宋体" w:hAnsi="宋体" w:eastAsia="宋体" w:cs="宋体"/>
          <w:sz w:val="28"/>
          <w:szCs w:val="28"/>
        </w:rPr>
        <w:t>机构改革人员转隶工作。</w:t>
      </w:r>
    </w:p>
    <w:p>
      <w:pPr>
        <w:ind w:firstLine="560" w:firstLineChars="200"/>
        <w:rPr>
          <w:sz w:val="28"/>
          <w:szCs w:val="28"/>
        </w:rPr>
      </w:pPr>
      <w:r>
        <w:rPr>
          <w:rFonts w:hint="eastAsia"/>
          <w:sz w:val="28"/>
          <w:szCs w:val="28"/>
        </w:rPr>
        <w:t>（</w:t>
      </w:r>
      <w:r>
        <w:rPr>
          <w:rFonts w:hint="eastAsia"/>
          <w:sz w:val="28"/>
          <w:szCs w:val="28"/>
          <w:lang w:val="en-US" w:eastAsia="zh-CN"/>
        </w:rPr>
        <w:t>3</w:t>
      </w:r>
      <w:r>
        <w:rPr>
          <w:rFonts w:hint="eastAsia"/>
          <w:sz w:val="28"/>
          <w:szCs w:val="28"/>
        </w:rPr>
        <w:t>）及时为</w:t>
      </w:r>
      <w:r>
        <w:rPr>
          <w:sz w:val="28"/>
          <w:szCs w:val="28"/>
        </w:rPr>
        <w:t>森林防火</w:t>
      </w:r>
      <w:r>
        <w:rPr>
          <w:rFonts w:hint="eastAsia"/>
          <w:sz w:val="28"/>
          <w:szCs w:val="28"/>
        </w:rPr>
        <w:t>人员和消防队员的发放了工资及福利，给他们提供生活保障，确保了森林消防和消防队应急工作的正常开展。</w:t>
      </w:r>
    </w:p>
    <w:p>
      <w:pPr>
        <w:spacing w:line="360" w:lineRule="auto"/>
        <w:ind w:firstLine="560" w:firstLineChars="200"/>
        <w:rPr>
          <w:b/>
          <w:bCs/>
          <w:sz w:val="28"/>
          <w:szCs w:val="28"/>
        </w:rPr>
      </w:pPr>
      <w:r>
        <w:rPr>
          <w:rFonts w:hint="eastAsia"/>
          <w:sz w:val="28"/>
          <w:szCs w:val="28"/>
        </w:rPr>
        <w:t>（</w:t>
      </w:r>
      <w:r>
        <w:rPr>
          <w:rFonts w:hint="eastAsia"/>
          <w:sz w:val="28"/>
          <w:szCs w:val="28"/>
          <w:lang w:val="en-US" w:eastAsia="zh-CN"/>
        </w:rPr>
        <w:t>4</w:t>
      </w:r>
      <w:r>
        <w:rPr>
          <w:rFonts w:hint="eastAsia"/>
          <w:sz w:val="28"/>
          <w:szCs w:val="28"/>
        </w:rPr>
        <w:t>）高质量完成了各项应急管理工作，</w:t>
      </w:r>
      <w:r>
        <w:rPr>
          <w:rFonts w:hint="eastAsia" w:ascii="Calibri" w:hAnsi="Calibri" w:cs="宋体"/>
          <w:sz w:val="28"/>
          <w:szCs w:val="28"/>
        </w:rPr>
        <w:t>保证了各种应急反应资源处于良好的备战状态，指导应急反应行动按计划有序地进行，防止因应急反应行动组织不得力或现场救援工作的无序和混乱而延误事故的应急救援；有效地避免或降低人员伤亡和财产损失；实现应急反应行动的快速、有序、高效；充分体现应急救援的“应急精神”。</w:t>
      </w:r>
    </w:p>
    <w:p>
      <w:pPr>
        <w:ind w:firstLine="562" w:firstLineChars="200"/>
        <w:rPr>
          <w:b/>
          <w:bCs/>
          <w:sz w:val="28"/>
          <w:szCs w:val="28"/>
        </w:rPr>
      </w:pPr>
      <w:r>
        <w:rPr>
          <w:rFonts w:hint="eastAsia"/>
          <w:b/>
          <w:bCs/>
          <w:sz w:val="28"/>
          <w:szCs w:val="28"/>
        </w:rPr>
        <w:t>3.时效指标（2分）</w:t>
      </w:r>
    </w:p>
    <w:p>
      <w:pPr>
        <w:ind w:firstLine="560" w:firstLineChars="200"/>
        <w:rPr>
          <w:sz w:val="28"/>
          <w:szCs w:val="28"/>
        </w:rPr>
      </w:pPr>
      <w:r>
        <w:rPr>
          <w:rFonts w:hint="eastAsia"/>
          <w:sz w:val="28"/>
          <w:szCs w:val="28"/>
        </w:rPr>
        <w:t>我单位的各项工作均能按照县委、县政府以及上级主管单位的统一要求和部署，在规定时间内完成计划目标。</w:t>
      </w:r>
    </w:p>
    <w:p>
      <w:pPr>
        <w:numPr>
          <w:ilvl w:val="0"/>
          <w:numId w:val="2"/>
        </w:numPr>
        <w:ind w:firstLine="562" w:firstLineChars="200"/>
        <w:rPr>
          <w:b/>
          <w:bCs/>
          <w:sz w:val="28"/>
          <w:szCs w:val="28"/>
        </w:rPr>
      </w:pPr>
      <w:r>
        <w:rPr>
          <w:rFonts w:hint="eastAsia"/>
          <w:b/>
          <w:bCs/>
          <w:sz w:val="28"/>
          <w:szCs w:val="28"/>
        </w:rPr>
        <w:t>履职效果情况</w:t>
      </w:r>
    </w:p>
    <w:p>
      <w:pPr>
        <w:numPr>
          <w:ilvl w:val="0"/>
          <w:numId w:val="3"/>
        </w:numPr>
        <w:rPr>
          <w:b/>
          <w:bCs/>
          <w:sz w:val="28"/>
          <w:szCs w:val="28"/>
        </w:rPr>
      </w:pPr>
      <w:r>
        <w:rPr>
          <w:rFonts w:hint="eastAsia"/>
          <w:b/>
          <w:bCs/>
          <w:sz w:val="28"/>
          <w:szCs w:val="28"/>
        </w:rPr>
        <w:t>经济效益指标（7分）</w:t>
      </w:r>
    </w:p>
    <w:p>
      <w:pPr>
        <w:pStyle w:val="25"/>
        <w:numPr>
          <w:numId w:val="0"/>
        </w:numPr>
        <w:ind w:leftChars="200" w:firstLine="560" w:firstLineChars="200"/>
        <w:rPr>
          <w:rFonts w:hint="eastAsia"/>
          <w:b/>
          <w:bCs/>
          <w:sz w:val="28"/>
          <w:szCs w:val="28"/>
        </w:rPr>
      </w:pPr>
      <w:r>
        <w:rPr>
          <w:rFonts w:hint="eastAsia" w:ascii="宋体" w:hAnsi="宋体" w:cs="仿宋_GB2312"/>
          <w:color w:val="000000"/>
          <w:sz w:val="28"/>
          <w:szCs w:val="28"/>
        </w:rPr>
        <w:t>降低生产安全事故发生率减少直接经济损失</w:t>
      </w:r>
    </w:p>
    <w:p>
      <w:pPr>
        <w:pStyle w:val="25"/>
        <w:numPr>
          <w:numId w:val="0"/>
        </w:numPr>
        <w:ind w:leftChars="200"/>
        <w:rPr>
          <w:rFonts w:hint="eastAsia"/>
          <w:b/>
          <w:bCs/>
          <w:sz w:val="28"/>
          <w:szCs w:val="28"/>
        </w:rPr>
      </w:pPr>
      <w:r>
        <w:rPr>
          <w:rFonts w:hint="eastAsia"/>
          <w:b/>
          <w:bCs/>
          <w:sz w:val="28"/>
          <w:szCs w:val="28"/>
          <w:lang w:val="en-US" w:eastAsia="zh-CN"/>
        </w:rPr>
        <w:t>2、</w:t>
      </w:r>
      <w:r>
        <w:rPr>
          <w:rFonts w:hint="eastAsia"/>
          <w:b/>
          <w:bCs/>
          <w:sz w:val="28"/>
          <w:szCs w:val="28"/>
        </w:rPr>
        <w:t>社会效益指标（</w:t>
      </w:r>
      <w:r>
        <w:rPr>
          <w:rFonts w:hint="eastAsia"/>
          <w:b/>
          <w:bCs/>
          <w:sz w:val="28"/>
          <w:szCs w:val="28"/>
          <w:lang w:val="en-US" w:eastAsia="zh-CN"/>
        </w:rPr>
        <w:t>8</w:t>
      </w:r>
      <w:r>
        <w:rPr>
          <w:rFonts w:hint="eastAsia"/>
          <w:b/>
          <w:bCs/>
          <w:sz w:val="28"/>
          <w:szCs w:val="28"/>
        </w:rPr>
        <w:t>分）</w:t>
      </w:r>
    </w:p>
    <w:p>
      <w:pPr>
        <w:pStyle w:val="25"/>
        <w:numPr>
          <w:numId w:val="0"/>
        </w:numPr>
        <w:ind w:leftChars="200" w:firstLine="560" w:firstLineChars="200"/>
        <w:rPr>
          <w:b/>
          <w:bCs/>
          <w:sz w:val="28"/>
          <w:szCs w:val="28"/>
        </w:rPr>
      </w:pPr>
      <w:r>
        <w:rPr>
          <w:rFonts w:hint="eastAsia" w:ascii="宋体" w:hAnsi="宋体" w:cs="仿宋_GB2312"/>
          <w:color w:val="000000"/>
          <w:sz w:val="28"/>
          <w:szCs w:val="28"/>
        </w:rPr>
        <w:t>发放宣传资料和开展应急演练的受众人员安全意识提高作用</w:t>
      </w:r>
    </w:p>
    <w:p>
      <w:pPr>
        <w:pStyle w:val="25"/>
        <w:numPr>
          <w:numId w:val="0"/>
        </w:numPr>
        <w:ind w:leftChars="200"/>
        <w:rPr>
          <w:b/>
          <w:bCs/>
          <w:sz w:val="28"/>
          <w:szCs w:val="28"/>
        </w:rPr>
      </w:pPr>
      <w:r>
        <w:rPr>
          <w:rFonts w:hint="eastAsia"/>
          <w:b/>
          <w:bCs/>
          <w:sz w:val="28"/>
          <w:szCs w:val="28"/>
          <w:lang w:val="en-US" w:eastAsia="zh-CN"/>
        </w:rPr>
        <w:t>3、</w:t>
      </w:r>
      <w:r>
        <w:rPr>
          <w:rFonts w:hint="eastAsia"/>
          <w:b/>
          <w:bCs/>
          <w:sz w:val="28"/>
          <w:szCs w:val="28"/>
        </w:rPr>
        <w:t>生态效益指标（</w:t>
      </w:r>
      <w:r>
        <w:rPr>
          <w:rFonts w:hint="eastAsia"/>
          <w:b/>
          <w:bCs/>
          <w:sz w:val="28"/>
          <w:szCs w:val="28"/>
          <w:lang w:val="en-US" w:eastAsia="zh-CN"/>
        </w:rPr>
        <w:t>8</w:t>
      </w:r>
      <w:r>
        <w:rPr>
          <w:rFonts w:hint="eastAsia"/>
          <w:b/>
          <w:bCs/>
          <w:sz w:val="28"/>
          <w:szCs w:val="28"/>
        </w:rPr>
        <w:t>）</w:t>
      </w:r>
    </w:p>
    <w:p>
      <w:pPr>
        <w:ind w:firstLine="560" w:firstLineChars="200"/>
        <w:rPr>
          <w:rFonts w:hint="eastAsia" w:ascii="宋体" w:hAnsi="宋体" w:cs="仿宋_GB2312"/>
          <w:color w:val="000000"/>
          <w:sz w:val="28"/>
          <w:szCs w:val="28"/>
        </w:rPr>
      </w:pPr>
      <w:r>
        <w:rPr>
          <w:rFonts w:hint="eastAsia" w:ascii="宋体" w:hAnsi="宋体" w:cs="仿宋_GB2312"/>
          <w:color w:val="000000"/>
          <w:sz w:val="28"/>
          <w:szCs w:val="28"/>
        </w:rPr>
        <w:t>减少危险化学品生产经营单位安全事故，有效保障生态环境</w:t>
      </w:r>
    </w:p>
    <w:p>
      <w:pPr>
        <w:ind w:firstLine="562" w:firstLineChars="200"/>
        <w:rPr>
          <w:b/>
          <w:bCs/>
          <w:sz w:val="28"/>
          <w:szCs w:val="28"/>
        </w:rPr>
      </w:pPr>
      <w:r>
        <w:rPr>
          <w:rFonts w:hint="eastAsia"/>
          <w:b/>
          <w:bCs/>
          <w:sz w:val="28"/>
          <w:szCs w:val="28"/>
          <w:lang w:val="en-US" w:eastAsia="zh-CN"/>
        </w:rPr>
        <w:t>4、</w:t>
      </w:r>
      <w:r>
        <w:rPr>
          <w:rFonts w:hint="eastAsia"/>
          <w:b/>
          <w:bCs/>
          <w:sz w:val="28"/>
          <w:szCs w:val="28"/>
        </w:rPr>
        <w:tab/>
      </w:r>
      <w:r>
        <w:rPr>
          <w:rFonts w:hint="eastAsia"/>
          <w:b/>
          <w:bCs/>
          <w:sz w:val="28"/>
          <w:szCs w:val="28"/>
        </w:rPr>
        <w:t>可持续性影响指标（</w:t>
      </w:r>
      <w:r>
        <w:rPr>
          <w:rFonts w:hint="eastAsia"/>
          <w:b/>
          <w:bCs/>
          <w:sz w:val="28"/>
          <w:szCs w:val="28"/>
          <w:lang w:val="en-US" w:eastAsia="zh-CN"/>
        </w:rPr>
        <w:t>9</w:t>
      </w:r>
      <w:r>
        <w:rPr>
          <w:rFonts w:hint="eastAsia"/>
          <w:b/>
          <w:bCs/>
          <w:sz w:val="28"/>
          <w:szCs w:val="28"/>
        </w:rPr>
        <w:t>分）</w:t>
      </w:r>
    </w:p>
    <w:p>
      <w:pPr>
        <w:ind w:firstLine="560" w:firstLineChars="200"/>
        <w:rPr>
          <w:rFonts w:hint="eastAsia" w:ascii="宋体" w:hAnsi="宋体" w:cs="仿宋_GB2312"/>
          <w:color w:val="000000"/>
          <w:sz w:val="28"/>
          <w:szCs w:val="28"/>
        </w:rPr>
      </w:pPr>
      <w:r>
        <w:rPr>
          <w:rFonts w:hint="eastAsia" w:ascii="宋体" w:hAnsi="宋体" w:cs="仿宋_GB2312"/>
          <w:color w:val="000000"/>
          <w:sz w:val="28"/>
          <w:szCs w:val="28"/>
        </w:rPr>
        <w:t>树立安全发展理念，坚持生命至上、安全第一</w:t>
      </w:r>
    </w:p>
    <w:p>
      <w:pPr>
        <w:ind w:firstLine="562" w:firstLineChars="200"/>
        <w:rPr>
          <w:b/>
          <w:bCs/>
          <w:sz w:val="28"/>
          <w:szCs w:val="28"/>
        </w:rPr>
      </w:pPr>
      <w:r>
        <w:rPr>
          <w:rFonts w:hint="eastAsia"/>
          <w:b/>
          <w:bCs/>
          <w:sz w:val="28"/>
          <w:szCs w:val="28"/>
        </w:rPr>
        <w:t>（三）社会满意度（10分）</w:t>
      </w:r>
    </w:p>
    <w:p>
      <w:pPr>
        <w:ind w:firstLine="560" w:firstLineChars="200"/>
        <w:rPr>
          <w:sz w:val="28"/>
          <w:szCs w:val="28"/>
        </w:rPr>
      </w:pPr>
      <w:r>
        <w:rPr>
          <w:rFonts w:hint="eastAsia"/>
          <w:sz w:val="28"/>
          <w:szCs w:val="28"/>
        </w:rPr>
        <w:t>本次绩效自评，我单位深入基层进行调查，倾听群众意见、服务承诺以及服务态度、服务质量等各方面均给予了满意的评价，满意率为</w:t>
      </w:r>
      <w:r>
        <w:rPr>
          <w:rFonts w:hint="eastAsia" w:ascii="宋体" w:hAnsi="宋体"/>
          <w:sz w:val="28"/>
          <w:szCs w:val="28"/>
        </w:rPr>
        <w:t>≥95%。</w:t>
      </w:r>
    </w:p>
    <w:p>
      <w:pPr>
        <w:ind w:firstLine="643" w:firstLineChars="200"/>
        <w:outlineLvl w:val="0"/>
        <w:rPr>
          <w:rFonts w:ascii="黑体" w:hAnsi="黑体" w:eastAsia="黑体" w:cs="黑体"/>
          <w:b/>
          <w:bCs/>
          <w:sz w:val="32"/>
          <w:szCs w:val="32"/>
        </w:rPr>
      </w:pPr>
      <w:bookmarkStart w:id="35" w:name="_Toc21121"/>
      <w:bookmarkStart w:id="36" w:name="_Toc5014"/>
      <w:bookmarkStart w:id="37" w:name="_Toc17861"/>
      <w:bookmarkStart w:id="38" w:name="_Toc74994720"/>
      <w:r>
        <w:rPr>
          <w:rFonts w:hint="eastAsia" w:ascii="黑体" w:hAnsi="黑体" w:eastAsia="黑体" w:cs="黑体"/>
          <w:b/>
          <w:bCs/>
          <w:sz w:val="32"/>
          <w:szCs w:val="32"/>
        </w:rPr>
        <w:t>三、部门整体支出绩效中存在问题及改进措施</w:t>
      </w:r>
      <w:bookmarkEnd w:id="35"/>
      <w:bookmarkEnd w:id="36"/>
      <w:bookmarkEnd w:id="37"/>
      <w:bookmarkEnd w:id="38"/>
    </w:p>
    <w:p>
      <w:pPr>
        <w:ind w:firstLine="562" w:firstLineChars="200"/>
        <w:outlineLvl w:val="1"/>
        <w:rPr>
          <w:b/>
          <w:bCs/>
          <w:sz w:val="28"/>
          <w:szCs w:val="28"/>
        </w:rPr>
      </w:pPr>
      <w:bookmarkStart w:id="39" w:name="_Toc74994721"/>
      <w:r>
        <w:rPr>
          <w:rFonts w:hint="eastAsia"/>
          <w:b/>
          <w:bCs/>
          <w:sz w:val="28"/>
          <w:szCs w:val="28"/>
        </w:rPr>
        <w:t>（一）存在的问题</w:t>
      </w:r>
      <w:bookmarkEnd w:id="39"/>
    </w:p>
    <w:p>
      <w:pPr>
        <w:ind w:firstLine="560" w:firstLineChars="200"/>
        <w:rPr>
          <w:sz w:val="28"/>
          <w:szCs w:val="28"/>
        </w:rPr>
      </w:pPr>
      <w:r>
        <w:rPr>
          <w:rFonts w:hint="eastAsia"/>
          <w:sz w:val="28"/>
          <w:szCs w:val="28"/>
        </w:rPr>
        <w:t>（1）对于绩效评价的认识不够深入，把预算绩效简单等同于工作目标和业务管理。</w:t>
      </w:r>
    </w:p>
    <w:p>
      <w:pPr>
        <w:ind w:firstLine="560" w:firstLineChars="200"/>
        <w:rPr>
          <w:sz w:val="28"/>
          <w:szCs w:val="28"/>
        </w:rPr>
      </w:pPr>
      <w:r>
        <w:rPr>
          <w:rFonts w:hint="eastAsia"/>
          <w:sz w:val="28"/>
          <w:szCs w:val="28"/>
        </w:rPr>
        <w:t>（2）绩效目标和指标往往根据项目实际完成情况制定，对项目执行过程有效约束不够，存在一定的偏差；</w:t>
      </w:r>
    </w:p>
    <w:p>
      <w:pPr>
        <w:ind w:firstLine="560" w:firstLineChars="200"/>
        <w:rPr>
          <w:sz w:val="28"/>
          <w:szCs w:val="28"/>
        </w:rPr>
      </w:pPr>
      <w:r>
        <w:rPr>
          <w:rFonts w:hint="eastAsia"/>
          <w:sz w:val="28"/>
          <w:szCs w:val="28"/>
        </w:rPr>
        <w:t>（3）在绩效考评指标的设计上，部分特色指标缺乏数据支持和可行的分析测评，绩效指标体系有待完善。</w:t>
      </w:r>
    </w:p>
    <w:p>
      <w:pPr>
        <w:ind w:firstLine="562" w:firstLineChars="200"/>
        <w:outlineLvl w:val="1"/>
        <w:rPr>
          <w:rFonts w:ascii="宋体" w:hAnsi="宋体" w:eastAsia="宋体" w:cs="宋体"/>
          <w:b/>
          <w:bCs/>
          <w:sz w:val="28"/>
          <w:szCs w:val="28"/>
        </w:rPr>
      </w:pPr>
      <w:bookmarkStart w:id="40" w:name="_Toc74994722"/>
      <w:r>
        <w:rPr>
          <w:rFonts w:hint="eastAsia" w:ascii="宋体" w:hAnsi="宋体" w:eastAsia="宋体" w:cs="宋体"/>
          <w:b/>
          <w:bCs/>
          <w:sz w:val="28"/>
          <w:szCs w:val="28"/>
        </w:rPr>
        <w:t>（二）改进措施</w:t>
      </w:r>
      <w:bookmarkEnd w:id="40"/>
    </w:p>
    <w:p>
      <w:pPr>
        <w:ind w:firstLine="560" w:firstLineChars="200"/>
        <w:rPr>
          <w:rFonts w:ascii="宋体" w:hAnsi="宋体" w:eastAsia="宋体"/>
          <w:sz w:val="28"/>
          <w:szCs w:val="28"/>
        </w:rPr>
      </w:pPr>
      <w:r>
        <w:rPr>
          <w:rFonts w:hint="eastAsia" w:ascii="宋体" w:hAnsi="宋体" w:eastAsia="宋体"/>
          <w:sz w:val="28"/>
          <w:szCs w:val="28"/>
        </w:rPr>
        <w:t>在项目执行中注重做好项目绩效运行监控，对差异及时分析，查找原因，进行纠偏，切实做好预算绩效管理的各项工作。</w:t>
      </w:r>
    </w:p>
    <w:p>
      <w:pPr>
        <w:ind w:firstLine="643" w:firstLineChars="200"/>
        <w:outlineLvl w:val="0"/>
        <w:rPr>
          <w:rFonts w:ascii="宋体" w:hAnsi="宋体" w:eastAsia="宋体"/>
          <w:sz w:val="28"/>
          <w:szCs w:val="28"/>
        </w:rPr>
      </w:pPr>
      <w:bookmarkStart w:id="41" w:name="_Toc21936"/>
      <w:bookmarkStart w:id="42" w:name="_Toc21856"/>
      <w:bookmarkStart w:id="43" w:name="_Toc26973"/>
      <w:bookmarkStart w:id="44" w:name="_Toc74994723"/>
      <w:r>
        <w:rPr>
          <w:rFonts w:hint="eastAsia" w:ascii="黑体" w:hAnsi="黑体" w:eastAsia="黑体" w:cs="黑体"/>
          <w:b/>
          <w:bCs/>
          <w:sz w:val="32"/>
          <w:szCs w:val="32"/>
        </w:rPr>
        <w:t>四、绩效自评结果应用</w:t>
      </w:r>
      <w:bookmarkEnd w:id="41"/>
      <w:bookmarkEnd w:id="42"/>
      <w:bookmarkEnd w:id="43"/>
      <w:bookmarkEnd w:id="44"/>
    </w:p>
    <w:p>
      <w:pPr>
        <w:ind w:firstLine="560" w:firstLineChars="200"/>
        <w:rPr>
          <w:rFonts w:hint="eastAsia"/>
          <w:sz w:val="28"/>
          <w:szCs w:val="28"/>
        </w:rPr>
      </w:pPr>
      <w:r>
        <w:rPr>
          <w:rFonts w:hint="eastAsia"/>
          <w:sz w:val="28"/>
          <w:szCs w:val="28"/>
        </w:rPr>
        <w:t>针对整体支出绩效评价过程中发现的问题和情况，我单位将坚持以问题为导向，落实改进举措，及时整改。</w:t>
      </w:r>
    </w:p>
    <w:p>
      <w:pPr>
        <w:ind w:firstLine="560" w:firstLineChars="200"/>
        <w:rPr>
          <w:rFonts w:hint="eastAsia"/>
          <w:sz w:val="28"/>
          <w:szCs w:val="28"/>
        </w:rPr>
      </w:pPr>
    </w:p>
    <w:p>
      <w:pPr>
        <w:ind w:firstLine="560" w:firstLineChars="200"/>
        <w:rPr>
          <w:sz w:val="28"/>
          <w:szCs w:val="28"/>
        </w:rPr>
      </w:pPr>
    </w:p>
    <w:p>
      <w:pPr>
        <w:ind w:firstLine="5600" w:firstLineChars="2000"/>
        <w:rPr>
          <w:sz w:val="28"/>
          <w:szCs w:val="28"/>
        </w:rPr>
      </w:pPr>
      <w:r>
        <w:rPr>
          <w:rFonts w:hint="eastAsia"/>
          <w:sz w:val="28"/>
          <w:szCs w:val="28"/>
        </w:rPr>
        <w:t>浮梁县应急管理局</w:t>
      </w:r>
    </w:p>
    <w:p>
      <w:pPr>
        <w:ind w:firstLine="5600" w:firstLineChars="2000"/>
        <w:rPr>
          <w:sz w:val="28"/>
          <w:szCs w:val="28"/>
        </w:rPr>
      </w:pPr>
      <w:r>
        <w:rPr>
          <w:rFonts w:hint="eastAsia"/>
          <w:sz w:val="28"/>
          <w:szCs w:val="28"/>
        </w:rPr>
        <w:t>202</w:t>
      </w:r>
      <w:r>
        <w:rPr>
          <w:rFonts w:hint="eastAsia"/>
          <w:sz w:val="28"/>
          <w:szCs w:val="28"/>
          <w:lang w:val="en-US" w:eastAsia="zh-CN"/>
        </w:rPr>
        <w:t>2</w:t>
      </w:r>
      <w:r>
        <w:rPr>
          <w:rFonts w:hint="eastAsia"/>
          <w:sz w:val="28"/>
          <w:szCs w:val="28"/>
        </w:rPr>
        <w:t>年6月</w:t>
      </w:r>
      <w:r>
        <w:rPr>
          <w:rFonts w:hint="eastAsia"/>
          <w:sz w:val="28"/>
          <w:szCs w:val="28"/>
          <w:lang w:val="en-US" w:eastAsia="zh-CN"/>
        </w:rPr>
        <w:t>10</w:t>
      </w:r>
      <w:r>
        <w:rPr>
          <w:rFonts w:hint="eastAsia"/>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C547D"/>
    <w:multiLevelType w:val="singleLevel"/>
    <w:tmpl w:val="843C547D"/>
    <w:lvl w:ilvl="0" w:tentative="0">
      <w:start w:val="1"/>
      <w:numFmt w:val="decimal"/>
      <w:suff w:val="nothing"/>
      <w:lvlText w:val="（%1）"/>
      <w:lvlJc w:val="left"/>
    </w:lvl>
  </w:abstractNum>
  <w:abstractNum w:abstractNumId="1">
    <w:nsid w:val="E616242F"/>
    <w:multiLevelType w:val="singleLevel"/>
    <w:tmpl w:val="E616242F"/>
    <w:lvl w:ilvl="0" w:tentative="0">
      <w:start w:val="1"/>
      <w:numFmt w:val="decimal"/>
      <w:suff w:val="nothing"/>
      <w:lvlText w:val="%1、"/>
      <w:lvlJc w:val="left"/>
      <w:pPr>
        <w:ind w:left="560" w:firstLine="0"/>
      </w:pPr>
    </w:lvl>
  </w:abstractNum>
  <w:abstractNum w:abstractNumId="2">
    <w:nsid w:val="230803B7"/>
    <w:multiLevelType w:val="singleLevel"/>
    <w:tmpl w:val="230803B7"/>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yZjI2OWZlNzY5ODhjMDZmNzYwYTNhODU3YjFjZTcifQ=="/>
  </w:docVars>
  <w:rsids>
    <w:rsidRoot w:val="003A0914"/>
    <w:rsid w:val="000408B2"/>
    <w:rsid w:val="00103034"/>
    <w:rsid w:val="00113CDD"/>
    <w:rsid w:val="002456D1"/>
    <w:rsid w:val="00290928"/>
    <w:rsid w:val="002B6BD8"/>
    <w:rsid w:val="003A0914"/>
    <w:rsid w:val="0046621A"/>
    <w:rsid w:val="004A3248"/>
    <w:rsid w:val="00655789"/>
    <w:rsid w:val="006F0231"/>
    <w:rsid w:val="0074523A"/>
    <w:rsid w:val="0075177A"/>
    <w:rsid w:val="007C0B28"/>
    <w:rsid w:val="008C582A"/>
    <w:rsid w:val="008F3F63"/>
    <w:rsid w:val="00903861"/>
    <w:rsid w:val="009A6C2A"/>
    <w:rsid w:val="00A774C5"/>
    <w:rsid w:val="00A82743"/>
    <w:rsid w:val="00AD183C"/>
    <w:rsid w:val="00B8407A"/>
    <w:rsid w:val="00B86995"/>
    <w:rsid w:val="00C07E08"/>
    <w:rsid w:val="00C14863"/>
    <w:rsid w:val="00CE5613"/>
    <w:rsid w:val="00D3376B"/>
    <w:rsid w:val="00EB799B"/>
    <w:rsid w:val="00F11452"/>
    <w:rsid w:val="00F41465"/>
    <w:rsid w:val="00FE28CA"/>
    <w:rsid w:val="0454223C"/>
    <w:rsid w:val="04E60006"/>
    <w:rsid w:val="064F6436"/>
    <w:rsid w:val="06E86BC7"/>
    <w:rsid w:val="08C02DB6"/>
    <w:rsid w:val="0A965861"/>
    <w:rsid w:val="0E052DE7"/>
    <w:rsid w:val="0FA667AB"/>
    <w:rsid w:val="11F27BE4"/>
    <w:rsid w:val="14C61063"/>
    <w:rsid w:val="15542A57"/>
    <w:rsid w:val="1635141B"/>
    <w:rsid w:val="1CD7652B"/>
    <w:rsid w:val="217A5A2C"/>
    <w:rsid w:val="225274F6"/>
    <w:rsid w:val="2473415C"/>
    <w:rsid w:val="29D67D00"/>
    <w:rsid w:val="308738B0"/>
    <w:rsid w:val="30F54DF4"/>
    <w:rsid w:val="32357A22"/>
    <w:rsid w:val="34B05338"/>
    <w:rsid w:val="39D00076"/>
    <w:rsid w:val="3C0E2C6C"/>
    <w:rsid w:val="3D9E2A27"/>
    <w:rsid w:val="3FD001C7"/>
    <w:rsid w:val="45B13EDA"/>
    <w:rsid w:val="47F518EB"/>
    <w:rsid w:val="489E5B51"/>
    <w:rsid w:val="4B7C748B"/>
    <w:rsid w:val="4D850548"/>
    <w:rsid w:val="4EAB7EB1"/>
    <w:rsid w:val="506114B0"/>
    <w:rsid w:val="50944141"/>
    <w:rsid w:val="51C257B1"/>
    <w:rsid w:val="56E64FA8"/>
    <w:rsid w:val="5A5134B1"/>
    <w:rsid w:val="5D093D57"/>
    <w:rsid w:val="5E612651"/>
    <w:rsid w:val="5EF60559"/>
    <w:rsid w:val="611363EE"/>
    <w:rsid w:val="64B079F3"/>
    <w:rsid w:val="65397632"/>
    <w:rsid w:val="69123B29"/>
    <w:rsid w:val="69974B6B"/>
    <w:rsid w:val="6C356A7C"/>
    <w:rsid w:val="6E023E14"/>
    <w:rsid w:val="73B12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9"/>
    <w:pPr>
      <w:spacing w:before="100" w:beforeAutospacing="1" w:after="100" w:afterAutospacing="1"/>
      <w:jc w:val="left"/>
      <w:outlineLvl w:val="1"/>
    </w:pPr>
    <w:rPr>
      <w:rFonts w:ascii="宋体" w:hAnsi="宋体"/>
      <w:b/>
      <w:kern w:val="0"/>
      <w:sz w:val="36"/>
      <w:szCs w:val="36"/>
    </w:rPr>
  </w:style>
  <w:style w:type="paragraph" w:styleId="4">
    <w:name w:val="heading 3"/>
    <w:basedOn w:val="1"/>
    <w:next w:val="1"/>
    <w:qFormat/>
    <w:uiPriority w:val="99"/>
    <w:pPr>
      <w:keepNext/>
      <w:spacing w:line="360" w:lineRule="auto"/>
      <w:jc w:val="left"/>
      <w:outlineLvl w:val="2"/>
    </w:pPr>
    <w:rPr>
      <w:b/>
      <w:spacing w:val="30"/>
      <w:sz w:val="30"/>
      <w:szCs w:val="24"/>
      <w:lang w:eastAsia="zh-TW"/>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spacing w:after="100" w:line="276" w:lineRule="auto"/>
      <w:ind w:left="440"/>
      <w:jc w:val="left"/>
    </w:pPr>
    <w:rPr>
      <w:kern w:val="0"/>
      <w:sz w:val="22"/>
    </w:rPr>
  </w:style>
  <w:style w:type="paragraph" w:styleId="6">
    <w:name w:val="Date"/>
    <w:basedOn w:val="1"/>
    <w:next w:val="1"/>
    <w:link w:val="16"/>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unhideWhenUsed/>
    <w:qFormat/>
    <w:uiPriority w:val="99"/>
    <w:pPr>
      <w:tabs>
        <w:tab w:val="center" w:pos="4153"/>
        <w:tab w:val="right" w:pos="8306"/>
      </w:tabs>
      <w:snapToGrid w:val="0"/>
      <w:jc w:val="left"/>
    </w:pPr>
    <w:rPr>
      <w:sz w:val="18"/>
    </w:rPr>
  </w:style>
  <w:style w:type="paragraph" w:styleId="9">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unhideWhenUsed/>
    <w:qFormat/>
    <w:uiPriority w:val="39"/>
  </w:style>
  <w:style w:type="paragraph" w:styleId="11">
    <w:name w:val="toc 2"/>
    <w:basedOn w:val="1"/>
    <w:next w:val="1"/>
    <w:unhideWhenUsed/>
    <w:qFormat/>
    <w:uiPriority w:val="39"/>
    <w:pPr>
      <w:widowControl/>
      <w:spacing w:after="100" w:line="276" w:lineRule="auto"/>
      <w:ind w:left="220"/>
      <w:jc w:val="left"/>
    </w:pPr>
    <w:rPr>
      <w:kern w:val="0"/>
      <w:sz w:val="22"/>
    </w:rPr>
  </w:style>
  <w:style w:type="paragraph" w:styleId="12">
    <w:name w:val="Normal (Web)"/>
    <w:basedOn w:val="1"/>
    <w:semiHidden/>
    <w:unhideWhenUsed/>
    <w:qFormat/>
    <w:uiPriority w:val="99"/>
    <w:pPr>
      <w:spacing w:beforeAutospacing="1" w:afterAutospacing="1"/>
      <w:jc w:val="left"/>
    </w:pPr>
    <w:rPr>
      <w:rFonts w:cs="Times New Roman"/>
      <w:kern w:val="0"/>
      <w:sz w:val="24"/>
    </w:r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customStyle="1" w:styleId="16">
    <w:name w:val="日期 Char"/>
    <w:basedOn w:val="14"/>
    <w:link w:val="6"/>
    <w:semiHidden/>
    <w:qFormat/>
    <w:uiPriority w:val="99"/>
  </w:style>
  <w:style w:type="paragraph" w:customStyle="1" w:styleId="17">
    <w:name w:val="HtmlNormal"/>
    <w:basedOn w:val="1"/>
    <w:qFormat/>
    <w:uiPriority w:val="99"/>
    <w:pPr>
      <w:spacing w:before="100" w:beforeAutospacing="1" w:after="100" w:afterAutospacing="1"/>
      <w:jc w:val="left"/>
      <w:textAlignment w:val="baseline"/>
    </w:pPr>
    <w:rPr>
      <w:kern w:val="0"/>
      <w:sz w:val="24"/>
    </w:rPr>
  </w:style>
  <w:style w:type="character" w:customStyle="1" w:styleId="18">
    <w:name w:val="NormalCharacter"/>
    <w:semiHidden/>
    <w:qFormat/>
    <w:uiPriority w:val="99"/>
    <w:rPr>
      <w:rFonts w:asciiTheme="minorHAnsi" w:hAnsiTheme="minorHAnsi" w:eastAsiaTheme="minorEastAsia" w:cstheme="minorBidi"/>
      <w:kern w:val="2"/>
      <w:sz w:val="21"/>
      <w:szCs w:val="22"/>
      <w:lang w:val="en-US" w:eastAsia="zh-CN" w:bidi="ar-SA"/>
    </w:rPr>
  </w:style>
  <w:style w:type="paragraph" w:customStyle="1" w:styleId="19">
    <w:name w:val="WPSOffice手动目录 1"/>
    <w:qFormat/>
    <w:uiPriority w:val="0"/>
    <w:rPr>
      <w:rFonts w:ascii="Times New Roman" w:hAnsi="Times New Roman" w:eastAsia="宋体" w:cs="Times New Roman"/>
      <w:lang w:val="en-US" w:eastAsia="zh-CN" w:bidi="ar-SA"/>
    </w:rPr>
  </w:style>
  <w:style w:type="character" w:customStyle="1" w:styleId="20">
    <w:name w:val="批注框文本 Char"/>
    <w:basedOn w:val="14"/>
    <w:link w:val="7"/>
    <w:semiHidden/>
    <w:uiPriority w:val="99"/>
    <w:rPr>
      <w:rFonts w:asciiTheme="minorHAnsi" w:hAnsiTheme="minorHAnsi" w:eastAsiaTheme="minorEastAsia" w:cstheme="minorBidi"/>
      <w:kern w:val="2"/>
      <w:sz w:val="18"/>
      <w:szCs w:val="18"/>
    </w:rPr>
  </w:style>
  <w:style w:type="paragraph" w:customStyle="1" w:styleId="21">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2">
    <w:name w:val="WPSOffice手动目录 3"/>
    <w:uiPriority w:val="0"/>
    <w:pPr>
      <w:ind w:left="400" w:leftChars="400"/>
    </w:pPr>
    <w:rPr>
      <w:rFonts w:asciiTheme="minorHAnsi" w:hAnsiTheme="minorHAnsi" w:eastAsiaTheme="minorEastAsia" w:cstheme="minorBidi"/>
      <w:lang w:val="en-US" w:eastAsia="zh-CN" w:bidi="ar-SA"/>
    </w:rPr>
  </w:style>
  <w:style w:type="character" w:customStyle="1" w:styleId="23">
    <w:name w:val="标题 1 Char"/>
    <w:basedOn w:val="14"/>
    <w:link w:val="2"/>
    <w:qFormat/>
    <w:uiPriority w:val="9"/>
    <w:rPr>
      <w:rFonts w:asciiTheme="minorHAnsi" w:hAnsiTheme="minorHAnsi" w:eastAsiaTheme="minorEastAsia" w:cstheme="minorBidi"/>
      <w:b/>
      <w:bCs/>
      <w:kern w:val="44"/>
      <w:sz w:val="44"/>
      <w:szCs w:val="44"/>
    </w:rPr>
  </w:style>
  <w:style w:type="paragraph" w:customStyle="1" w:styleId="24">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A224BE-D3FD-4FDD-9002-9AF04785957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6100</Words>
  <Characters>6417</Characters>
  <Lines>18</Lines>
  <Paragraphs>20</Paragraphs>
  <TotalTime>6</TotalTime>
  <ScaleCrop>false</ScaleCrop>
  <LinksUpToDate>false</LinksUpToDate>
  <CharactersWithSpaces>6828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2021-05-28T06:12:00Z</dcterms:created>
  <dc:creator>dreamsummit</dc:creator>
  <cp:lastModifiedBy>pc-1</cp:lastModifiedBy>
  <cp:lastPrinted>2021-06-21T01:34:00Z</cp:lastPrinted>
  <dcterms:modified xsi:type="dcterms:W3CDTF">2022-06-12T07:50:31Z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4F723E12AC294C93B4A9CF69E7D45E8E</vt:lpwstr>
  </property>
</Properties>
</file>