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p>
    <w:p>
      <w:pPr>
        <w:jc w:val="center"/>
        <w:rPr>
          <w:rFonts w:ascii="黑体" w:hAnsi="黑体" w:eastAsia="黑体"/>
          <w:sz w:val="44"/>
          <w:szCs w:val="44"/>
        </w:rPr>
      </w:pPr>
    </w:p>
    <w:p>
      <w:pPr>
        <w:pStyle w:val="2"/>
        <w:spacing w:line="624" w:lineRule="exact"/>
        <w:ind w:firstLine="2518" w:firstLineChars="600"/>
        <w:rPr>
          <w:w w:val="95"/>
        </w:rPr>
      </w:pPr>
      <w:bookmarkStart w:id="0" w:name="_Toc20262"/>
      <w:bookmarkStart w:id="1" w:name="_Toc18274"/>
      <w:r>
        <w:rPr>
          <w:rFonts w:hint="eastAsia"/>
          <w:w w:val="95"/>
        </w:rPr>
        <w:t>浮梁县应急管理局</w:t>
      </w:r>
      <w:bookmarkEnd w:id="0"/>
    </w:p>
    <w:p>
      <w:pPr>
        <w:pStyle w:val="2"/>
        <w:spacing w:line="624" w:lineRule="exact"/>
        <w:ind w:firstLine="2099" w:firstLineChars="500"/>
      </w:pPr>
      <w:bookmarkStart w:id="2" w:name="_Toc12156"/>
      <w:r>
        <w:rPr>
          <w:rFonts w:hint="eastAsia"/>
          <w:w w:val="95"/>
        </w:rPr>
        <w:t>项目支出绩效评价报告</w:t>
      </w:r>
      <w:bookmarkEnd w:id="1"/>
      <w:bookmarkEnd w:id="2"/>
    </w:p>
    <w:p>
      <w:pPr>
        <w:pStyle w:val="5"/>
        <w:rPr>
          <w:rFonts w:ascii="方正小标宋简体"/>
          <w:sz w:val="52"/>
        </w:rPr>
      </w:pPr>
    </w:p>
    <w:p>
      <w:pPr>
        <w:pStyle w:val="5"/>
        <w:rPr>
          <w:rFonts w:ascii="方正小标宋简体"/>
          <w:sz w:val="52"/>
        </w:rPr>
      </w:pPr>
    </w:p>
    <w:p>
      <w:pPr>
        <w:pStyle w:val="5"/>
        <w:spacing w:before="5"/>
        <w:rPr>
          <w:rFonts w:ascii="方正小标宋简体"/>
          <w:sz w:val="52"/>
        </w:rPr>
      </w:pPr>
    </w:p>
    <w:p>
      <w:pPr>
        <w:tabs>
          <w:tab w:val="left" w:pos="5772"/>
        </w:tabs>
        <w:ind w:left="1052"/>
        <w:rPr>
          <w:rFonts w:ascii="仿宋" w:hAnsi="仿宋" w:eastAsia="仿宋"/>
          <w:sz w:val="28"/>
        </w:rPr>
      </w:pPr>
      <w:r>
        <w:rPr>
          <w:rFonts w:hint="eastAsia" w:ascii="仿宋" w:hAnsi="仿宋" w:eastAsia="仿宋"/>
          <w:sz w:val="28"/>
        </w:rPr>
        <w:t>评</w:t>
      </w:r>
      <w:r>
        <w:rPr>
          <w:rFonts w:hint="eastAsia" w:ascii="仿宋" w:hAnsi="仿宋" w:eastAsia="仿宋"/>
          <w:spacing w:val="-3"/>
          <w:sz w:val="28"/>
        </w:rPr>
        <w:t>价</w:t>
      </w:r>
      <w:r>
        <w:rPr>
          <w:rFonts w:hint="eastAsia" w:ascii="仿宋" w:hAnsi="仿宋" w:eastAsia="仿宋"/>
          <w:sz w:val="28"/>
        </w:rPr>
        <w:t>类型</w:t>
      </w:r>
      <w:r>
        <w:rPr>
          <w:rFonts w:hint="eastAsia" w:ascii="仿宋" w:hAnsi="仿宋" w:eastAsia="仿宋"/>
          <w:spacing w:val="-21"/>
          <w:sz w:val="28"/>
        </w:rPr>
        <w:t>：</w:t>
      </w:r>
      <w:r>
        <w:rPr>
          <w:rFonts w:hint="eastAsia" w:ascii="仿宋" w:hAnsi="仿宋" w:eastAsia="仿宋"/>
          <w:sz w:val="28"/>
          <w:u w:val="single"/>
        </w:rPr>
        <w:t>实</w:t>
      </w:r>
      <w:r>
        <w:rPr>
          <w:rFonts w:hint="eastAsia" w:ascii="仿宋" w:hAnsi="仿宋" w:eastAsia="仿宋"/>
          <w:spacing w:val="-3"/>
          <w:sz w:val="28"/>
          <w:u w:val="single"/>
        </w:rPr>
        <w:t>施</w:t>
      </w:r>
      <w:r>
        <w:rPr>
          <w:rFonts w:hint="eastAsia" w:ascii="仿宋" w:hAnsi="仿宋" w:eastAsia="仿宋"/>
          <w:sz w:val="28"/>
          <w:u w:val="single"/>
        </w:rPr>
        <w:t>过程</w:t>
      </w:r>
      <w:r>
        <w:rPr>
          <w:rFonts w:hint="eastAsia" w:ascii="仿宋" w:hAnsi="仿宋" w:eastAsia="仿宋"/>
          <w:spacing w:val="-3"/>
          <w:sz w:val="28"/>
          <w:u w:val="single"/>
        </w:rPr>
        <w:t>评</w:t>
      </w:r>
      <w:r>
        <w:rPr>
          <w:rFonts w:hint="eastAsia" w:ascii="仿宋" w:hAnsi="仿宋" w:eastAsia="仿宋"/>
          <w:sz w:val="28"/>
          <w:u w:val="single"/>
        </w:rPr>
        <w:t>价</w:t>
      </w:r>
      <w:r>
        <w:rPr>
          <w:rFonts w:hint="eastAsia" w:ascii="仿宋" w:hAnsi="仿宋" w:eastAsia="仿宋"/>
          <w:sz w:val="28"/>
        </w:rPr>
        <w:tab/>
      </w:r>
      <w:r>
        <w:rPr>
          <w:rFonts w:hint="eastAsia" w:ascii="仿宋" w:hAnsi="仿宋" w:eastAsia="仿宋"/>
          <w:sz w:val="28"/>
        </w:rPr>
        <w:t>√</w:t>
      </w:r>
      <w:r>
        <w:rPr>
          <w:rFonts w:hint="eastAsia" w:ascii="仿宋" w:hAnsi="仿宋" w:eastAsia="仿宋"/>
          <w:spacing w:val="-1"/>
          <w:sz w:val="28"/>
          <w:u w:val="single"/>
        </w:rPr>
        <w:t>完</w:t>
      </w:r>
      <w:r>
        <w:rPr>
          <w:rFonts w:hint="eastAsia" w:ascii="仿宋" w:hAnsi="仿宋" w:eastAsia="仿宋"/>
          <w:spacing w:val="-3"/>
          <w:sz w:val="28"/>
          <w:u w:val="single"/>
        </w:rPr>
        <w:t>成</w:t>
      </w:r>
      <w:r>
        <w:rPr>
          <w:rFonts w:hint="eastAsia" w:ascii="仿宋" w:hAnsi="仿宋" w:eastAsia="仿宋"/>
          <w:spacing w:val="-1"/>
          <w:sz w:val="28"/>
          <w:u w:val="single"/>
        </w:rPr>
        <w:t>结果</w:t>
      </w:r>
      <w:r>
        <w:rPr>
          <w:rFonts w:hint="eastAsia" w:ascii="仿宋" w:hAnsi="仿宋" w:eastAsia="仿宋"/>
          <w:spacing w:val="-3"/>
          <w:sz w:val="28"/>
          <w:u w:val="single"/>
        </w:rPr>
        <w:t>评</w:t>
      </w:r>
      <w:r>
        <w:rPr>
          <w:rFonts w:hint="eastAsia" w:ascii="仿宋" w:hAnsi="仿宋" w:eastAsia="仿宋"/>
          <w:sz w:val="28"/>
          <w:u w:val="single"/>
        </w:rPr>
        <w:t>价</w:t>
      </w:r>
    </w:p>
    <w:p>
      <w:pPr>
        <w:pStyle w:val="5"/>
        <w:spacing w:before="4"/>
        <w:rPr>
          <w:rFonts w:ascii="仿宋"/>
          <w:sz w:val="14"/>
        </w:rPr>
      </w:pPr>
    </w:p>
    <w:p>
      <w:pPr>
        <w:tabs>
          <w:tab w:val="left" w:pos="7877"/>
        </w:tabs>
        <w:spacing w:before="24"/>
        <w:ind w:left="1088"/>
        <w:rPr>
          <w:rFonts w:ascii="Times New Roman" w:eastAsia="Times New Roman"/>
          <w:sz w:val="28"/>
        </w:rPr>
      </w:pPr>
      <w:r>
        <w:rPr>
          <w:rFonts w:hint="eastAsia" w:ascii="仿宋" w:eastAsia="仿宋"/>
          <w:spacing w:val="-1"/>
          <w:sz w:val="28"/>
        </w:rPr>
        <w:t>项</w:t>
      </w:r>
      <w:r>
        <w:rPr>
          <w:rFonts w:hint="eastAsia" w:ascii="仿宋" w:eastAsia="仿宋"/>
          <w:spacing w:val="-3"/>
          <w:sz w:val="28"/>
        </w:rPr>
        <w:t>目</w:t>
      </w:r>
      <w:r>
        <w:rPr>
          <w:rFonts w:hint="eastAsia" w:ascii="仿宋" w:eastAsia="仿宋"/>
          <w:spacing w:val="-1"/>
          <w:sz w:val="28"/>
        </w:rPr>
        <w:t>名称</w:t>
      </w:r>
      <w:r>
        <w:rPr>
          <w:rFonts w:hint="eastAsia" w:ascii="仿宋" w:eastAsia="仿宋"/>
          <w:sz w:val="28"/>
        </w:rPr>
        <w:t>：</w:t>
      </w:r>
      <w:r>
        <w:rPr>
          <w:rFonts w:hint="eastAsia" w:ascii="仿宋" w:eastAsia="仿宋"/>
          <w:spacing w:val="-2"/>
          <w:sz w:val="28"/>
          <w:u w:val="single"/>
        </w:rPr>
        <w:t xml:space="preserve">         </w:t>
      </w:r>
      <w:r>
        <w:rPr>
          <w:rFonts w:hint="eastAsia" w:ascii="Times New Roman" w:eastAsia="宋体"/>
          <w:sz w:val="28"/>
          <w:u w:val="single"/>
        </w:rPr>
        <w:t>防汛抗旱工作经费</w:t>
      </w:r>
      <w:r>
        <w:rPr>
          <w:rFonts w:ascii="Times New Roman" w:eastAsia="Times New Roman"/>
          <w:sz w:val="28"/>
          <w:u w:val="single"/>
        </w:rPr>
        <w:tab/>
      </w:r>
    </w:p>
    <w:p>
      <w:pPr>
        <w:pStyle w:val="5"/>
        <w:spacing w:before="4"/>
        <w:rPr>
          <w:rFonts w:ascii="Times New Roman"/>
          <w:sz w:val="16"/>
        </w:rPr>
      </w:pPr>
    </w:p>
    <w:p>
      <w:pPr>
        <w:tabs>
          <w:tab w:val="left" w:pos="8016"/>
        </w:tabs>
        <w:spacing w:before="24"/>
        <w:ind w:left="1088"/>
        <w:rPr>
          <w:rFonts w:ascii="Times New Roman" w:eastAsia="Times New Roman"/>
          <w:sz w:val="28"/>
        </w:rPr>
      </w:pPr>
      <w:r>
        <w:rPr>
          <w:rFonts w:hint="eastAsia" w:ascii="仿宋" w:eastAsia="仿宋"/>
          <w:spacing w:val="-1"/>
          <w:sz w:val="28"/>
        </w:rPr>
        <w:t>项</w:t>
      </w:r>
      <w:r>
        <w:rPr>
          <w:rFonts w:hint="eastAsia" w:ascii="仿宋" w:eastAsia="仿宋"/>
          <w:spacing w:val="-3"/>
          <w:sz w:val="28"/>
        </w:rPr>
        <w:t>目</w:t>
      </w:r>
      <w:r>
        <w:rPr>
          <w:rFonts w:hint="eastAsia" w:ascii="仿宋" w:eastAsia="仿宋"/>
          <w:spacing w:val="-1"/>
          <w:sz w:val="28"/>
        </w:rPr>
        <w:t>单位</w:t>
      </w:r>
      <w:r>
        <w:rPr>
          <w:rFonts w:hint="eastAsia" w:ascii="仿宋" w:eastAsia="仿宋"/>
          <w:sz w:val="28"/>
        </w:rPr>
        <w:t>：</w:t>
      </w:r>
      <w:r>
        <w:rPr>
          <w:rFonts w:hint="eastAsia" w:ascii="仿宋" w:eastAsia="仿宋"/>
          <w:spacing w:val="-2"/>
          <w:sz w:val="28"/>
        </w:rPr>
        <w:t xml:space="preserve"> </w:t>
      </w:r>
      <w:r>
        <w:rPr>
          <w:rFonts w:ascii="Times New Roman" w:eastAsia="Times New Roman"/>
          <w:sz w:val="28"/>
          <w:u w:val="single"/>
        </w:rPr>
        <w:t xml:space="preserve"> </w:t>
      </w:r>
      <w:r>
        <w:rPr>
          <w:rFonts w:hint="eastAsia" w:ascii="Times New Roman"/>
          <w:sz w:val="28"/>
          <w:u w:val="single"/>
        </w:rPr>
        <w:t xml:space="preserve">       </w:t>
      </w:r>
      <w:r>
        <w:rPr>
          <w:rFonts w:hint="eastAsia" w:asciiTheme="minorEastAsia" w:hAnsiTheme="minorEastAsia"/>
          <w:sz w:val="28"/>
          <w:u w:val="single"/>
        </w:rPr>
        <w:t>浮梁县应急管理局</w:t>
      </w:r>
      <w:r>
        <w:rPr>
          <w:rFonts w:ascii="Times New Roman" w:eastAsia="Times New Roman"/>
          <w:sz w:val="28"/>
          <w:u w:val="single"/>
        </w:rPr>
        <w:tab/>
      </w:r>
    </w:p>
    <w:p>
      <w:pPr>
        <w:pStyle w:val="5"/>
        <w:spacing w:before="4"/>
        <w:rPr>
          <w:rFonts w:ascii="Times New Roman"/>
          <w:sz w:val="16"/>
        </w:rPr>
      </w:pPr>
    </w:p>
    <w:p>
      <w:pPr>
        <w:tabs>
          <w:tab w:val="left" w:pos="8016"/>
        </w:tabs>
        <w:spacing w:before="24"/>
        <w:ind w:left="1088"/>
        <w:rPr>
          <w:rFonts w:ascii="Times New Roman" w:eastAsia="Times New Roman"/>
          <w:sz w:val="28"/>
        </w:rPr>
      </w:pPr>
      <w:r>
        <w:rPr>
          <w:rFonts w:hint="eastAsia" w:ascii="仿宋" w:eastAsia="仿宋"/>
          <w:spacing w:val="-1"/>
          <w:sz w:val="28"/>
        </w:rPr>
        <w:t>主</w:t>
      </w:r>
      <w:r>
        <w:rPr>
          <w:rFonts w:hint="eastAsia" w:ascii="仿宋" w:eastAsia="仿宋"/>
          <w:spacing w:val="-3"/>
          <w:sz w:val="28"/>
        </w:rPr>
        <w:t>管</w:t>
      </w:r>
      <w:r>
        <w:rPr>
          <w:rFonts w:hint="eastAsia" w:ascii="仿宋" w:eastAsia="仿宋"/>
          <w:spacing w:val="-1"/>
          <w:sz w:val="28"/>
        </w:rPr>
        <w:t>部门</w:t>
      </w:r>
      <w:r>
        <w:rPr>
          <w:rFonts w:hint="eastAsia" w:ascii="仿宋" w:eastAsia="仿宋"/>
          <w:sz w:val="28"/>
        </w:rPr>
        <w:t>：</w:t>
      </w:r>
      <w:r>
        <w:rPr>
          <w:rFonts w:hint="eastAsia" w:ascii="仿宋" w:eastAsia="仿宋"/>
          <w:spacing w:val="-2"/>
          <w:sz w:val="28"/>
        </w:rPr>
        <w:t xml:space="preserve">        </w:t>
      </w:r>
      <w:r>
        <w:rPr>
          <w:rFonts w:ascii="Times New Roman" w:eastAsia="Times New Roman"/>
          <w:sz w:val="28"/>
          <w:u w:val="single"/>
        </w:rPr>
        <w:t xml:space="preserve"> </w:t>
      </w:r>
      <w:r>
        <w:rPr>
          <w:rFonts w:hint="eastAsia" w:asciiTheme="minorEastAsia" w:hAnsiTheme="minorEastAsia"/>
          <w:sz w:val="28"/>
          <w:u w:val="single"/>
        </w:rPr>
        <w:t>江西省应急管理局</w:t>
      </w:r>
      <w:r>
        <w:rPr>
          <w:rFonts w:ascii="Times New Roman" w:eastAsia="Times New Roman"/>
          <w:sz w:val="28"/>
          <w:u w:val="single"/>
        </w:rPr>
        <w:tab/>
      </w:r>
    </w:p>
    <w:p>
      <w:pPr>
        <w:pStyle w:val="5"/>
        <w:spacing w:before="4"/>
        <w:rPr>
          <w:rFonts w:ascii="Times New Roman"/>
          <w:sz w:val="16"/>
        </w:rPr>
      </w:pPr>
    </w:p>
    <w:p>
      <w:pPr>
        <w:tabs>
          <w:tab w:val="left" w:pos="2900"/>
          <w:tab w:val="left" w:pos="4295"/>
          <w:tab w:val="left" w:pos="5420"/>
          <w:tab w:val="left" w:pos="6395"/>
          <w:tab w:val="left" w:pos="6950"/>
        </w:tabs>
        <w:spacing w:before="24"/>
        <w:ind w:left="1088"/>
        <w:rPr>
          <w:rFonts w:ascii="仿宋" w:eastAsia="仿宋"/>
          <w:sz w:val="28"/>
        </w:rPr>
      </w:pPr>
      <w:r>
        <w:rPr>
          <w:rFonts w:hint="eastAsia" w:ascii="仿宋" w:eastAsia="仿宋"/>
          <w:sz w:val="28"/>
        </w:rPr>
        <w:t>评</w:t>
      </w:r>
      <w:r>
        <w:rPr>
          <w:rFonts w:hint="eastAsia" w:ascii="仿宋" w:eastAsia="仿宋"/>
          <w:spacing w:val="-3"/>
          <w:sz w:val="28"/>
        </w:rPr>
        <w:t>价</w:t>
      </w:r>
      <w:r>
        <w:rPr>
          <w:rFonts w:hint="eastAsia" w:ascii="仿宋" w:eastAsia="仿宋"/>
          <w:sz w:val="28"/>
        </w:rPr>
        <w:t>时间：</w:t>
      </w:r>
      <w:r>
        <w:rPr>
          <w:rFonts w:ascii="Times New Roman" w:eastAsia="Times New Roman"/>
          <w:sz w:val="28"/>
          <w:u w:val="single"/>
        </w:rPr>
        <w:t xml:space="preserve"> </w:t>
      </w:r>
      <w:r>
        <w:rPr>
          <w:rFonts w:ascii="Times New Roman" w:eastAsia="Times New Roman"/>
          <w:sz w:val="28"/>
          <w:u w:val="single"/>
        </w:rPr>
        <w:tab/>
      </w:r>
      <w:r>
        <w:rPr>
          <w:rFonts w:ascii="Times New Roman"/>
          <w:sz w:val="28"/>
          <w:u w:val="single"/>
        </w:rPr>
        <w:t>2020</w:t>
      </w:r>
      <w:r>
        <w:rPr>
          <w:rFonts w:hint="eastAsia" w:ascii="仿宋" w:eastAsia="仿宋"/>
          <w:sz w:val="28"/>
          <w:u w:val="single"/>
        </w:rPr>
        <w:t>年12月16日至 2021年</w:t>
      </w:r>
      <w:r>
        <w:rPr>
          <w:rFonts w:hint="eastAsia" w:ascii="仿宋" w:eastAsia="仿宋"/>
          <w:sz w:val="28"/>
          <w:u w:val="single"/>
        </w:rPr>
        <w:tab/>
      </w:r>
      <w:r>
        <w:rPr>
          <w:rFonts w:hint="eastAsia" w:ascii="仿宋" w:eastAsia="仿宋"/>
          <w:sz w:val="28"/>
          <w:u w:val="single"/>
        </w:rPr>
        <w:t>6月</w:t>
      </w:r>
      <w:r>
        <w:rPr>
          <w:rFonts w:hint="eastAsia" w:ascii="仿宋" w:eastAsia="仿宋"/>
          <w:sz w:val="28"/>
          <w:u w:val="single"/>
        </w:rPr>
        <w:tab/>
      </w:r>
      <w:r>
        <w:rPr>
          <w:rFonts w:hint="eastAsia" w:ascii="仿宋" w:eastAsia="仿宋"/>
          <w:sz w:val="28"/>
          <w:u w:val="single"/>
        </w:rPr>
        <w:t xml:space="preserve">15日    </w:t>
      </w:r>
    </w:p>
    <w:p>
      <w:pPr>
        <w:pStyle w:val="5"/>
        <w:spacing w:before="1"/>
        <w:rPr>
          <w:rFonts w:ascii="仿宋"/>
          <w:sz w:val="15"/>
        </w:rPr>
      </w:pPr>
    </w:p>
    <w:p>
      <w:pPr>
        <w:tabs>
          <w:tab w:val="left" w:pos="4548"/>
          <w:tab w:val="left" w:pos="6607"/>
        </w:tabs>
        <w:spacing w:before="15"/>
        <w:ind w:left="1088"/>
        <w:rPr>
          <w:rFonts w:ascii="仿宋" w:hAnsi="仿宋" w:eastAsia="仿宋"/>
          <w:sz w:val="28"/>
        </w:rPr>
      </w:pPr>
      <w:r>
        <w:rPr>
          <w:rFonts w:hint="eastAsia" w:ascii="仿宋" w:hAnsi="仿宋" w:eastAsia="仿宋"/>
          <w:sz w:val="28"/>
        </w:rPr>
        <w:t>组</w:t>
      </w:r>
      <w:r>
        <w:rPr>
          <w:rFonts w:hint="eastAsia" w:ascii="仿宋" w:hAnsi="仿宋" w:eastAsia="仿宋"/>
          <w:spacing w:val="-3"/>
          <w:sz w:val="28"/>
        </w:rPr>
        <w:t>织</w:t>
      </w:r>
      <w:r>
        <w:rPr>
          <w:rFonts w:hint="eastAsia" w:ascii="仿宋" w:hAnsi="仿宋" w:eastAsia="仿宋"/>
          <w:sz w:val="28"/>
        </w:rPr>
        <w:t>方式</w:t>
      </w:r>
      <w:r>
        <w:rPr>
          <w:rFonts w:hint="eastAsia" w:ascii="仿宋" w:hAnsi="仿宋" w:eastAsia="仿宋"/>
          <w:spacing w:val="-22"/>
          <w:sz w:val="28"/>
        </w:rPr>
        <w:t>：</w:t>
      </w:r>
      <w:r>
        <w:rPr>
          <w:rFonts w:hint="eastAsia" w:ascii="仿宋" w:hAnsi="仿宋" w:eastAsia="仿宋"/>
          <w:spacing w:val="-22"/>
          <w:sz w:val="28"/>
          <w:u w:val="single"/>
        </w:rPr>
        <w:t>□</w:t>
      </w:r>
      <w:r>
        <w:rPr>
          <w:rFonts w:hint="eastAsia" w:ascii="仿宋" w:hAnsi="仿宋" w:eastAsia="仿宋"/>
          <w:sz w:val="28"/>
          <w:u w:val="single"/>
        </w:rPr>
        <w:t>财</w:t>
      </w:r>
      <w:r>
        <w:rPr>
          <w:rFonts w:hint="eastAsia" w:ascii="仿宋" w:hAnsi="仿宋" w:eastAsia="仿宋"/>
          <w:spacing w:val="-3"/>
          <w:sz w:val="28"/>
          <w:u w:val="single"/>
        </w:rPr>
        <w:t>政</w:t>
      </w:r>
      <w:r>
        <w:rPr>
          <w:rFonts w:hint="eastAsia" w:ascii="仿宋" w:hAnsi="仿宋" w:eastAsia="仿宋"/>
          <w:sz w:val="28"/>
          <w:u w:val="single"/>
        </w:rPr>
        <w:t>部门</w:t>
      </w:r>
      <w:r>
        <w:rPr>
          <w:rFonts w:hint="eastAsia" w:ascii="仿宋" w:hAnsi="仿宋" w:eastAsia="仿宋"/>
          <w:sz w:val="28"/>
        </w:rPr>
        <w:tab/>
      </w:r>
      <w:r>
        <w:rPr>
          <w:rFonts w:hint="eastAsia" w:ascii="仿宋" w:hAnsi="仿宋" w:eastAsia="仿宋"/>
          <w:spacing w:val="-41"/>
          <w:sz w:val="28"/>
          <w:u w:val="single"/>
        </w:rPr>
        <w:t>□</w:t>
      </w:r>
      <w:r>
        <w:rPr>
          <w:rFonts w:hint="eastAsia" w:ascii="仿宋" w:hAnsi="仿宋" w:eastAsia="仿宋"/>
          <w:sz w:val="28"/>
          <w:u w:val="single"/>
        </w:rPr>
        <w:t>主</w:t>
      </w:r>
      <w:r>
        <w:rPr>
          <w:rFonts w:hint="eastAsia" w:ascii="仿宋" w:hAnsi="仿宋" w:eastAsia="仿宋"/>
          <w:spacing w:val="-3"/>
          <w:sz w:val="28"/>
          <w:u w:val="single"/>
        </w:rPr>
        <w:t>管</w:t>
      </w:r>
      <w:r>
        <w:rPr>
          <w:rFonts w:hint="eastAsia" w:ascii="仿宋" w:hAnsi="仿宋" w:eastAsia="仿宋"/>
          <w:sz w:val="28"/>
          <w:u w:val="single"/>
        </w:rPr>
        <w:t>部门</w:t>
      </w:r>
      <w:r>
        <w:rPr>
          <w:rFonts w:hint="eastAsia" w:ascii="仿宋" w:hAnsi="仿宋" w:eastAsia="仿宋"/>
          <w:sz w:val="28"/>
        </w:rPr>
        <w:tab/>
      </w:r>
      <w:r>
        <w:rPr>
          <w:rFonts w:hint="eastAsia" w:ascii="仿宋" w:hAnsi="仿宋" w:eastAsia="仿宋"/>
          <w:sz w:val="28"/>
        </w:rPr>
        <w:t>√</w:t>
      </w:r>
      <w:r>
        <w:rPr>
          <w:rFonts w:hint="eastAsia" w:ascii="仿宋" w:hAnsi="仿宋" w:eastAsia="仿宋"/>
          <w:spacing w:val="-1"/>
          <w:sz w:val="28"/>
          <w:u w:val="single"/>
        </w:rPr>
        <w:t>项</w:t>
      </w:r>
      <w:r>
        <w:rPr>
          <w:rFonts w:hint="eastAsia" w:ascii="仿宋" w:hAnsi="仿宋" w:eastAsia="仿宋"/>
          <w:spacing w:val="-3"/>
          <w:sz w:val="28"/>
          <w:u w:val="single"/>
        </w:rPr>
        <w:t>目</w:t>
      </w:r>
      <w:r>
        <w:rPr>
          <w:rFonts w:hint="eastAsia" w:ascii="仿宋" w:hAnsi="仿宋" w:eastAsia="仿宋"/>
          <w:spacing w:val="-1"/>
          <w:sz w:val="28"/>
          <w:u w:val="single"/>
        </w:rPr>
        <w:t>单</w:t>
      </w:r>
      <w:r>
        <w:rPr>
          <w:rFonts w:hint="eastAsia" w:ascii="仿宋" w:hAnsi="仿宋" w:eastAsia="仿宋"/>
          <w:sz w:val="28"/>
          <w:u w:val="single"/>
        </w:rPr>
        <w:t>位</w:t>
      </w:r>
    </w:p>
    <w:p>
      <w:pPr>
        <w:pStyle w:val="5"/>
        <w:spacing w:before="12"/>
        <w:rPr>
          <w:rFonts w:ascii="仿宋"/>
          <w:sz w:val="14"/>
        </w:rPr>
      </w:pPr>
    </w:p>
    <w:p>
      <w:pPr>
        <w:tabs>
          <w:tab w:val="left" w:pos="4548"/>
          <w:tab w:val="left" w:pos="6048"/>
        </w:tabs>
        <w:spacing w:before="14"/>
        <w:ind w:left="1088"/>
        <w:rPr>
          <w:rFonts w:ascii="仿宋" w:hAnsi="仿宋" w:eastAsia="仿宋"/>
          <w:sz w:val="28"/>
        </w:rPr>
      </w:pPr>
      <w:r>
        <w:rPr>
          <w:rFonts w:hint="eastAsia" w:ascii="仿宋" w:hAnsi="仿宋" w:eastAsia="仿宋"/>
          <w:sz w:val="28"/>
        </w:rPr>
        <w:t>评</w:t>
      </w:r>
      <w:r>
        <w:rPr>
          <w:rFonts w:hint="eastAsia" w:ascii="仿宋" w:hAnsi="仿宋" w:eastAsia="仿宋"/>
          <w:spacing w:val="-3"/>
          <w:sz w:val="28"/>
        </w:rPr>
        <w:t>价</w:t>
      </w:r>
      <w:r>
        <w:rPr>
          <w:rFonts w:hint="eastAsia" w:ascii="仿宋" w:hAnsi="仿宋" w:eastAsia="仿宋"/>
          <w:sz w:val="28"/>
        </w:rPr>
        <w:t>机构</w:t>
      </w:r>
      <w:r>
        <w:rPr>
          <w:rFonts w:hint="eastAsia" w:ascii="仿宋" w:hAnsi="仿宋" w:eastAsia="仿宋"/>
          <w:spacing w:val="-22"/>
          <w:sz w:val="28"/>
        </w:rPr>
        <w:t>：</w:t>
      </w:r>
      <w:r>
        <w:rPr>
          <w:rFonts w:hint="eastAsia" w:ascii="仿宋" w:hAnsi="仿宋" w:eastAsia="仿宋"/>
          <w:spacing w:val="-22"/>
          <w:sz w:val="28"/>
          <w:u w:val="single"/>
        </w:rPr>
        <w:t>□</w:t>
      </w:r>
      <w:r>
        <w:rPr>
          <w:rFonts w:hint="eastAsia" w:ascii="仿宋" w:hAnsi="仿宋" w:eastAsia="仿宋"/>
          <w:sz w:val="28"/>
          <w:u w:val="single"/>
        </w:rPr>
        <w:t>第</w:t>
      </w:r>
      <w:r>
        <w:rPr>
          <w:rFonts w:hint="eastAsia" w:ascii="仿宋" w:hAnsi="仿宋" w:eastAsia="仿宋"/>
          <w:spacing w:val="-3"/>
          <w:sz w:val="28"/>
          <w:u w:val="single"/>
        </w:rPr>
        <w:t>三</w:t>
      </w:r>
      <w:r>
        <w:rPr>
          <w:rFonts w:hint="eastAsia" w:ascii="仿宋" w:hAnsi="仿宋" w:eastAsia="仿宋"/>
          <w:sz w:val="28"/>
          <w:u w:val="single"/>
        </w:rPr>
        <w:t>方机构</w:t>
      </w:r>
      <w:r>
        <w:rPr>
          <w:rFonts w:hint="eastAsia" w:ascii="仿宋" w:hAnsi="仿宋" w:eastAsia="仿宋"/>
          <w:sz w:val="28"/>
        </w:rPr>
        <w:tab/>
      </w:r>
      <w:r>
        <w:rPr>
          <w:rFonts w:hint="eastAsia" w:ascii="仿宋" w:hAnsi="仿宋" w:eastAsia="仿宋"/>
          <w:spacing w:val="-41"/>
          <w:sz w:val="28"/>
          <w:u w:val="single"/>
        </w:rPr>
        <w:t>□</w:t>
      </w:r>
      <w:r>
        <w:rPr>
          <w:rFonts w:hint="eastAsia" w:ascii="仿宋" w:hAnsi="仿宋" w:eastAsia="仿宋"/>
          <w:sz w:val="28"/>
          <w:u w:val="single"/>
        </w:rPr>
        <w:t>专</w:t>
      </w:r>
      <w:r>
        <w:rPr>
          <w:rFonts w:hint="eastAsia" w:ascii="仿宋" w:hAnsi="仿宋" w:eastAsia="仿宋"/>
          <w:spacing w:val="-3"/>
          <w:sz w:val="28"/>
          <w:u w:val="single"/>
        </w:rPr>
        <w:t>家</w:t>
      </w:r>
      <w:r>
        <w:rPr>
          <w:rFonts w:hint="eastAsia" w:ascii="仿宋" w:hAnsi="仿宋" w:eastAsia="仿宋"/>
          <w:sz w:val="28"/>
          <w:u w:val="single"/>
        </w:rPr>
        <w:t>组</w:t>
      </w:r>
      <w:r>
        <w:rPr>
          <w:rFonts w:hint="eastAsia" w:ascii="仿宋" w:hAnsi="仿宋" w:eastAsia="仿宋"/>
          <w:sz w:val="28"/>
        </w:rPr>
        <w:tab/>
      </w:r>
      <w:r>
        <w:rPr>
          <w:rFonts w:hint="eastAsia" w:ascii="仿宋" w:hAnsi="仿宋" w:eastAsia="仿宋"/>
          <w:sz w:val="28"/>
        </w:rPr>
        <w:t>√</w:t>
      </w:r>
      <w:r>
        <w:rPr>
          <w:rFonts w:hint="eastAsia" w:ascii="仿宋" w:hAnsi="仿宋" w:eastAsia="仿宋"/>
          <w:spacing w:val="-1"/>
          <w:sz w:val="28"/>
          <w:u w:val="single"/>
        </w:rPr>
        <w:t>项</w:t>
      </w:r>
      <w:r>
        <w:rPr>
          <w:rFonts w:hint="eastAsia" w:ascii="仿宋" w:hAnsi="仿宋" w:eastAsia="仿宋"/>
          <w:spacing w:val="-3"/>
          <w:sz w:val="28"/>
          <w:u w:val="single"/>
        </w:rPr>
        <w:t>目</w:t>
      </w:r>
      <w:r>
        <w:rPr>
          <w:rFonts w:hint="eastAsia" w:ascii="仿宋" w:hAnsi="仿宋" w:eastAsia="仿宋"/>
          <w:spacing w:val="-1"/>
          <w:sz w:val="28"/>
          <w:u w:val="single"/>
        </w:rPr>
        <w:t>单位</w:t>
      </w:r>
      <w:r>
        <w:rPr>
          <w:rFonts w:hint="eastAsia" w:ascii="仿宋" w:hAnsi="仿宋" w:eastAsia="仿宋"/>
          <w:spacing w:val="-3"/>
          <w:sz w:val="28"/>
          <w:u w:val="single"/>
        </w:rPr>
        <w:t>评</w:t>
      </w:r>
      <w:r>
        <w:rPr>
          <w:rFonts w:hint="eastAsia" w:ascii="仿宋" w:hAnsi="仿宋" w:eastAsia="仿宋"/>
          <w:spacing w:val="-1"/>
          <w:sz w:val="28"/>
          <w:u w:val="single"/>
        </w:rPr>
        <w:t>价</w:t>
      </w:r>
      <w:r>
        <w:rPr>
          <w:rFonts w:hint="eastAsia" w:ascii="仿宋" w:hAnsi="仿宋" w:eastAsia="仿宋"/>
          <w:sz w:val="28"/>
          <w:u w:val="single"/>
        </w:rPr>
        <w:t>组</w:t>
      </w:r>
    </w:p>
    <w:p>
      <w:pPr>
        <w:pStyle w:val="5"/>
        <w:rPr>
          <w:rFonts w:ascii="仿宋"/>
          <w:sz w:val="20"/>
        </w:rPr>
      </w:pPr>
    </w:p>
    <w:p>
      <w:pPr>
        <w:pStyle w:val="5"/>
        <w:rPr>
          <w:rFonts w:ascii="仿宋"/>
          <w:sz w:val="20"/>
          <w:lang w:eastAsia="zh-CN"/>
        </w:rPr>
      </w:pPr>
    </w:p>
    <w:p>
      <w:pPr>
        <w:pStyle w:val="5"/>
        <w:spacing w:before="11"/>
        <w:rPr>
          <w:rFonts w:ascii="仿宋"/>
          <w:sz w:val="15"/>
          <w:lang w:eastAsia="zh-CN"/>
        </w:rPr>
      </w:pPr>
    </w:p>
    <w:p>
      <w:pPr>
        <w:tabs>
          <w:tab w:val="left" w:pos="3808"/>
        </w:tabs>
        <w:spacing w:before="15"/>
        <w:ind w:left="1052" w:firstLine="840" w:firstLineChars="300"/>
        <w:rPr>
          <w:rFonts w:ascii="仿宋" w:eastAsia="仿宋"/>
          <w:sz w:val="28"/>
        </w:rPr>
      </w:pPr>
      <w:r>
        <w:rPr>
          <w:rFonts w:hint="eastAsia" w:ascii="仿宋" w:eastAsia="仿宋"/>
          <w:sz w:val="28"/>
        </w:rPr>
        <w:t>评价单位（盖章）：浮梁县应急管理局</w:t>
      </w:r>
    </w:p>
    <w:p>
      <w:pPr>
        <w:tabs>
          <w:tab w:val="left" w:pos="3808"/>
        </w:tabs>
        <w:spacing w:before="15"/>
        <w:ind w:firstLine="2800" w:firstLineChars="1000"/>
        <w:rPr>
          <w:rFonts w:ascii="仿宋" w:eastAsia="仿宋"/>
          <w:sz w:val="28"/>
        </w:rPr>
      </w:pPr>
      <w:r>
        <w:rPr>
          <w:rFonts w:hint="eastAsia" w:ascii="仿宋" w:eastAsia="仿宋"/>
          <w:sz w:val="28"/>
        </w:rPr>
        <w:t>上报时间：2021年6月16日</w:t>
      </w:r>
    </w:p>
    <w:p>
      <w:pPr>
        <w:jc w:val="center"/>
        <w:rPr>
          <w:rFonts w:ascii="黑体" w:hAnsi="黑体" w:eastAsia="黑体"/>
          <w:sz w:val="44"/>
          <w:szCs w:val="44"/>
        </w:rPr>
      </w:pPr>
    </w:p>
    <w:sdt>
      <w:sdtPr>
        <w:rPr>
          <w:rFonts w:ascii="宋体" w:hAnsi="宋体" w:eastAsia="宋体"/>
        </w:rPr>
        <w:id w:val="147473384"/>
        <w:docPartObj>
          <w:docPartGallery w:val="Table of Contents"/>
          <w:docPartUnique/>
        </w:docPartObj>
      </w:sdtPr>
      <w:sdtEndPr>
        <w:rPr>
          <w:rFonts w:hint="eastAsia" w:ascii="仿宋" w:hAnsi="仿宋" w:eastAsia="仿宋" w:cs="仿宋"/>
        </w:rPr>
      </w:sdtEndPr>
      <w:sdtContent>
        <w:p>
          <w:pPr>
            <w:jc w:val="center"/>
          </w:pPr>
          <w:bookmarkStart w:id="3" w:name="_Toc17181"/>
          <w:r>
            <w:rPr>
              <w:rFonts w:ascii="宋体" w:hAnsi="宋体" w:eastAsia="宋体"/>
            </w:rPr>
            <w:t>目录</w:t>
          </w:r>
        </w:p>
        <w:p>
          <w:pPr>
            <w:pStyle w:val="10"/>
            <w:tabs>
              <w:tab w:val="right" w:leader="dot" w:pos="8306"/>
            </w:tabs>
            <w:rPr>
              <w:rFonts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TOC \o "1-3" \h \u </w:instrText>
          </w:r>
          <w:r>
            <w:rPr>
              <w:rFonts w:hint="eastAsia" w:ascii="仿宋" w:hAnsi="仿宋" w:eastAsia="仿宋" w:cs="仿宋"/>
              <w:szCs w:val="21"/>
            </w:rPr>
            <w:fldChar w:fldCharType="separate"/>
          </w:r>
          <w:r>
            <w:fldChar w:fldCharType="begin"/>
          </w:r>
          <w:r>
            <w:instrText xml:space="preserve"> HYPERLINK \l "_Toc20262" </w:instrText>
          </w:r>
          <w:r>
            <w:fldChar w:fldCharType="separate"/>
          </w:r>
          <w:r>
            <w:rPr>
              <w:rFonts w:hint="eastAsia" w:ascii="仿宋" w:hAnsi="仿宋" w:eastAsia="仿宋" w:cs="仿宋"/>
              <w:w w:val="95"/>
              <w:szCs w:val="21"/>
            </w:rPr>
            <w:t>封面</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_Toc20262 \h </w:instrText>
          </w:r>
          <w:r>
            <w:rPr>
              <w:rFonts w:hint="eastAsia" w:ascii="仿宋" w:hAnsi="仿宋" w:eastAsia="仿宋" w:cs="仿宋"/>
              <w:szCs w:val="21"/>
            </w:rPr>
            <w:fldChar w:fldCharType="separate"/>
          </w:r>
          <w:r>
            <w:rPr>
              <w:rFonts w:hint="eastAsia" w:ascii="仿宋" w:hAnsi="仿宋" w:eastAsia="仿宋" w:cs="仿宋"/>
              <w:szCs w:val="21"/>
            </w:rPr>
            <w:t>1</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10"/>
            <w:tabs>
              <w:tab w:val="right" w:leader="dot" w:pos="8306"/>
            </w:tabs>
            <w:rPr>
              <w:rFonts w:ascii="仿宋" w:hAnsi="仿宋" w:eastAsia="仿宋" w:cs="仿宋"/>
              <w:szCs w:val="21"/>
            </w:rPr>
          </w:pPr>
          <w:r>
            <w:fldChar w:fldCharType="begin"/>
          </w:r>
          <w:r>
            <w:instrText xml:space="preserve"> HYPERLINK \l "_Toc12156" </w:instrText>
          </w:r>
          <w:r>
            <w:fldChar w:fldCharType="separate"/>
          </w:r>
          <w:r>
            <w:rPr>
              <w:rFonts w:hint="eastAsia" w:ascii="仿宋" w:hAnsi="仿宋" w:eastAsia="仿宋" w:cs="仿宋"/>
              <w:w w:val="95"/>
              <w:szCs w:val="21"/>
            </w:rPr>
            <w:t>目录</w:t>
          </w:r>
          <w:r>
            <w:rPr>
              <w:rFonts w:hint="eastAsia" w:ascii="仿宋" w:hAnsi="仿宋" w:eastAsia="仿宋" w:cs="仿宋"/>
              <w:szCs w:val="21"/>
            </w:rPr>
            <w:tab/>
          </w:r>
          <w:r>
            <w:rPr>
              <w:rFonts w:hint="eastAsia" w:ascii="仿宋" w:hAnsi="仿宋" w:eastAsia="仿宋" w:cs="仿宋"/>
              <w:szCs w:val="21"/>
            </w:rPr>
            <w:t>2</w:t>
          </w:r>
          <w:r>
            <w:rPr>
              <w:rFonts w:hint="eastAsia" w:ascii="仿宋" w:hAnsi="仿宋" w:eastAsia="仿宋" w:cs="仿宋"/>
              <w:szCs w:val="21"/>
            </w:rPr>
            <w:fldChar w:fldCharType="end"/>
          </w:r>
        </w:p>
        <w:p>
          <w:pPr>
            <w:pStyle w:val="10"/>
            <w:tabs>
              <w:tab w:val="right" w:leader="dot" w:pos="8306"/>
            </w:tabs>
            <w:rPr>
              <w:rFonts w:ascii="仿宋" w:hAnsi="仿宋" w:eastAsia="仿宋" w:cs="仿宋"/>
              <w:szCs w:val="21"/>
            </w:rPr>
          </w:pPr>
          <w:r>
            <w:fldChar w:fldCharType="begin"/>
          </w:r>
          <w:r>
            <w:instrText xml:space="preserve"> HYPERLINK \l "_Toc23029" </w:instrText>
          </w:r>
          <w:r>
            <w:fldChar w:fldCharType="separate"/>
          </w:r>
          <w:r>
            <w:rPr>
              <w:rFonts w:hint="eastAsia" w:ascii="仿宋" w:hAnsi="仿宋" w:eastAsia="仿宋" w:cs="仿宋"/>
              <w:szCs w:val="21"/>
            </w:rPr>
            <w:t>2020年度防汛抗旱工作经费支出绩效评价报告</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_Toc23029 \h </w:instrText>
          </w:r>
          <w:r>
            <w:rPr>
              <w:rFonts w:hint="eastAsia" w:ascii="仿宋" w:hAnsi="仿宋" w:eastAsia="仿宋" w:cs="仿宋"/>
              <w:szCs w:val="21"/>
            </w:rPr>
            <w:fldChar w:fldCharType="separate"/>
          </w:r>
          <w:r>
            <w:rPr>
              <w:rFonts w:hint="eastAsia" w:ascii="仿宋" w:hAnsi="仿宋" w:eastAsia="仿宋" w:cs="仿宋"/>
              <w:szCs w:val="21"/>
            </w:rPr>
            <w:t>3</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10"/>
            <w:tabs>
              <w:tab w:val="right" w:leader="dot" w:pos="8306"/>
            </w:tabs>
            <w:rPr>
              <w:rFonts w:ascii="仿宋" w:hAnsi="仿宋" w:eastAsia="仿宋" w:cs="仿宋"/>
              <w:szCs w:val="21"/>
            </w:rPr>
          </w:pPr>
          <w:r>
            <w:fldChar w:fldCharType="begin"/>
          </w:r>
          <w:r>
            <w:instrText xml:space="preserve"> HYPERLINK \l "_Toc14778" </w:instrText>
          </w:r>
          <w:r>
            <w:fldChar w:fldCharType="separate"/>
          </w:r>
          <w:r>
            <w:rPr>
              <w:rFonts w:hint="eastAsia" w:ascii="仿宋" w:hAnsi="仿宋" w:eastAsia="仿宋" w:cs="仿宋"/>
              <w:w w:val="95"/>
              <w:szCs w:val="21"/>
            </w:rPr>
            <w:t>一、基本情况</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_Toc14778 \h </w:instrText>
          </w:r>
          <w:r>
            <w:rPr>
              <w:rFonts w:hint="eastAsia" w:ascii="仿宋" w:hAnsi="仿宋" w:eastAsia="仿宋" w:cs="仿宋"/>
              <w:szCs w:val="21"/>
            </w:rPr>
            <w:fldChar w:fldCharType="separate"/>
          </w:r>
          <w:r>
            <w:rPr>
              <w:rFonts w:hint="eastAsia" w:ascii="仿宋" w:hAnsi="仿宋" w:eastAsia="仿宋" w:cs="仿宋"/>
              <w:szCs w:val="21"/>
            </w:rPr>
            <w:t>3</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11"/>
            <w:tabs>
              <w:tab w:val="right" w:leader="dot" w:pos="8306"/>
            </w:tabs>
            <w:rPr>
              <w:rFonts w:ascii="仿宋" w:hAnsi="仿宋" w:eastAsia="仿宋" w:cs="仿宋"/>
              <w:szCs w:val="21"/>
            </w:rPr>
          </w:pPr>
          <w:r>
            <w:fldChar w:fldCharType="begin"/>
          </w:r>
          <w:r>
            <w:instrText xml:space="preserve"> HYPERLINK \l "_Toc3774" </w:instrText>
          </w:r>
          <w:r>
            <w:fldChar w:fldCharType="separate"/>
          </w:r>
          <w:r>
            <w:rPr>
              <w:rFonts w:hint="eastAsia" w:ascii="仿宋" w:hAnsi="仿宋" w:eastAsia="仿宋" w:cs="仿宋"/>
              <w:w w:val="95"/>
              <w:szCs w:val="21"/>
            </w:rPr>
            <w:t>（一）项目概况</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_Toc3774 \h </w:instrText>
          </w:r>
          <w:r>
            <w:rPr>
              <w:rFonts w:hint="eastAsia" w:ascii="仿宋" w:hAnsi="仿宋" w:eastAsia="仿宋" w:cs="仿宋"/>
              <w:szCs w:val="21"/>
            </w:rPr>
            <w:fldChar w:fldCharType="separate"/>
          </w:r>
          <w:r>
            <w:rPr>
              <w:rFonts w:hint="eastAsia" w:ascii="仿宋" w:hAnsi="仿宋" w:eastAsia="仿宋" w:cs="仿宋"/>
              <w:szCs w:val="21"/>
            </w:rPr>
            <w:t>3</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11"/>
            <w:tabs>
              <w:tab w:val="right" w:leader="dot" w:pos="8306"/>
            </w:tabs>
            <w:rPr>
              <w:rFonts w:ascii="仿宋" w:hAnsi="仿宋" w:eastAsia="仿宋" w:cs="仿宋"/>
              <w:szCs w:val="21"/>
            </w:rPr>
          </w:pPr>
          <w:r>
            <w:fldChar w:fldCharType="begin"/>
          </w:r>
          <w:r>
            <w:instrText xml:space="preserve"> HYPERLINK \l "_Toc14282" </w:instrText>
          </w:r>
          <w:r>
            <w:fldChar w:fldCharType="separate"/>
          </w:r>
          <w:r>
            <w:rPr>
              <w:rFonts w:hint="eastAsia" w:ascii="仿宋" w:hAnsi="仿宋" w:eastAsia="仿宋" w:cs="仿宋"/>
              <w:w w:val="95"/>
              <w:szCs w:val="21"/>
            </w:rPr>
            <w:t>（二）项目绩效目标、包括总体目标和阶段性目标。</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_Toc14282 \h </w:instrText>
          </w:r>
          <w:r>
            <w:rPr>
              <w:rFonts w:hint="eastAsia" w:ascii="仿宋" w:hAnsi="仿宋" w:eastAsia="仿宋" w:cs="仿宋"/>
              <w:szCs w:val="21"/>
            </w:rPr>
            <w:fldChar w:fldCharType="separate"/>
          </w:r>
          <w:r>
            <w:rPr>
              <w:rFonts w:hint="eastAsia" w:ascii="仿宋" w:hAnsi="仿宋" w:eastAsia="仿宋" w:cs="仿宋"/>
              <w:szCs w:val="21"/>
            </w:rPr>
            <w:t>4</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6"/>
            <w:tabs>
              <w:tab w:val="right" w:leader="dot" w:pos="8306"/>
            </w:tabs>
            <w:rPr>
              <w:rFonts w:ascii="仿宋" w:hAnsi="仿宋" w:eastAsia="仿宋" w:cs="仿宋"/>
              <w:szCs w:val="21"/>
            </w:rPr>
          </w:pPr>
          <w:r>
            <w:fldChar w:fldCharType="begin"/>
          </w:r>
          <w:r>
            <w:instrText xml:space="preserve"> HYPERLINK \l "_Toc19343" </w:instrText>
          </w:r>
          <w:r>
            <w:fldChar w:fldCharType="separate"/>
          </w:r>
          <w:r>
            <w:rPr>
              <w:rFonts w:hint="eastAsia" w:ascii="仿宋" w:hAnsi="仿宋" w:eastAsia="仿宋" w:cs="仿宋"/>
              <w:szCs w:val="21"/>
            </w:rPr>
            <w:t>（1）总体目标</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_Toc19343 \h </w:instrText>
          </w:r>
          <w:r>
            <w:rPr>
              <w:rFonts w:hint="eastAsia" w:ascii="仿宋" w:hAnsi="仿宋" w:eastAsia="仿宋" w:cs="仿宋"/>
              <w:szCs w:val="21"/>
            </w:rPr>
            <w:fldChar w:fldCharType="separate"/>
          </w:r>
          <w:r>
            <w:rPr>
              <w:rFonts w:hint="eastAsia" w:ascii="仿宋" w:hAnsi="仿宋" w:eastAsia="仿宋" w:cs="仿宋"/>
              <w:szCs w:val="21"/>
            </w:rPr>
            <w:t>4</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6"/>
            <w:tabs>
              <w:tab w:val="right" w:leader="dot" w:pos="8306"/>
            </w:tabs>
            <w:rPr>
              <w:rFonts w:ascii="仿宋" w:hAnsi="仿宋" w:eastAsia="仿宋" w:cs="仿宋"/>
              <w:szCs w:val="21"/>
            </w:rPr>
          </w:pPr>
          <w:r>
            <w:fldChar w:fldCharType="begin"/>
          </w:r>
          <w:r>
            <w:instrText xml:space="preserve"> HYPERLINK \l "_Toc3575" </w:instrText>
          </w:r>
          <w:r>
            <w:fldChar w:fldCharType="separate"/>
          </w:r>
          <w:r>
            <w:rPr>
              <w:rFonts w:hint="eastAsia" w:ascii="仿宋" w:hAnsi="仿宋" w:eastAsia="仿宋" w:cs="仿宋"/>
              <w:szCs w:val="21"/>
            </w:rPr>
            <w:t>（2）阶段性工作目标</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_Toc3575 \h </w:instrText>
          </w:r>
          <w:r>
            <w:rPr>
              <w:rFonts w:hint="eastAsia" w:ascii="仿宋" w:hAnsi="仿宋" w:eastAsia="仿宋" w:cs="仿宋"/>
              <w:szCs w:val="21"/>
            </w:rPr>
            <w:fldChar w:fldCharType="separate"/>
          </w:r>
          <w:r>
            <w:rPr>
              <w:rFonts w:hint="eastAsia" w:ascii="仿宋" w:hAnsi="仿宋" w:eastAsia="仿宋" w:cs="仿宋"/>
              <w:szCs w:val="21"/>
            </w:rPr>
            <w:t>4</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10"/>
            <w:tabs>
              <w:tab w:val="right" w:leader="dot" w:pos="8306"/>
            </w:tabs>
            <w:rPr>
              <w:rFonts w:ascii="仿宋" w:hAnsi="仿宋" w:eastAsia="仿宋" w:cs="仿宋"/>
              <w:szCs w:val="21"/>
            </w:rPr>
          </w:pPr>
          <w:r>
            <w:fldChar w:fldCharType="begin"/>
          </w:r>
          <w:r>
            <w:instrText xml:space="preserve"> HYPERLINK \l "_Toc13496" </w:instrText>
          </w:r>
          <w:r>
            <w:fldChar w:fldCharType="separate"/>
          </w:r>
          <w:r>
            <w:rPr>
              <w:rFonts w:hint="eastAsia" w:ascii="仿宋" w:hAnsi="仿宋" w:eastAsia="仿宋" w:cs="仿宋"/>
              <w:w w:val="95"/>
              <w:szCs w:val="21"/>
            </w:rPr>
            <w:t>二、绩效评价工作开展情况</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_Toc13496 \h </w:instrText>
          </w:r>
          <w:r>
            <w:rPr>
              <w:rFonts w:hint="eastAsia" w:ascii="仿宋" w:hAnsi="仿宋" w:eastAsia="仿宋" w:cs="仿宋"/>
              <w:szCs w:val="21"/>
            </w:rPr>
            <w:fldChar w:fldCharType="separate"/>
          </w:r>
          <w:r>
            <w:rPr>
              <w:rFonts w:hint="eastAsia" w:ascii="仿宋" w:hAnsi="仿宋" w:eastAsia="仿宋" w:cs="仿宋"/>
              <w:szCs w:val="21"/>
            </w:rPr>
            <w:t>5</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11"/>
            <w:tabs>
              <w:tab w:val="right" w:leader="dot" w:pos="8306"/>
            </w:tabs>
            <w:rPr>
              <w:rFonts w:ascii="仿宋" w:hAnsi="仿宋" w:eastAsia="仿宋" w:cs="仿宋"/>
              <w:szCs w:val="21"/>
            </w:rPr>
          </w:pPr>
          <w:r>
            <w:fldChar w:fldCharType="begin"/>
          </w:r>
          <w:r>
            <w:instrText xml:space="preserve"> HYPERLINK \l "_Toc4476" </w:instrText>
          </w:r>
          <w:r>
            <w:fldChar w:fldCharType="separate"/>
          </w:r>
          <w:r>
            <w:rPr>
              <w:rFonts w:hint="eastAsia" w:ascii="仿宋" w:hAnsi="仿宋" w:eastAsia="仿宋" w:cs="仿宋"/>
              <w:w w:val="95"/>
              <w:szCs w:val="21"/>
            </w:rPr>
            <w:t>（一）绩效评价目的、对象和范围。</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_Toc4476 \h </w:instrText>
          </w:r>
          <w:r>
            <w:rPr>
              <w:rFonts w:hint="eastAsia" w:ascii="仿宋" w:hAnsi="仿宋" w:eastAsia="仿宋" w:cs="仿宋"/>
              <w:szCs w:val="21"/>
            </w:rPr>
            <w:fldChar w:fldCharType="separate"/>
          </w:r>
          <w:r>
            <w:rPr>
              <w:rFonts w:hint="eastAsia" w:ascii="仿宋" w:hAnsi="仿宋" w:eastAsia="仿宋" w:cs="仿宋"/>
              <w:szCs w:val="21"/>
            </w:rPr>
            <w:t>5</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6"/>
            <w:tabs>
              <w:tab w:val="right" w:leader="dot" w:pos="8306"/>
            </w:tabs>
            <w:rPr>
              <w:rFonts w:ascii="仿宋" w:hAnsi="仿宋" w:eastAsia="仿宋" w:cs="仿宋"/>
              <w:szCs w:val="21"/>
            </w:rPr>
          </w:pPr>
          <w:r>
            <w:fldChar w:fldCharType="begin"/>
          </w:r>
          <w:r>
            <w:instrText xml:space="preserve"> HYPERLINK \l "_Toc30793" </w:instrText>
          </w:r>
          <w:r>
            <w:fldChar w:fldCharType="separate"/>
          </w:r>
          <w:r>
            <w:rPr>
              <w:rFonts w:hint="eastAsia" w:ascii="仿宋" w:hAnsi="仿宋" w:eastAsia="仿宋" w:cs="仿宋"/>
              <w:w w:val="95"/>
              <w:szCs w:val="21"/>
            </w:rPr>
            <w:t>1、评价目的</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_Toc30793 \h </w:instrText>
          </w:r>
          <w:r>
            <w:rPr>
              <w:rFonts w:hint="eastAsia" w:ascii="仿宋" w:hAnsi="仿宋" w:eastAsia="仿宋" w:cs="仿宋"/>
              <w:szCs w:val="21"/>
            </w:rPr>
            <w:fldChar w:fldCharType="separate"/>
          </w:r>
          <w:r>
            <w:rPr>
              <w:rFonts w:hint="eastAsia" w:ascii="仿宋" w:hAnsi="仿宋" w:eastAsia="仿宋" w:cs="仿宋"/>
              <w:szCs w:val="21"/>
            </w:rPr>
            <w:t>5</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6"/>
            <w:tabs>
              <w:tab w:val="right" w:leader="dot" w:pos="8306"/>
            </w:tabs>
            <w:rPr>
              <w:rFonts w:ascii="仿宋" w:hAnsi="仿宋" w:eastAsia="仿宋" w:cs="仿宋"/>
              <w:szCs w:val="21"/>
            </w:rPr>
          </w:pPr>
          <w:r>
            <w:fldChar w:fldCharType="begin"/>
          </w:r>
          <w:r>
            <w:instrText xml:space="preserve"> HYPERLINK \l "_Toc17475" </w:instrText>
          </w:r>
          <w:r>
            <w:fldChar w:fldCharType="separate"/>
          </w:r>
          <w:r>
            <w:rPr>
              <w:rFonts w:hint="eastAsia" w:ascii="仿宋" w:hAnsi="仿宋" w:eastAsia="仿宋" w:cs="仿宋"/>
              <w:szCs w:val="21"/>
            </w:rPr>
            <w:t>2、评价对像和范围</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_Toc17475 \h </w:instrText>
          </w:r>
          <w:r>
            <w:rPr>
              <w:rFonts w:hint="eastAsia" w:ascii="仿宋" w:hAnsi="仿宋" w:eastAsia="仿宋" w:cs="仿宋"/>
              <w:szCs w:val="21"/>
            </w:rPr>
            <w:fldChar w:fldCharType="separate"/>
          </w:r>
          <w:r>
            <w:rPr>
              <w:rFonts w:hint="eastAsia" w:ascii="仿宋" w:hAnsi="仿宋" w:eastAsia="仿宋" w:cs="仿宋"/>
              <w:szCs w:val="21"/>
            </w:rPr>
            <w:t>5</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11"/>
            <w:tabs>
              <w:tab w:val="right" w:leader="dot" w:pos="8306"/>
            </w:tabs>
            <w:rPr>
              <w:rFonts w:ascii="仿宋" w:hAnsi="仿宋" w:eastAsia="仿宋" w:cs="仿宋"/>
              <w:szCs w:val="21"/>
            </w:rPr>
          </w:pPr>
          <w:r>
            <w:fldChar w:fldCharType="begin"/>
          </w:r>
          <w:r>
            <w:instrText xml:space="preserve"> HYPERLINK \l "_Toc14370" </w:instrText>
          </w:r>
          <w:r>
            <w:fldChar w:fldCharType="separate"/>
          </w:r>
          <w:r>
            <w:rPr>
              <w:rFonts w:hint="eastAsia" w:ascii="仿宋" w:hAnsi="仿宋" w:eastAsia="仿宋" w:cs="仿宋"/>
              <w:szCs w:val="21"/>
            </w:rPr>
            <w:t>（二</w:t>
          </w:r>
          <w:r>
            <w:rPr>
              <w:rFonts w:hint="eastAsia" w:ascii="仿宋" w:hAnsi="仿宋" w:eastAsia="仿宋" w:cs="仿宋"/>
              <w:spacing w:val="-17"/>
              <w:szCs w:val="21"/>
            </w:rPr>
            <w:t>）</w:t>
          </w:r>
          <w:r>
            <w:rPr>
              <w:rFonts w:hint="eastAsia" w:ascii="仿宋" w:hAnsi="仿宋" w:eastAsia="仿宋" w:cs="仿宋"/>
              <w:spacing w:val="-5"/>
              <w:szCs w:val="21"/>
            </w:rPr>
            <w:t>绩效评价原则、评价指标体系</w:t>
          </w:r>
          <w:r>
            <w:rPr>
              <w:rFonts w:hint="eastAsia" w:ascii="仿宋" w:hAnsi="仿宋" w:eastAsia="仿宋" w:cs="仿宋"/>
              <w:szCs w:val="21"/>
            </w:rPr>
            <w:t>（附表说明</w:t>
          </w:r>
          <w:r>
            <w:rPr>
              <w:rFonts w:hint="eastAsia" w:ascii="仿宋" w:hAnsi="仿宋" w:eastAsia="仿宋" w:cs="仿宋"/>
              <w:spacing w:val="-159"/>
              <w:szCs w:val="21"/>
            </w:rPr>
            <w:t>）</w:t>
          </w:r>
          <w:r>
            <w:rPr>
              <w:rFonts w:hint="eastAsia" w:ascii="仿宋" w:hAnsi="仿宋" w:eastAsia="仿宋" w:cs="仿宋"/>
              <w:spacing w:val="-5"/>
              <w:szCs w:val="21"/>
            </w:rPr>
            <w:t>、评价方</w:t>
          </w:r>
          <w:r>
            <w:rPr>
              <w:rFonts w:hint="eastAsia" w:ascii="仿宋" w:hAnsi="仿宋" w:eastAsia="仿宋" w:cs="仿宋"/>
              <w:spacing w:val="-5"/>
              <w:w w:val="95"/>
              <w:szCs w:val="21"/>
            </w:rPr>
            <w:t>法、评价标准等。</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_Toc14370 \h </w:instrText>
          </w:r>
          <w:r>
            <w:rPr>
              <w:rFonts w:hint="eastAsia" w:ascii="仿宋" w:hAnsi="仿宋" w:eastAsia="仿宋" w:cs="仿宋"/>
              <w:szCs w:val="21"/>
            </w:rPr>
            <w:fldChar w:fldCharType="separate"/>
          </w:r>
          <w:r>
            <w:rPr>
              <w:rFonts w:hint="eastAsia" w:ascii="仿宋" w:hAnsi="仿宋" w:eastAsia="仿宋" w:cs="仿宋"/>
              <w:szCs w:val="21"/>
            </w:rPr>
            <w:t>5</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6"/>
            <w:tabs>
              <w:tab w:val="right" w:leader="dot" w:pos="8306"/>
            </w:tabs>
            <w:rPr>
              <w:rFonts w:ascii="仿宋" w:hAnsi="仿宋" w:eastAsia="仿宋" w:cs="仿宋"/>
              <w:szCs w:val="21"/>
            </w:rPr>
          </w:pPr>
          <w:r>
            <w:fldChar w:fldCharType="begin"/>
          </w:r>
          <w:r>
            <w:instrText xml:space="preserve"> HYPERLINK \l "_Toc2642" </w:instrText>
          </w:r>
          <w:r>
            <w:fldChar w:fldCharType="separate"/>
          </w:r>
          <w:r>
            <w:rPr>
              <w:rFonts w:hint="eastAsia" w:ascii="仿宋" w:hAnsi="仿宋" w:eastAsia="仿宋" w:cs="仿宋"/>
              <w:spacing w:val="-5"/>
              <w:w w:val="95"/>
              <w:szCs w:val="21"/>
            </w:rPr>
            <w:t>1、评价原则</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_Toc2642 \h </w:instrText>
          </w:r>
          <w:r>
            <w:rPr>
              <w:rFonts w:hint="eastAsia" w:ascii="仿宋" w:hAnsi="仿宋" w:eastAsia="仿宋" w:cs="仿宋"/>
              <w:szCs w:val="21"/>
            </w:rPr>
            <w:fldChar w:fldCharType="separate"/>
          </w:r>
          <w:r>
            <w:rPr>
              <w:rFonts w:hint="eastAsia" w:ascii="仿宋" w:hAnsi="仿宋" w:eastAsia="仿宋" w:cs="仿宋"/>
              <w:szCs w:val="21"/>
            </w:rPr>
            <w:t>5</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6"/>
            <w:tabs>
              <w:tab w:val="right" w:leader="dot" w:pos="8306"/>
            </w:tabs>
            <w:rPr>
              <w:rFonts w:ascii="仿宋" w:hAnsi="仿宋" w:eastAsia="仿宋" w:cs="仿宋"/>
              <w:szCs w:val="21"/>
            </w:rPr>
          </w:pPr>
          <w:r>
            <w:fldChar w:fldCharType="begin"/>
          </w:r>
          <w:r>
            <w:instrText xml:space="preserve"> HYPERLINK \l "_Toc10953" </w:instrText>
          </w:r>
          <w:r>
            <w:fldChar w:fldCharType="separate"/>
          </w:r>
          <w:r>
            <w:rPr>
              <w:rFonts w:hint="eastAsia" w:ascii="仿宋" w:hAnsi="仿宋" w:eastAsia="仿宋" w:cs="仿宋"/>
              <w:szCs w:val="21"/>
            </w:rPr>
            <w:t>2、</w:t>
          </w:r>
          <w:r>
            <w:rPr>
              <w:rFonts w:hint="eastAsia" w:ascii="仿宋" w:hAnsi="仿宋" w:eastAsia="仿宋" w:cs="仿宋"/>
              <w:spacing w:val="-5"/>
              <w:szCs w:val="21"/>
            </w:rPr>
            <w:t>评价指标体系</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_Toc10953 \h </w:instrText>
          </w:r>
          <w:r>
            <w:rPr>
              <w:rFonts w:hint="eastAsia" w:ascii="仿宋" w:hAnsi="仿宋" w:eastAsia="仿宋" w:cs="仿宋"/>
              <w:szCs w:val="21"/>
            </w:rPr>
            <w:fldChar w:fldCharType="separate"/>
          </w:r>
          <w:r>
            <w:rPr>
              <w:rFonts w:hint="eastAsia" w:ascii="仿宋" w:hAnsi="仿宋" w:eastAsia="仿宋" w:cs="仿宋"/>
              <w:szCs w:val="21"/>
            </w:rPr>
            <w:t>6</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6"/>
            <w:tabs>
              <w:tab w:val="right" w:leader="dot" w:pos="8306"/>
            </w:tabs>
            <w:rPr>
              <w:rFonts w:ascii="仿宋" w:hAnsi="仿宋" w:eastAsia="仿宋" w:cs="仿宋"/>
              <w:szCs w:val="21"/>
            </w:rPr>
          </w:pPr>
          <w:r>
            <w:fldChar w:fldCharType="begin"/>
          </w:r>
          <w:r>
            <w:instrText xml:space="preserve"> HYPERLINK \l "_Toc25341" </w:instrText>
          </w:r>
          <w:r>
            <w:fldChar w:fldCharType="separate"/>
          </w:r>
          <w:r>
            <w:rPr>
              <w:rFonts w:hint="eastAsia" w:ascii="仿宋" w:hAnsi="仿宋" w:eastAsia="仿宋" w:cs="仿宋"/>
              <w:szCs w:val="21"/>
            </w:rPr>
            <w:t>3、评价方法</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_Toc25341 \h </w:instrText>
          </w:r>
          <w:r>
            <w:rPr>
              <w:rFonts w:hint="eastAsia" w:ascii="仿宋" w:hAnsi="仿宋" w:eastAsia="仿宋" w:cs="仿宋"/>
              <w:szCs w:val="21"/>
            </w:rPr>
            <w:fldChar w:fldCharType="separate"/>
          </w:r>
          <w:r>
            <w:rPr>
              <w:rFonts w:hint="eastAsia" w:ascii="仿宋" w:hAnsi="仿宋" w:eastAsia="仿宋" w:cs="仿宋"/>
              <w:szCs w:val="21"/>
            </w:rPr>
            <w:t>7</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11"/>
            <w:tabs>
              <w:tab w:val="right" w:leader="dot" w:pos="8306"/>
            </w:tabs>
            <w:rPr>
              <w:rFonts w:ascii="仿宋" w:hAnsi="仿宋" w:eastAsia="仿宋" w:cs="仿宋"/>
              <w:szCs w:val="21"/>
            </w:rPr>
          </w:pPr>
          <w:r>
            <w:fldChar w:fldCharType="begin"/>
          </w:r>
          <w:r>
            <w:instrText xml:space="preserve"> HYPERLINK \l "_Toc4488" </w:instrText>
          </w:r>
          <w:r>
            <w:fldChar w:fldCharType="separate"/>
          </w:r>
          <w:r>
            <w:rPr>
              <w:rFonts w:hint="eastAsia" w:ascii="仿宋" w:hAnsi="仿宋" w:eastAsia="仿宋" w:cs="仿宋"/>
              <w:w w:val="95"/>
              <w:szCs w:val="21"/>
            </w:rPr>
            <w:t>（三）绩效评价工作过程</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_Toc4488 \h </w:instrText>
          </w:r>
          <w:r>
            <w:rPr>
              <w:rFonts w:hint="eastAsia" w:ascii="仿宋" w:hAnsi="仿宋" w:eastAsia="仿宋" w:cs="仿宋"/>
              <w:szCs w:val="21"/>
            </w:rPr>
            <w:fldChar w:fldCharType="separate"/>
          </w:r>
          <w:r>
            <w:rPr>
              <w:rFonts w:hint="eastAsia" w:ascii="仿宋" w:hAnsi="仿宋" w:eastAsia="仿宋" w:cs="仿宋"/>
              <w:szCs w:val="21"/>
            </w:rPr>
            <w:t>7</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10"/>
            <w:tabs>
              <w:tab w:val="right" w:leader="dot" w:pos="8306"/>
            </w:tabs>
            <w:rPr>
              <w:rFonts w:ascii="仿宋" w:hAnsi="仿宋" w:eastAsia="仿宋" w:cs="仿宋"/>
              <w:szCs w:val="21"/>
            </w:rPr>
          </w:pPr>
          <w:r>
            <w:fldChar w:fldCharType="begin"/>
          </w:r>
          <w:r>
            <w:instrText xml:space="preserve"> HYPERLINK \l "_Toc21666" </w:instrText>
          </w:r>
          <w:r>
            <w:fldChar w:fldCharType="separate"/>
          </w:r>
          <w:r>
            <w:rPr>
              <w:rFonts w:hint="eastAsia" w:ascii="仿宋" w:hAnsi="仿宋" w:eastAsia="仿宋" w:cs="仿宋"/>
              <w:szCs w:val="21"/>
            </w:rPr>
            <w:t>三、综合评价情况及评价结论（附相关评分表）</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_Toc21666 \h </w:instrText>
          </w:r>
          <w:r>
            <w:rPr>
              <w:rFonts w:hint="eastAsia" w:ascii="仿宋" w:hAnsi="仿宋" w:eastAsia="仿宋" w:cs="仿宋"/>
              <w:szCs w:val="21"/>
            </w:rPr>
            <w:fldChar w:fldCharType="separate"/>
          </w:r>
          <w:r>
            <w:rPr>
              <w:rFonts w:hint="eastAsia" w:ascii="仿宋" w:hAnsi="仿宋" w:eastAsia="仿宋" w:cs="仿宋"/>
              <w:szCs w:val="21"/>
            </w:rPr>
            <w:t>7</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10"/>
            <w:tabs>
              <w:tab w:val="right" w:leader="dot" w:pos="8306"/>
            </w:tabs>
            <w:rPr>
              <w:rFonts w:ascii="仿宋" w:hAnsi="仿宋" w:eastAsia="仿宋" w:cs="仿宋"/>
              <w:szCs w:val="21"/>
            </w:rPr>
          </w:pPr>
          <w:r>
            <w:fldChar w:fldCharType="begin"/>
          </w:r>
          <w:r>
            <w:instrText xml:space="preserve"> HYPERLINK \l "_Toc25238" </w:instrText>
          </w:r>
          <w:r>
            <w:fldChar w:fldCharType="separate"/>
          </w:r>
          <w:r>
            <w:rPr>
              <w:rFonts w:hint="eastAsia" w:ascii="仿宋" w:hAnsi="仿宋" w:eastAsia="仿宋" w:cs="仿宋"/>
              <w:w w:val="95"/>
              <w:szCs w:val="21"/>
            </w:rPr>
            <w:t>四、绩效评价指标分析</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_Toc25238 \h </w:instrText>
          </w:r>
          <w:r>
            <w:rPr>
              <w:rFonts w:hint="eastAsia" w:ascii="仿宋" w:hAnsi="仿宋" w:eastAsia="仿宋" w:cs="仿宋"/>
              <w:szCs w:val="21"/>
            </w:rPr>
            <w:fldChar w:fldCharType="separate"/>
          </w:r>
          <w:r>
            <w:rPr>
              <w:rFonts w:hint="eastAsia" w:ascii="仿宋" w:hAnsi="仿宋" w:eastAsia="仿宋" w:cs="仿宋"/>
              <w:szCs w:val="21"/>
            </w:rPr>
            <w:t>8</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11"/>
            <w:tabs>
              <w:tab w:val="right" w:leader="dot" w:pos="8306"/>
            </w:tabs>
            <w:rPr>
              <w:rFonts w:ascii="仿宋" w:hAnsi="仿宋" w:eastAsia="仿宋" w:cs="仿宋"/>
              <w:szCs w:val="21"/>
            </w:rPr>
          </w:pPr>
          <w:r>
            <w:fldChar w:fldCharType="begin"/>
          </w:r>
          <w:r>
            <w:instrText xml:space="preserve"> HYPERLINK \l "_Toc10403" </w:instrText>
          </w:r>
          <w:r>
            <w:fldChar w:fldCharType="separate"/>
          </w:r>
          <w:r>
            <w:rPr>
              <w:rFonts w:hint="eastAsia" w:ascii="仿宋" w:hAnsi="仿宋" w:eastAsia="仿宋" w:cs="仿宋"/>
              <w:w w:val="95"/>
              <w:szCs w:val="21"/>
            </w:rPr>
            <w:t>（一）项目决策情况</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_Toc10403 \h </w:instrText>
          </w:r>
          <w:r>
            <w:rPr>
              <w:rFonts w:hint="eastAsia" w:ascii="仿宋" w:hAnsi="仿宋" w:eastAsia="仿宋" w:cs="仿宋"/>
              <w:szCs w:val="21"/>
            </w:rPr>
            <w:fldChar w:fldCharType="separate"/>
          </w:r>
          <w:r>
            <w:rPr>
              <w:rFonts w:hint="eastAsia" w:ascii="仿宋" w:hAnsi="仿宋" w:eastAsia="仿宋" w:cs="仿宋"/>
              <w:szCs w:val="21"/>
            </w:rPr>
            <w:t>8</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11"/>
            <w:tabs>
              <w:tab w:val="right" w:leader="dot" w:pos="8306"/>
            </w:tabs>
            <w:rPr>
              <w:rFonts w:ascii="仿宋" w:hAnsi="仿宋" w:eastAsia="仿宋" w:cs="仿宋"/>
              <w:szCs w:val="21"/>
            </w:rPr>
          </w:pPr>
          <w:r>
            <w:fldChar w:fldCharType="begin"/>
          </w:r>
          <w:r>
            <w:instrText xml:space="preserve"> HYPERLINK \l "_Toc26027" </w:instrText>
          </w:r>
          <w:r>
            <w:fldChar w:fldCharType="separate"/>
          </w:r>
          <w:r>
            <w:rPr>
              <w:rFonts w:hint="eastAsia" w:ascii="仿宋" w:hAnsi="仿宋" w:eastAsia="仿宋" w:cs="仿宋"/>
              <w:w w:val="95"/>
              <w:szCs w:val="21"/>
            </w:rPr>
            <w:t>（二）项目过程情况</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_Toc26027 \h </w:instrText>
          </w:r>
          <w:r>
            <w:rPr>
              <w:rFonts w:hint="eastAsia" w:ascii="仿宋" w:hAnsi="仿宋" w:eastAsia="仿宋" w:cs="仿宋"/>
              <w:szCs w:val="21"/>
            </w:rPr>
            <w:fldChar w:fldCharType="separate"/>
          </w:r>
          <w:r>
            <w:rPr>
              <w:rFonts w:hint="eastAsia" w:ascii="仿宋" w:hAnsi="仿宋" w:eastAsia="仿宋" w:cs="仿宋"/>
              <w:szCs w:val="21"/>
            </w:rPr>
            <w:t>8</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11"/>
            <w:tabs>
              <w:tab w:val="right" w:leader="dot" w:pos="8306"/>
            </w:tabs>
            <w:rPr>
              <w:rFonts w:ascii="仿宋" w:hAnsi="仿宋" w:eastAsia="仿宋" w:cs="仿宋"/>
              <w:szCs w:val="21"/>
            </w:rPr>
          </w:pPr>
          <w:r>
            <w:fldChar w:fldCharType="begin"/>
          </w:r>
          <w:r>
            <w:instrText xml:space="preserve"> HYPERLINK \l "_Toc9270" </w:instrText>
          </w:r>
          <w:r>
            <w:fldChar w:fldCharType="separate"/>
          </w:r>
          <w:r>
            <w:rPr>
              <w:rFonts w:hint="eastAsia" w:ascii="仿宋" w:hAnsi="仿宋" w:eastAsia="仿宋" w:cs="仿宋"/>
              <w:w w:val="95"/>
              <w:szCs w:val="21"/>
            </w:rPr>
            <w:t>（三）项目产出情况</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_Toc9270 \h </w:instrText>
          </w:r>
          <w:r>
            <w:rPr>
              <w:rFonts w:hint="eastAsia" w:ascii="仿宋" w:hAnsi="仿宋" w:eastAsia="仿宋" w:cs="仿宋"/>
              <w:szCs w:val="21"/>
            </w:rPr>
            <w:fldChar w:fldCharType="separate"/>
          </w:r>
          <w:r>
            <w:rPr>
              <w:rFonts w:hint="eastAsia" w:ascii="仿宋" w:hAnsi="仿宋" w:eastAsia="仿宋" w:cs="仿宋"/>
              <w:szCs w:val="21"/>
            </w:rPr>
            <w:t>8</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11"/>
            <w:tabs>
              <w:tab w:val="right" w:leader="dot" w:pos="8306"/>
            </w:tabs>
            <w:rPr>
              <w:rFonts w:ascii="仿宋" w:hAnsi="仿宋" w:eastAsia="仿宋" w:cs="仿宋"/>
              <w:szCs w:val="21"/>
            </w:rPr>
          </w:pPr>
          <w:r>
            <w:fldChar w:fldCharType="begin"/>
          </w:r>
          <w:r>
            <w:instrText xml:space="preserve"> HYPERLINK \l "_Toc24093" </w:instrText>
          </w:r>
          <w:r>
            <w:fldChar w:fldCharType="separate"/>
          </w:r>
          <w:r>
            <w:rPr>
              <w:rFonts w:hint="eastAsia" w:ascii="仿宋" w:hAnsi="仿宋" w:eastAsia="仿宋" w:cs="仿宋"/>
              <w:w w:val="95"/>
              <w:szCs w:val="21"/>
            </w:rPr>
            <w:t>（四）项目效益情况</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_Toc24093 \h </w:instrText>
          </w:r>
          <w:r>
            <w:rPr>
              <w:rFonts w:hint="eastAsia" w:ascii="仿宋" w:hAnsi="仿宋" w:eastAsia="仿宋" w:cs="仿宋"/>
              <w:szCs w:val="21"/>
            </w:rPr>
            <w:fldChar w:fldCharType="separate"/>
          </w:r>
          <w:r>
            <w:rPr>
              <w:rFonts w:hint="eastAsia" w:ascii="仿宋" w:hAnsi="仿宋" w:eastAsia="仿宋" w:cs="仿宋"/>
              <w:szCs w:val="21"/>
            </w:rPr>
            <w:t>8</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10"/>
            <w:tabs>
              <w:tab w:val="right" w:leader="dot" w:pos="8306"/>
            </w:tabs>
            <w:rPr>
              <w:rFonts w:ascii="仿宋" w:hAnsi="仿宋" w:eastAsia="仿宋" w:cs="仿宋"/>
              <w:szCs w:val="21"/>
            </w:rPr>
          </w:pPr>
          <w:r>
            <w:fldChar w:fldCharType="begin"/>
          </w:r>
          <w:r>
            <w:instrText xml:space="preserve"> HYPERLINK \l "_Toc3203" </w:instrText>
          </w:r>
          <w:r>
            <w:fldChar w:fldCharType="separate"/>
          </w:r>
          <w:r>
            <w:rPr>
              <w:rFonts w:hint="eastAsia" w:ascii="仿宋" w:hAnsi="仿宋" w:eastAsia="仿宋" w:cs="仿宋"/>
              <w:szCs w:val="21"/>
            </w:rPr>
            <w:t>五、主要经验及做法、存在的问题及原因分析</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_Toc3203 \h </w:instrText>
          </w:r>
          <w:r>
            <w:rPr>
              <w:rFonts w:hint="eastAsia" w:ascii="仿宋" w:hAnsi="仿宋" w:eastAsia="仿宋" w:cs="仿宋"/>
              <w:szCs w:val="21"/>
            </w:rPr>
            <w:fldChar w:fldCharType="separate"/>
          </w:r>
          <w:r>
            <w:rPr>
              <w:rFonts w:hint="eastAsia" w:ascii="仿宋" w:hAnsi="仿宋" w:eastAsia="仿宋" w:cs="仿宋"/>
              <w:szCs w:val="21"/>
            </w:rPr>
            <w:t>8</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10"/>
            <w:tabs>
              <w:tab w:val="right" w:leader="dot" w:pos="8306"/>
            </w:tabs>
            <w:rPr>
              <w:rFonts w:ascii="仿宋" w:hAnsi="仿宋" w:eastAsia="仿宋" w:cs="仿宋"/>
              <w:szCs w:val="21"/>
            </w:rPr>
          </w:pPr>
          <w:r>
            <w:fldChar w:fldCharType="begin"/>
          </w:r>
          <w:r>
            <w:instrText xml:space="preserve"> HYPERLINK \l "_Toc30450" </w:instrText>
          </w:r>
          <w:r>
            <w:fldChar w:fldCharType="separate"/>
          </w:r>
          <w:r>
            <w:rPr>
              <w:rFonts w:hint="eastAsia" w:ascii="仿宋" w:hAnsi="仿宋" w:eastAsia="仿宋" w:cs="仿宋"/>
              <w:w w:val="95"/>
              <w:szCs w:val="21"/>
            </w:rPr>
            <w:t>六、有关建议</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_Toc30450 \h </w:instrText>
          </w:r>
          <w:r>
            <w:rPr>
              <w:rFonts w:hint="eastAsia" w:ascii="仿宋" w:hAnsi="仿宋" w:eastAsia="仿宋" w:cs="仿宋"/>
              <w:szCs w:val="21"/>
            </w:rPr>
            <w:fldChar w:fldCharType="separate"/>
          </w:r>
          <w:r>
            <w:rPr>
              <w:rFonts w:hint="eastAsia" w:ascii="仿宋" w:hAnsi="仿宋" w:eastAsia="仿宋" w:cs="仿宋"/>
              <w:szCs w:val="21"/>
            </w:rPr>
            <w:t>8</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10"/>
            <w:tabs>
              <w:tab w:val="right" w:leader="dot" w:pos="8306"/>
            </w:tabs>
            <w:rPr>
              <w:rFonts w:ascii="仿宋" w:hAnsi="仿宋" w:eastAsia="仿宋" w:cs="仿宋"/>
              <w:szCs w:val="21"/>
            </w:rPr>
          </w:pPr>
          <w:r>
            <w:fldChar w:fldCharType="begin"/>
          </w:r>
          <w:r>
            <w:instrText xml:space="preserve"> HYPERLINK \l "_Toc30957" </w:instrText>
          </w:r>
          <w:r>
            <w:fldChar w:fldCharType="separate"/>
          </w:r>
          <w:r>
            <w:rPr>
              <w:rFonts w:hint="eastAsia" w:ascii="仿宋" w:hAnsi="仿宋" w:eastAsia="仿宋" w:cs="仿宋"/>
              <w:w w:val="95"/>
              <w:szCs w:val="21"/>
            </w:rPr>
            <w:t>七、其他需要说明的问题</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_Toc30957 \h </w:instrText>
          </w:r>
          <w:r>
            <w:rPr>
              <w:rFonts w:hint="eastAsia" w:ascii="仿宋" w:hAnsi="仿宋" w:eastAsia="仿宋" w:cs="仿宋"/>
              <w:szCs w:val="21"/>
            </w:rPr>
            <w:fldChar w:fldCharType="separate"/>
          </w:r>
          <w:r>
            <w:rPr>
              <w:rFonts w:hint="eastAsia" w:ascii="仿宋" w:hAnsi="仿宋" w:eastAsia="仿宋" w:cs="仿宋"/>
              <w:szCs w:val="21"/>
            </w:rPr>
            <w:t>9</w:t>
          </w:r>
          <w:r>
            <w:rPr>
              <w:rFonts w:hint="eastAsia" w:ascii="仿宋" w:hAnsi="仿宋" w:eastAsia="仿宋" w:cs="仿宋"/>
              <w:szCs w:val="21"/>
            </w:rPr>
            <w:fldChar w:fldCharType="end"/>
          </w:r>
          <w:r>
            <w:rPr>
              <w:rFonts w:hint="eastAsia" w:ascii="仿宋" w:hAnsi="仿宋" w:eastAsia="仿宋" w:cs="仿宋"/>
              <w:szCs w:val="21"/>
            </w:rPr>
            <w:fldChar w:fldCharType="end"/>
          </w:r>
        </w:p>
        <w:p>
          <w:pPr>
            <w:pStyle w:val="10"/>
            <w:tabs>
              <w:tab w:val="right" w:leader="dot" w:pos="8306"/>
            </w:tabs>
            <w:rPr>
              <w:rFonts w:ascii="仿宋" w:hAnsi="仿宋" w:eastAsia="仿宋" w:cs="仿宋"/>
              <w:szCs w:val="21"/>
            </w:rPr>
          </w:pPr>
          <w:r>
            <w:fldChar w:fldCharType="begin"/>
          </w:r>
          <w:r>
            <w:instrText xml:space="preserve"> HYPERLINK \l "_Toc19581" </w:instrText>
          </w:r>
          <w:r>
            <w:fldChar w:fldCharType="separate"/>
          </w:r>
          <w:r>
            <w:rPr>
              <w:rFonts w:hint="eastAsia" w:ascii="仿宋" w:hAnsi="仿宋" w:eastAsia="仿宋" w:cs="仿宋"/>
              <w:w w:val="95"/>
              <w:szCs w:val="21"/>
            </w:rPr>
            <w:t>项目支出绩效评价表</w:t>
          </w:r>
          <w:r>
            <w:rPr>
              <w:rFonts w:hint="eastAsia" w:ascii="仿宋" w:hAnsi="仿宋" w:eastAsia="仿宋" w:cs="仿宋"/>
              <w:szCs w:val="21"/>
            </w:rPr>
            <w:tab/>
          </w:r>
          <w:r>
            <w:rPr>
              <w:rFonts w:hint="eastAsia" w:ascii="仿宋" w:hAnsi="仿宋" w:eastAsia="仿宋" w:cs="仿宋"/>
              <w:szCs w:val="21"/>
            </w:rPr>
            <w:fldChar w:fldCharType="begin"/>
          </w:r>
          <w:r>
            <w:rPr>
              <w:rFonts w:hint="eastAsia" w:ascii="仿宋" w:hAnsi="仿宋" w:eastAsia="仿宋" w:cs="仿宋"/>
              <w:szCs w:val="21"/>
            </w:rPr>
            <w:instrText xml:space="preserve"> PAGEREF _Toc19581 \h </w:instrText>
          </w:r>
          <w:r>
            <w:rPr>
              <w:rFonts w:hint="eastAsia" w:ascii="仿宋" w:hAnsi="仿宋" w:eastAsia="仿宋" w:cs="仿宋"/>
              <w:szCs w:val="21"/>
            </w:rPr>
            <w:fldChar w:fldCharType="separate"/>
          </w:r>
          <w:r>
            <w:rPr>
              <w:rFonts w:hint="eastAsia" w:ascii="仿宋" w:hAnsi="仿宋" w:eastAsia="仿宋" w:cs="仿宋"/>
              <w:szCs w:val="21"/>
            </w:rPr>
            <w:t>10</w:t>
          </w:r>
          <w:r>
            <w:rPr>
              <w:rFonts w:hint="eastAsia" w:ascii="仿宋" w:hAnsi="仿宋" w:eastAsia="仿宋" w:cs="仿宋"/>
              <w:szCs w:val="21"/>
            </w:rPr>
            <w:fldChar w:fldCharType="end"/>
          </w:r>
          <w:r>
            <w:rPr>
              <w:rFonts w:hint="eastAsia" w:ascii="仿宋" w:hAnsi="仿宋" w:eastAsia="仿宋" w:cs="仿宋"/>
              <w:szCs w:val="21"/>
            </w:rPr>
            <w:fldChar w:fldCharType="end"/>
          </w:r>
        </w:p>
        <w:p>
          <w:pPr>
            <w:rPr>
              <w:rFonts w:ascii="仿宋" w:hAnsi="仿宋" w:eastAsia="仿宋" w:cs="仿宋"/>
            </w:rPr>
          </w:pPr>
          <w:r>
            <w:rPr>
              <w:rFonts w:hint="eastAsia" w:ascii="仿宋" w:hAnsi="仿宋" w:eastAsia="仿宋" w:cs="仿宋"/>
              <w:szCs w:val="21"/>
            </w:rPr>
            <w:fldChar w:fldCharType="end"/>
          </w:r>
        </w:p>
      </w:sdtContent>
    </w:sdt>
    <w:p>
      <w:pPr>
        <w:jc w:val="center"/>
        <w:outlineLvl w:val="0"/>
        <w:rPr>
          <w:rFonts w:ascii="黑体" w:hAnsi="黑体" w:eastAsia="黑体"/>
          <w:sz w:val="44"/>
          <w:szCs w:val="44"/>
        </w:rPr>
      </w:pPr>
    </w:p>
    <w:p>
      <w:pPr>
        <w:jc w:val="center"/>
        <w:outlineLvl w:val="0"/>
        <w:rPr>
          <w:rFonts w:ascii="黑体" w:hAnsi="黑体" w:eastAsia="黑体"/>
          <w:sz w:val="44"/>
          <w:szCs w:val="44"/>
        </w:rPr>
      </w:pPr>
    </w:p>
    <w:p>
      <w:pPr>
        <w:jc w:val="center"/>
        <w:outlineLvl w:val="0"/>
        <w:rPr>
          <w:rFonts w:ascii="黑体" w:hAnsi="黑体" w:eastAsia="黑体"/>
          <w:sz w:val="44"/>
          <w:szCs w:val="44"/>
        </w:rPr>
      </w:pPr>
    </w:p>
    <w:p>
      <w:pPr>
        <w:jc w:val="center"/>
        <w:outlineLvl w:val="0"/>
        <w:rPr>
          <w:rFonts w:ascii="黑体" w:hAnsi="黑体" w:eastAsia="黑体"/>
          <w:sz w:val="44"/>
          <w:szCs w:val="44"/>
        </w:rPr>
      </w:pPr>
    </w:p>
    <w:p>
      <w:pPr>
        <w:jc w:val="center"/>
        <w:outlineLvl w:val="0"/>
        <w:rPr>
          <w:rFonts w:ascii="黑体" w:hAnsi="黑体" w:eastAsia="黑体"/>
          <w:sz w:val="44"/>
          <w:szCs w:val="44"/>
        </w:rPr>
      </w:pPr>
    </w:p>
    <w:p>
      <w:pPr>
        <w:jc w:val="center"/>
        <w:outlineLvl w:val="0"/>
        <w:rPr>
          <w:rFonts w:ascii="黑体" w:hAnsi="黑体" w:eastAsia="黑体"/>
          <w:sz w:val="44"/>
          <w:szCs w:val="44"/>
        </w:rPr>
      </w:pPr>
    </w:p>
    <w:p>
      <w:pPr>
        <w:jc w:val="center"/>
        <w:outlineLvl w:val="0"/>
        <w:rPr>
          <w:rFonts w:ascii="黑体" w:hAnsi="黑体" w:eastAsia="黑体"/>
          <w:sz w:val="44"/>
          <w:szCs w:val="44"/>
        </w:rPr>
      </w:pPr>
    </w:p>
    <w:p>
      <w:pPr>
        <w:jc w:val="center"/>
        <w:outlineLvl w:val="0"/>
        <w:rPr>
          <w:rFonts w:ascii="黑体" w:hAnsi="黑体" w:eastAsia="黑体"/>
          <w:sz w:val="44"/>
          <w:szCs w:val="44"/>
        </w:rPr>
      </w:pPr>
      <w:bookmarkStart w:id="4" w:name="_Toc32351"/>
      <w:r>
        <w:rPr>
          <w:rFonts w:hint="eastAsia" w:ascii="黑体" w:hAnsi="黑体" w:eastAsia="黑体"/>
          <w:sz w:val="44"/>
          <w:szCs w:val="44"/>
        </w:rPr>
        <w:t>浮梁县</w:t>
      </w:r>
      <w:bookmarkEnd w:id="3"/>
      <w:r>
        <w:rPr>
          <w:rFonts w:hint="eastAsia" w:ascii="黑体" w:hAnsi="黑体" w:eastAsia="黑体"/>
          <w:sz w:val="44"/>
          <w:szCs w:val="44"/>
        </w:rPr>
        <w:t>应急管理局</w:t>
      </w:r>
      <w:bookmarkEnd w:id="4"/>
    </w:p>
    <w:p>
      <w:pPr>
        <w:jc w:val="center"/>
        <w:outlineLvl w:val="0"/>
        <w:rPr>
          <w:rFonts w:ascii="黑体" w:hAnsi="黑体" w:eastAsia="黑体"/>
          <w:b/>
          <w:sz w:val="44"/>
          <w:szCs w:val="44"/>
        </w:rPr>
      </w:pPr>
      <w:bookmarkStart w:id="5" w:name="_Toc23029"/>
      <w:bookmarkStart w:id="6" w:name="_Toc12520"/>
      <w:r>
        <w:rPr>
          <w:rFonts w:hint="eastAsia" w:ascii="黑体" w:hAnsi="黑体" w:eastAsia="黑体"/>
          <w:b/>
          <w:sz w:val="44"/>
          <w:szCs w:val="44"/>
        </w:rPr>
        <w:t>2020年度防汛抗旱工作经费支出</w:t>
      </w:r>
      <w:bookmarkEnd w:id="5"/>
      <w:bookmarkEnd w:id="6"/>
    </w:p>
    <w:p>
      <w:pPr>
        <w:jc w:val="center"/>
        <w:outlineLvl w:val="0"/>
        <w:rPr>
          <w:rFonts w:ascii="黑体" w:hAnsi="黑体" w:eastAsia="黑体"/>
          <w:b/>
          <w:sz w:val="44"/>
          <w:szCs w:val="44"/>
        </w:rPr>
      </w:pPr>
      <w:bookmarkStart w:id="7" w:name="_Toc4798"/>
      <w:bookmarkStart w:id="8" w:name="_Toc26275"/>
      <w:r>
        <w:rPr>
          <w:rFonts w:hint="eastAsia" w:ascii="黑体" w:hAnsi="黑体" w:eastAsia="黑体"/>
          <w:b/>
          <w:sz w:val="44"/>
          <w:szCs w:val="44"/>
        </w:rPr>
        <w:t>绩效评价报告</w:t>
      </w:r>
      <w:bookmarkEnd w:id="7"/>
      <w:bookmarkEnd w:id="8"/>
    </w:p>
    <w:p/>
    <w:p>
      <w:pPr>
        <w:pStyle w:val="5"/>
        <w:spacing w:before="1"/>
        <w:ind w:left="747"/>
        <w:outlineLvl w:val="0"/>
        <w:rPr>
          <w:rFonts w:hint="eastAsia" w:ascii="黑体" w:eastAsia="黑体"/>
          <w:b/>
        </w:rPr>
      </w:pPr>
      <w:bookmarkStart w:id="9" w:name="_Toc16648"/>
      <w:bookmarkStart w:id="10" w:name="_Toc14778"/>
      <w:r>
        <w:rPr>
          <w:rFonts w:hint="eastAsia" w:ascii="黑体" w:eastAsia="黑体"/>
          <w:b/>
          <w:w w:val="95"/>
        </w:rPr>
        <w:t>一、基本情况</w:t>
      </w:r>
      <w:bookmarkEnd w:id="9"/>
      <w:bookmarkEnd w:id="10"/>
    </w:p>
    <w:p>
      <w:pPr>
        <w:pStyle w:val="5"/>
        <w:spacing w:before="121" w:line="307" w:lineRule="auto"/>
        <w:ind w:left="108" w:firstLine="638"/>
        <w:outlineLvl w:val="1"/>
        <w:rPr>
          <w:rFonts w:asciiTheme="minorEastAsia" w:hAnsiTheme="minorEastAsia" w:eastAsiaTheme="minorEastAsia"/>
          <w:b/>
          <w:w w:val="95"/>
          <w:lang w:eastAsia="zh-CN"/>
        </w:rPr>
      </w:pPr>
      <w:bookmarkStart w:id="11" w:name="_Toc3774"/>
      <w:r>
        <w:rPr>
          <w:rFonts w:hint="eastAsia" w:asciiTheme="minorEastAsia" w:hAnsiTheme="minorEastAsia" w:eastAsiaTheme="minorEastAsia"/>
          <w:b/>
          <w:w w:val="95"/>
        </w:rPr>
        <w:t>（一）项目概况</w:t>
      </w:r>
      <w:bookmarkEnd w:id="11"/>
    </w:p>
    <w:p>
      <w:pPr>
        <w:pStyle w:val="5"/>
        <w:spacing w:before="121" w:line="307" w:lineRule="auto"/>
        <w:ind w:left="108" w:firstLine="638"/>
        <w:rPr>
          <w:sz w:val="28"/>
          <w:szCs w:val="28"/>
          <w:lang w:eastAsia="zh-CN"/>
        </w:rPr>
      </w:pPr>
      <w:r>
        <w:rPr>
          <w:rFonts w:hint="eastAsia" w:ascii="仿宋" w:hAnsi="仿宋" w:eastAsia="仿宋"/>
          <w:b/>
          <w:w w:val="95"/>
          <w:lang w:eastAsia="zh-CN"/>
        </w:rPr>
        <w:t>（1）项目背景</w:t>
      </w:r>
      <w:r>
        <w:rPr>
          <w:rFonts w:hint="eastAsia"/>
          <w:sz w:val="28"/>
          <w:szCs w:val="28"/>
          <w:lang w:eastAsia="zh-CN"/>
        </w:rPr>
        <w:t xml:space="preserve"> </w:t>
      </w:r>
    </w:p>
    <w:p>
      <w:pPr>
        <w:pStyle w:val="5"/>
        <w:spacing w:before="121" w:line="307" w:lineRule="auto"/>
        <w:ind w:left="108" w:firstLine="638"/>
        <w:rPr>
          <w:rFonts w:ascii="仿宋" w:hAnsi="仿宋" w:eastAsia="仿宋"/>
          <w:b/>
          <w:w w:val="95"/>
          <w:lang w:eastAsia="zh-CN"/>
        </w:rPr>
      </w:pPr>
      <w:r>
        <w:rPr>
          <w:rFonts w:ascii="Arial" w:hAnsi="Arial" w:eastAsia="宋体" w:cs="Arial"/>
          <w:color w:val="333333"/>
          <w:sz w:val="28"/>
          <w:szCs w:val="28"/>
          <w:shd w:val="clear" w:color="auto" w:fill="FFFFFF"/>
        </w:rPr>
        <w:t>做好水旱灾害突发事件防范与处置工作，使水旱灾害处于可控状态，保证抗洪抢险、抗旱救灾工作高效有序进行，</w:t>
      </w:r>
      <w:r>
        <w:rPr>
          <w:rFonts w:hint="eastAsia"/>
          <w:sz w:val="28"/>
          <w:szCs w:val="28"/>
          <w:lang w:eastAsia="zh-CN"/>
        </w:rPr>
        <w:t>有效应对自然灾害，</w:t>
      </w:r>
      <w:r>
        <w:rPr>
          <w:rFonts w:ascii="Arial" w:hAnsi="Arial" w:eastAsia="宋体" w:cs="Arial"/>
          <w:color w:val="333333"/>
          <w:sz w:val="28"/>
          <w:szCs w:val="28"/>
          <w:shd w:val="clear" w:color="auto" w:fill="FFFFFF"/>
        </w:rPr>
        <w:t>最大程度地减少人员伤亡和财产损失。</w:t>
      </w:r>
    </w:p>
    <w:p>
      <w:pPr>
        <w:pStyle w:val="5"/>
        <w:numPr>
          <w:ilvl w:val="0"/>
          <w:numId w:val="1"/>
        </w:numPr>
        <w:spacing w:before="121" w:line="307" w:lineRule="auto"/>
        <w:ind w:left="108" w:firstLine="638"/>
        <w:rPr>
          <w:rFonts w:ascii="仿宋" w:hAnsi="仿宋" w:eastAsia="仿宋"/>
          <w:b/>
          <w:w w:val="95"/>
          <w:lang w:eastAsia="zh-CN"/>
        </w:rPr>
      </w:pPr>
      <w:r>
        <w:rPr>
          <w:rFonts w:hint="eastAsia" w:ascii="仿宋" w:hAnsi="仿宋" w:eastAsia="仿宋"/>
          <w:b/>
          <w:w w:val="95"/>
          <w:lang w:eastAsia="zh-CN"/>
        </w:rPr>
        <w:t>主要内容及实施情况</w:t>
      </w:r>
    </w:p>
    <w:p>
      <w:pPr>
        <w:pStyle w:val="5"/>
        <w:spacing w:before="121" w:line="307" w:lineRule="auto"/>
        <w:rPr>
          <w:rFonts w:ascii="宋体" w:hAnsi="宋体" w:eastAsia="宋体" w:cs="宋体"/>
          <w:b/>
          <w:w w:val="95"/>
          <w:sz w:val="28"/>
          <w:szCs w:val="28"/>
          <w:lang w:eastAsia="zh-CN"/>
        </w:rPr>
      </w:pPr>
      <w:r>
        <w:rPr>
          <w:rFonts w:hint="eastAsia" w:ascii="仿宋" w:hAnsi="仿宋" w:eastAsia="仿宋"/>
          <w:b/>
          <w:w w:val="95"/>
          <w:lang w:eastAsia="zh-CN"/>
        </w:rPr>
        <w:t xml:space="preserve">    </w:t>
      </w:r>
      <w:r>
        <w:rPr>
          <w:rFonts w:hint="eastAsia" w:ascii="宋体" w:hAnsi="宋体" w:eastAsia="宋体" w:cs="宋体"/>
          <w:sz w:val="28"/>
          <w:szCs w:val="28"/>
        </w:rPr>
        <w:t>4 月 1 日召开了安全生产暨防汛工作会议 ， 对今年防汛工作进行了部署，一是落实责任、强化措施。签订了《防汛目标责任书 》和《地质灾害目标责任书》，下发了《 关于 2020年县级领导干部汛期分片负责安排的通知》、《关于2020年度防汛抗旱指挥部成员分工的通知》、《关于 2020年防指部份成员汛期分片负责安排的通知》、制定完善防汛抗旱指挥部及其成员单位工作职贵。强化基层防汛抗旱组织建设，抓好机构和人员到位和保障。二是提早谋划，扎实做好备汛。下达了《关于下达2020 年县防指有关成员单位防汛物资储备任务的通知 》，财政安排资金12. 69万元补充购买了2艘冲锋舟、2台发动机、2辆船用拖车和3万只编织袋，维修防汛抗旱设备27台，积极做好五个方面的准备，即工程准备、物料准备、预案准备、队伍准备、抢险准备，落实抢险应急方案。三是强化检查督查，确保防汛安全。组织开展洪滂灾害、地质灾害、农村防雷等重点隐患排查。县防指于4月28日至29日分四个组对16个乡镇和县直部门防指成员单位开展防汛物资储备检查，并下达通报。四是突出重点，抓好山洪防御。五是严肃纪律，强化值班值守。以县防汛抗旱指挥部办公室名义下发文件，县应急管理局会同县水利局落实汛期 24 小时值班值守工作，实现了“不死一人、不倒一库 ” 防汛总目标。</w:t>
      </w:r>
    </w:p>
    <w:p>
      <w:pPr>
        <w:pStyle w:val="5"/>
        <w:spacing w:before="121" w:line="307" w:lineRule="auto"/>
        <w:ind w:left="108" w:firstLine="638"/>
        <w:rPr>
          <w:rFonts w:ascii="仿宋" w:hAnsi="仿宋" w:eastAsia="仿宋"/>
          <w:b/>
          <w:w w:val="95"/>
          <w:lang w:eastAsia="zh-CN"/>
        </w:rPr>
      </w:pPr>
      <w:r>
        <w:rPr>
          <w:rFonts w:hint="eastAsia" w:ascii="仿宋" w:hAnsi="仿宋" w:eastAsia="仿宋"/>
          <w:b/>
          <w:w w:val="95"/>
          <w:lang w:eastAsia="zh-CN"/>
        </w:rPr>
        <w:t>（3）资金投入及使用情况</w:t>
      </w:r>
    </w:p>
    <w:p>
      <w:pPr>
        <w:pStyle w:val="5"/>
        <w:spacing w:before="121" w:line="307" w:lineRule="auto"/>
        <w:ind w:left="108" w:firstLine="638"/>
        <w:rPr>
          <w:rFonts w:asciiTheme="minorEastAsia" w:hAnsiTheme="minorEastAsia" w:eastAsiaTheme="minorEastAsia"/>
          <w:w w:val="95"/>
          <w:lang w:eastAsia="zh-CN"/>
        </w:rPr>
      </w:pPr>
      <w:r>
        <w:rPr>
          <w:rFonts w:hint="eastAsia" w:asciiTheme="minorEastAsia" w:hAnsiTheme="minorEastAsia" w:eastAsiaTheme="minorEastAsia"/>
          <w:sz w:val="28"/>
          <w:szCs w:val="28"/>
          <w:lang w:eastAsia="zh-CN"/>
        </w:rPr>
        <w:t>2020年财政预算拨入防汛抗旱工作经费10</w:t>
      </w:r>
      <w:r>
        <w:rPr>
          <w:rFonts w:hint="eastAsia" w:asciiTheme="minorEastAsia" w:hAnsiTheme="minorEastAsia" w:eastAsiaTheme="minorEastAsia"/>
          <w:sz w:val="28"/>
          <w:szCs w:val="28"/>
        </w:rPr>
        <w:t>万元，</w:t>
      </w:r>
      <w:r>
        <w:rPr>
          <w:rFonts w:hint="eastAsia" w:asciiTheme="minorEastAsia" w:hAnsiTheme="minorEastAsia" w:eastAsiaTheme="minorEastAsia"/>
          <w:sz w:val="28"/>
          <w:szCs w:val="28"/>
          <w:lang w:eastAsia="zh-CN"/>
        </w:rPr>
        <w:t>到位率100%，</w:t>
      </w:r>
      <w:r>
        <w:rPr>
          <w:rFonts w:hint="eastAsia" w:asciiTheme="minorEastAsia" w:hAnsiTheme="minorEastAsia" w:eastAsiaTheme="minorEastAsia"/>
          <w:sz w:val="28"/>
          <w:szCs w:val="28"/>
        </w:rPr>
        <w:t>年度</w:t>
      </w:r>
      <w:r>
        <w:rPr>
          <w:rFonts w:hint="eastAsia" w:asciiTheme="minorEastAsia" w:hAnsiTheme="minorEastAsia" w:eastAsiaTheme="minorEastAsia"/>
          <w:sz w:val="28"/>
          <w:szCs w:val="28"/>
          <w:lang w:eastAsia="zh-CN"/>
        </w:rPr>
        <w:t>总</w:t>
      </w:r>
      <w:r>
        <w:rPr>
          <w:rFonts w:hint="eastAsia" w:asciiTheme="minorEastAsia" w:hAnsiTheme="minorEastAsia" w:eastAsiaTheme="minorEastAsia"/>
          <w:sz w:val="28"/>
          <w:szCs w:val="28"/>
        </w:rPr>
        <w:t>支出</w:t>
      </w:r>
      <w:r>
        <w:rPr>
          <w:rFonts w:hint="eastAsia" w:asciiTheme="minorEastAsia" w:hAnsiTheme="minorEastAsia" w:eastAsiaTheme="minorEastAsia"/>
          <w:sz w:val="28"/>
          <w:szCs w:val="28"/>
          <w:lang w:eastAsia="zh-CN"/>
        </w:rPr>
        <w:t>10</w:t>
      </w:r>
      <w:r>
        <w:rPr>
          <w:rFonts w:hint="eastAsia" w:asciiTheme="minorEastAsia" w:hAnsiTheme="minorEastAsia" w:eastAsiaTheme="minorEastAsia"/>
          <w:sz w:val="28"/>
          <w:szCs w:val="28"/>
        </w:rPr>
        <w:t>万元，</w:t>
      </w:r>
      <w:r>
        <w:rPr>
          <w:rFonts w:hint="eastAsia" w:asciiTheme="minorEastAsia" w:hAnsiTheme="minorEastAsia" w:eastAsiaTheme="minorEastAsia"/>
          <w:sz w:val="28"/>
          <w:szCs w:val="28"/>
          <w:lang w:eastAsia="zh-CN"/>
        </w:rPr>
        <w:t>使用率100%。</w:t>
      </w:r>
    </w:p>
    <w:p>
      <w:pPr>
        <w:pStyle w:val="5"/>
        <w:spacing w:before="28"/>
        <w:ind w:left="747"/>
        <w:outlineLvl w:val="1"/>
        <w:rPr>
          <w:rFonts w:asciiTheme="minorEastAsia" w:hAnsiTheme="minorEastAsia" w:eastAsiaTheme="minorEastAsia"/>
          <w:b/>
          <w:w w:val="95"/>
          <w:lang w:eastAsia="zh-CN"/>
        </w:rPr>
      </w:pPr>
      <w:bookmarkStart w:id="12" w:name="_Toc14282"/>
      <w:r>
        <w:rPr>
          <w:rFonts w:hint="eastAsia" w:asciiTheme="minorEastAsia" w:hAnsiTheme="minorEastAsia" w:eastAsiaTheme="minorEastAsia"/>
          <w:b/>
          <w:w w:val="95"/>
        </w:rPr>
        <w:t>（二）项目绩效目标</w:t>
      </w:r>
      <w:r>
        <w:rPr>
          <w:rFonts w:hint="eastAsia" w:asciiTheme="minorEastAsia" w:hAnsiTheme="minorEastAsia" w:eastAsiaTheme="minorEastAsia"/>
          <w:b/>
          <w:w w:val="95"/>
          <w:lang w:eastAsia="zh-CN"/>
        </w:rPr>
        <w:t>、</w:t>
      </w:r>
      <w:r>
        <w:rPr>
          <w:rFonts w:hint="eastAsia" w:asciiTheme="minorEastAsia" w:hAnsiTheme="minorEastAsia" w:eastAsiaTheme="minorEastAsia"/>
          <w:b/>
          <w:w w:val="95"/>
        </w:rPr>
        <w:t>包括总体目标和阶段性目标。</w:t>
      </w:r>
      <w:bookmarkEnd w:id="12"/>
    </w:p>
    <w:p>
      <w:pPr>
        <w:pStyle w:val="5"/>
        <w:spacing w:before="28"/>
        <w:ind w:left="747"/>
        <w:outlineLvl w:val="2"/>
        <w:rPr>
          <w:rFonts w:ascii="仿宋" w:hAnsi="仿宋" w:eastAsia="仿宋"/>
          <w:b/>
          <w:lang w:eastAsia="zh-CN"/>
        </w:rPr>
      </w:pPr>
      <w:bookmarkStart w:id="13" w:name="_Toc19343"/>
      <w:r>
        <w:rPr>
          <w:rFonts w:hint="eastAsia" w:ascii="仿宋" w:hAnsi="仿宋" w:eastAsia="仿宋"/>
          <w:b/>
          <w:lang w:eastAsia="zh-CN"/>
        </w:rPr>
        <w:t>（1）总体目标</w:t>
      </w:r>
      <w:bookmarkEnd w:id="13"/>
    </w:p>
    <w:p>
      <w:pPr>
        <w:pStyle w:val="5"/>
        <w:spacing w:before="121" w:line="307" w:lineRule="auto"/>
        <w:ind w:left="108" w:firstLine="638"/>
        <w:rPr>
          <w:rFonts w:ascii="仿宋" w:hAnsi="仿宋" w:eastAsia="仿宋"/>
          <w:b/>
          <w:w w:val="95"/>
          <w:lang w:eastAsia="zh-CN"/>
        </w:rPr>
      </w:pPr>
      <w:r>
        <w:rPr>
          <w:rFonts w:ascii="Arial" w:hAnsi="Arial" w:eastAsia="宋体" w:cs="Arial"/>
          <w:color w:val="333333"/>
          <w:sz w:val="28"/>
          <w:szCs w:val="28"/>
          <w:shd w:val="clear" w:color="auto" w:fill="FFFFFF"/>
        </w:rPr>
        <w:t>做好水旱灾害突发事件防范与处置工作，使水旱灾害处于可控状态，保证抗洪抢险、抗旱救灾工作高效有序进行，</w:t>
      </w:r>
      <w:r>
        <w:rPr>
          <w:rFonts w:hint="eastAsia"/>
          <w:sz w:val="28"/>
          <w:szCs w:val="28"/>
          <w:lang w:eastAsia="zh-CN"/>
        </w:rPr>
        <w:t>有效应对自然灾害，</w:t>
      </w:r>
      <w:r>
        <w:rPr>
          <w:rFonts w:ascii="Arial" w:hAnsi="Arial" w:eastAsia="宋体" w:cs="Arial"/>
          <w:color w:val="333333"/>
          <w:sz w:val="28"/>
          <w:szCs w:val="28"/>
          <w:shd w:val="clear" w:color="auto" w:fill="FFFFFF"/>
        </w:rPr>
        <w:t>最大程度地减少人员伤亡和财产损失。</w:t>
      </w:r>
    </w:p>
    <w:p>
      <w:pPr>
        <w:pStyle w:val="5"/>
        <w:spacing w:before="28"/>
        <w:ind w:firstLine="643" w:firstLineChars="200"/>
        <w:outlineLvl w:val="2"/>
        <w:rPr>
          <w:rFonts w:asciiTheme="minorEastAsia" w:hAnsiTheme="minorEastAsia" w:eastAsiaTheme="minorEastAsia"/>
          <w:b/>
          <w:lang w:eastAsia="zh-CN"/>
        </w:rPr>
      </w:pPr>
      <w:bookmarkStart w:id="14" w:name="_Toc3575"/>
      <w:r>
        <w:rPr>
          <w:rFonts w:hint="eastAsia" w:asciiTheme="minorEastAsia" w:hAnsiTheme="minorEastAsia" w:eastAsiaTheme="minorEastAsia"/>
          <w:b/>
          <w:lang w:eastAsia="zh-CN"/>
        </w:rPr>
        <w:t>（2）阶段性工作目标</w:t>
      </w:r>
      <w:bookmarkEnd w:id="14"/>
    </w:p>
    <w:p>
      <w:pPr>
        <w:pStyle w:val="5"/>
        <w:spacing w:before="121"/>
        <w:ind w:firstLine="560" w:firstLineChars="200"/>
        <w:outlineLvl w:val="0"/>
        <w:rPr>
          <w:rFonts w:ascii="宋体" w:hAnsi="宋体" w:eastAsia="宋体" w:cs="宋体"/>
          <w:b/>
          <w:w w:val="95"/>
          <w:sz w:val="28"/>
          <w:szCs w:val="28"/>
          <w:lang w:eastAsia="zh-CN"/>
        </w:rPr>
      </w:pPr>
      <w:bookmarkStart w:id="15" w:name="_Toc3653"/>
      <w:bookmarkStart w:id="16" w:name="_Toc31351"/>
      <w:r>
        <w:rPr>
          <w:rFonts w:hint="eastAsia" w:ascii="宋体" w:hAnsi="宋体" w:eastAsia="宋体" w:cs="宋体"/>
          <w:color w:val="191919"/>
          <w:sz w:val="28"/>
          <w:szCs w:val="28"/>
          <w:shd w:val="clear" w:color="auto" w:fill="FFFFFF"/>
        </w:rPr>
        <w:t>认真做好防汛抗旱工作部署</w:t>
      </w:r>
      <w:r>
        <w:rPr>
          <w:rFonts w:hint="eastAsia" w:ascii="宋体" w:hAnsi="宋体" w:eastAsia="宋体" w:cs="宋体"/>
          <w:color w:val="191919"/>
          <w:sz w:val="28"/>
          <w:szCs w:val="28"/>
          <w:shd w:val="clear" w:color="auto" w:fill="FFFFFF"/>
          <w:lang w:eastAsia="zh-CN"/>
        </w:rPr>
        <w:t>，</w:t>
      </w:r>
      <w:r>
        <w:rPr>
          <w:rFonts w:hint="eastAsia" w:ascii="宋体" w:hAnsi="宋体" w:eastAsia="宋体" w:cs="宋体"/>
          <w:color w:val="191919"/>
          <w:sz w:val="28"/>
          <w:szCs w:val="28"/>
          <w:shd w:val="clear" w:color="auto" w:fill="FFFFFF"/>
        </w:rPr>
        <w:t>健全完善防汛抗旱应急指挥管理、监测预警、工程防御、抢险救灾保障四大体系，强化应急值守和指挥调度</w:t>
      </w:r>
      <w:r>
        <w:rPr>
          <w:rFonts w:hint="eastAsia" w:ascii="宋体" w:hAnsi="宋体" w:eastAsia="宋体" w:cs="宋体"/>
          <w:color w:val="191919"/>
          <w:sz w:val="28"/>
          <w:szCs w:val="28"/>
          <w:shd w:val="clear" w:color="auto" w:fill="FFFFFF"/>
          <w:lang w:eastAsia="zh-CN"/>
        </w:rPr>
        <w:t>，</w:t>
      </w:r>
      <w:r>
        <w:rPr>
          <w:rFonts w:hint="eastAsia" w:ascii="宋体" w:hAnsi="宋体" w:eastAsia="宋体" w:cs="宋体"/>
          <w:color w:val="191919"/>
          <w:sz w:val="28"/>
          <w:szCs w:val="28"/>
          <w:shd w:val="clear" w:color="auto" w:fill="FFFFFF"/>
        </w:rPr>
        <w:t>制定下发了全</w:t>
      </w:r>
      <w:r>
        <w:rPr>
          <w:rFonts w:hint="eastAsia" w:ascii="宋体" w:hAnsi="宋体" w:eastAsia="宋体" w:cs="宋体"/>
          <w:color w:val="191919"/>
          <w:sz w:val="28"/>
          <w:szCs w:val="28"/>
          <w:shd w:val="clear" w:color="auto" w:fill="FFFFFF"/>
          <w:lang w:eastAsia="zh-CN"/>
        </w:rPr>
        <w:t>县</w:t>
      </w:r>
      <w:r>
        <w:rPr>
          <w:rFonts w:hint="eastAsia" w:ascii="宋体" w:hAnsi="宋体" w:eastAsia="宋体" w:cs="宋体"/>
          <w:color w:val="191919"/>
          <w:sz w:val="28"/>
          <w:szCs w:val="28"/>
          <w:shd w:val="clear" w:color="auto" w:fill="FFFFFF"/>
        </w:rPr>
        <w:t>20</w:t>
      </w:r>
      <w:r>
        <w:rPr>
          <w:rFonts w:hint="eastAsia" w:ascii="宋体" w:hAnsi="宋体" w:eastAsia="宋体" w:cs="宋体"/>
          <w:color w:val="191919"/>
          <w:sz w:val="28"/>
          <w:szCs w:val="28"/>
          <w:shd w:val="clear" w:color="auto" w:fill="FFFFFF"/>
          <w:lang w:eastAsia="zh-CN"/>
        </w:rPr>
        <w:t>20</w:t>
      </w:r>
      <w:r>
        <w:rPr>
          <w:rFonts w:hint="eastAsia" w:ascii="宋体" w:hAnsi="宋体" w:eastAsia="宋体" w:cs="宋体"/>
          <w:color w:val="191919"/>
          <w:sz w:val="28"/>
          <w:szCs w:val="28"/>
          <w:shd w:val="clear" w:color="auto" w:fill="FFFFFF"/>
        </w:rPr>
        <w:t>年防汛抗旱工作要点，确定今年防汛抗旱各项工作任务</w:t>
      </w:r>
      <w:r>
        <w:rPr>
          <w:rFonts w:hint="eastAsia" w:ascii="宋体" w:hAnsi="宋体" w:eastAsia="宋体" w:cs="宋体"/>
          <w:color w:val="191919"/>
          <w:sz w:val="28"/>
          <w:szCs w:val="28"/>
          <w:shd w:val="clear" w:color="auto" w:fill="FFFFFF"/>
          <w:lang w:eastAsia="zh-CN"/>
        </w:rPr>
        <w:t>，</w:t>
      </w:r>
      <w:r>
        <w:rPr>
          <w:rFonts w:hint="eastAsia" w:ascii="宋体" w:hAnsi="宋体" w:eastAsia="宋体" w:cs="宋体"/>
          <w:color w:val="191919"/>
          <w:sz w:val="28"/>
          <w:szCs w:val="28"/>
          <w:shd w:val="clear" w:color="auto" w:fill="FFFFFF"/>
        </w:rPr>
        <w:t>分解落实防汛抗旱目标责任</w:t>
      </w:r>
      <w:r>
        <w:rPr>
          <w:rFonts w:hint="eastAsia" w:ascii="宋体" w:hAnsi="宋体" w:eastAsia="宋体" w:cs="宋体"/>
          <w:color w:val="191919"/>
          <w:sz w:val="28"/>
          <w:szCs w:val="28"/>
          <w:shd w:val="clear" w:color="auto" w:fill="FFFFFF"/>
          <w:lang w:eastAsia="zh-CN"/>
        </w:rPr>
        <w:t>。</w:t>
      </w:r>
      <w:bookmarkEnd w:id="15"/>
    </w:p>
    <w:p>
      <w:pPr>
        <w:pStyle w:val="5"/>
        <w:spacing w:before="121"/>
        <w:ind w:left="747"/>
        <w:outlineLvl w:val="0"/>
        <w:rPr>
          <w:rFonts w:hint="eastAsia" w:ascii="黑体" w:eastAsia="黑体"/>
          <w:b/>
        </w:rPr>
      </w:pPr>
      <w:bookmarkStart w:id="17" w:name="_Toc13496"/>
      <w:r>
        <w:rPr>
          <w:rFonts w:hint="eastAsia" w:ascii="黑体" w:eastAsia="黑体"/>
          <w:b/>
          <w:w w:val="95"/>
        </w:rPr>
        <w:t>二、绩效评价工作开展情况</w:t>
      </w:r>
      <w:bookmarkEnd w:id="16"/>
      <w:bookmarkEnd w:id="17"/>
    </w:p>
    <w:p>
      <w:pPr>
        <w:pStyle w:val="5"/>
        <w:spacing w:before="121"/>
        <w:ind w:left="747"/>
        <w:outlineLvl w:val="1"/>
        <w:rPr>
          <w:rFonts w:asciiTheme="minorEastAsia" w:hAnsiTheme="minorEastAsia" w:eastAsiaTheme="minorEastAsia"/>
          <w:b/>
          <w:w w:val="95"/>
          <w:lang w:eastAsia="zh-CN"/>
        </w:rPr>
      </w:pPr>
      <w:bookmarkStart w:id="18" w:name="_Toc4476"/>
      <w:r>
        <w:rPr>
          <w:rFonts w:hint="eastAsia" w:asciiTheme="minorEastAsia" w:hAnsiTheme="minorEastAsia" w:eastAsiaTheme="minorEastAsia"/>
          <w:b/>
          <w:w w:val="95"/>
        </w:rPr>
        <w:t>（一）绩效评价目的、对象和范围。</w:t>
      </w:r>
      <w:bookmarkEnd w:id="18"/>
    </w:p>
    <w:p>
      <w:pPr>
        <w:pStyle w:val="5"/>
        <w:spacing w:before="121"/>
        <w:ind w:left="747"/>
        <w:outlineLvl w:val="2"/>
        <w:rPr>
          <w:b/>
          <w:w w:val="95"/>
          <w:lang w:eastAsia="zh-CN"/>
        </w:rPr>
      </w:pPr>
      <w:bookmarkStart w:id="19" w:name="_Toc30793"/>
      <w:r>
        <w:rPr>
          <w:rFonts w:hint="eastAsia"/>
          <w:b/>
          <w:w w:val="95"/>
          <w:lang w:eastAsia="zh-CN"/>
        </w:rPr>
        <w:t>1、评价目的</w:t>
      </w:r>
      <w:bookmarkEnd w:id="19"/>
    </w:p>
    <w:p>
      <w:pPr>
        <w:widowControl/>
        <w:shd w:val="clear" w:color="auto" w:fill="FFFFFF"/>
        <w:spacing w:line="360" w:lineRule="auto"/>
        <w:ind w:firstLine="560" w:firstLineChars="200"/>
        <w:rPr>
          <w:rFonts w:ascii="宋体" w:hAnsi="宋体" w:eastAsia="宋体"/>
          <w:sz w:val="28"/>
          <w:szCs w:val="28"/>
        </w:rPr>
      </w:pPr>
      <w:r>
        <w:rPr>
          <w:rFonts w:hint="eastAsia" w:ascii="宋体" w:hAnsi="宋体" w:eastAsia="宋体"/>
          <w:sz w:val="28"/>
          <w:szCs w:val="28"/>
        </w:rPr>
        <w:t>（1）通过对项目的资金投入、项目管理、项目产出和项目效果四个方面进行自我评价，对所发现的问题，提出改进。总结项目实施过程中的经验成效，进一步加强项目管理，提高财政资金的使用效益，为下一步预算资金安排提供重要参考。</w:t>
      </w:r>
    </w:p>
    <w:p>
      <w:pPr>
        <w:widowControl/>
        <w:shd w:val="clear" w:color="auto" w:fill="FFFFFF"/>
        <w:spacing w:line="360" w:lineRule="auto"/>
        <w:ind w:firstLine="560" w:firstLineChars="200"/>
        <w:rPr>
          <w:rFonts w:ascii="宋体" w:hAnsi="宋体" w:eastAsia="宋体"/>
          <w:sz w:val="28"/>
          <w:szCs w:val="28"/>
        </w:rPr>
      </w:pPr>
      <w:r>
        <w:rPr>
          <w:rFonts w:hint="eastAsia" w:ascii="宋体" w:hAnsi="宋体" w:eastAsia="宋体"/>
          <w:sz w:val="28"/>
          <w:szCs w:val="28"/>
        </w:rPr>
        <w:t>（2）根据文件精神设定的绩效目标，确定评价指标和标准，对该项资金使用全过程及其支出的合规性、经济性、效率性和效益性进行评价。</w:t>
      </w:r>
    </w:p>
    <w:p>
      <w:pPr>
        <w:pStyle w:val="5"/>
        <w:spacing w:before="121"/>
        <w:ind w:left="747"/>
        <w:outlineLvl w:val="2"/>
        <w:rPr>
          <w:rFonts w:asciiTheme="minorEastAsia" w:hAnsiTheme="minorEastAsia" w:eastAsiaTheme="minorEastAsia"/>
          <w:b/>
          <w:lang w:eastAsia="zh-CN"/>
        </w:rPr>
      </w:pPr>
      <w:bookmarkStart w:id="20" w:name="_Toc17475"/>
      <w:r>
        <w:rPr>
          <w:rFonts w:hint="eastAsia" w:asciiTheme="minorEastAsia" w:hAnsiTheme="minorEastAsia" w:eastAsiaTheme="minorEastAsia"/>
          <w:b/>
          <w:lang w:eastAsia="zh-CN"/>
        </w:rPr>
        <w:t>2、评价对像和范围</w:t>
      </w:r>
      <w:bookmarkEnd w:id="20"/>
    </w:p>
    <w:p>
      <w:pPr>
        <w:pStyle w:val="5"/>
        <w:spacing w:before="121"/>
        <w:ind w:firstLine="560" w:firstLineChars="200"/>
        <w:rPr>
          <w:rFonts w:asciiTheme="minorEastAsia" w:hAnsiTheme="minorEastAsia" w:eastAsiaTheme="minorEastAsia"/>
          <w:lang w:eastAsia="zh-CN"/>
        </w:rPr>
      </w:pPr>
      <w:r>
        <w:rPr>
          <w:rFonts w:hint="eastAsia" w:asciiTheme="minorEastAsia" w:hAnsiTheme="minorEastAsia" w:eastAsiaTheme="minorEastAsia"/>
          <w:sz w:val="28"/>
          <w:szCs w:val="28"/>
          <w:lang w:eastAsia="zh-CN"/>
        </w:rPr>
        <w:t>本次评价依据浮</w:t>
      </w:r>
      <w:r>
        <w:rPr>
          <w:rFonts w:hint="eastAsia" w:asciiTheme="minorEastAsia" w:hAnsiTheme="minorEastAsia" w:eastAsiaTheme="minorEastAsia"/>
          <w:sz w:val="28"/>
          <w:szCs w:val="28"/>
          <w:lang w:val="en-US" w:eastAsia="zh-CN"/>
        </w:rPr>
        <w:t>财绩字【2021】3号</w:t>
      </w:r>
      <w:r>
        <w:rPr>
          <w:rFonts w:hint="eastAsia" w:asciiTheme="minorEastAsia" w:hAnsiTheme="minorEastAsia" w:eastAsiaTheme="minorEastAsia"/>
          <w:sz w:val="28"/>
          <w:szCs w:val="28"/>
          <w:lang w:eastAsia="zh-CN"/>
        </w:rPr>
        <w:t>要求，以及防汛抗旱工作</w:t>
      </w:r>
      <w:r>
        <w:rPr>
          <w:rFonts w:hint="eastAsia" w:cs="黑体" w:asciiTheme="minorEastAsia" w:hAnsiTheme="minorEastAsia" w:eastAsiaTheme="minorEastAsia"/>
          <w:sz w:val="28"/>
          <w:szCs w:val="28"/>
          <w:lang w:eastAsia="zh-CN"/>
        </w:rPr>
        <w:t>相关法规</w:t>
      </w:r>
      <w:r>
        <w:rPr>
          <w:rFonts w:hint="eastAsia" w:asciiTheme="minorEastAsia" w:hAnsiTheme="minorEastAsia" w:eastAsiaTheme="minorEastAsia"/>
          <w:sz w:val="28"/>
          <w:szCs w:val="28"/>
          <w:lang w:eastAsia="zh-CN"/>
        </w:rPr>
        <w:t>要求和县财政局绩效评价相关规定，针对2020年防汛抗旱工作项目，</w:t>
      </w:r>
      <w:r>
        <w:rPr>
          <w:rFonts w:hint="eastAsia" w:asciiTheme="minorEastAsia" w:hAnsiTheme="minorEastAsia" w:eastAsiaTheme="minorEastAsia"/>
          <w:lang w:eastAsia="zh-CN"/>
        </w:rPr>
        <w:t>财政预算资金10万元支出情况进行评价。</w:t>
      </w:r>
    </w:p>
    <w:p>
      <w:pPr>
        <w:pStyle w:val="5"/>
        <w:spacing w:before="121" w:line="307" w:lineRule="auto"/>
        <w:ind w:left="108" w:firstLine="638"/>
        <w:outlineLvl w:val="1"/>
        <w:rPr>
          <w:rFonts w:asciiTheme="minorEastAsia" w:hAnsiTheme="minorEastAsia" w:eastAsiaTheme="minorEastAsia"/>
          <w:b/>
          <w:spacing w:val="-5"/>
          <w:w w:val="95"/>
          <w:lang w:eastAsia="zh-CN"/>
        </w:rPr>
      </w:pPr>
      <w:bookmarkStart w:id="21" w:name="_Toc14370"/>
      <w:r>
        <w:rPr>
          <w:rFonts w:hint="eastAsia" w:asciiTheme="minorEastAsia" w:hAnsiTheme="minorEastAsia" w:eastAsiaTheme="minorEastAsia"/>
          <w:b/>
        </w:rPr>
        <w:t>（二</w:t>
      </w:r>
      <w:r>
        <w:rPr>
          <w:rFonts w:hint="eastAsia" w:asciiTheme="minorEastAsia" w:hAnsiTheme="minorEastAsia" w:eastAsiaTheme="minorEastAsia"/>
          <w:b/>
          <w:spacing w:val="-17"/>
        </w:rPr>
        <w:t>）</w:t>
      </w:r>
      <w:r>
        <w:rPr>
          <w:rFonts w:hint="eastAsia" w:asciiTheme="minorEastAsia" w:hAnsiTheme="minorEastAsia" w:eastAsiaTheme="minorEastAsia"/>
          <w:b/>
          <w:spacing w:val="-5"/>
        </w:rPr>
        <w:t>绩效评价原则、评价指标体系</w:t>
      </w:r>
      <w:r>
        <w:rPr>
          <w:rFonts w:hint="eastAsia" w:asciiTheme="minorEastAsia" w:hAnsiTheme="minorEastAsia" w:eastAsiaTheme="minorEastAsia"/>
          <w:b/>
        </w:rPr>
        <w:t>（附表说明</w:t>
      </w:r>
      <w:r>
        <w:rPr>
          <w:rFonts w:hint="eastAsia" w:asciiTheme="minorEastAsia" w:hAnsiTheme="minorEastAsia" w:eastAsiaTheme="minorEastAsia"/>
          <w:b/>
          <w:spacing w:val="-159"/>
        </w:rPr>
        <w:t>）</w:t>
      </w:r>
      <w:r>
        <w:rPr>
          <w:rFonts w:hint="eastAsia" w:asciiTheme="minorEastAsia" w:hAnsiTheme="minorEastAsia" w:eastAsiaTheme="minorEastAsia"/>
          <w:b/>
          <w:spacing w:val="-5"/>
        </w:rPr>
        <w:t>、评价方</w:t>
      </w:r>
      <w:r>
        <w:rPr>
          <w:rFonts w:hint="eastAsia" w:asciiTheme="minorEastAsia" w:hAnsiTheme="minorEastAsia" w:eastAsiaTheme="minorEastAsia"/>
          <w:b/>
          <w:spacing w:val="-5"/>
          <w:w w:val="95"/>
        </w:rPr>
        <w:t>法、评价标准等。</w:t>
      </w:r>
      <w:bookmarkEnd w:id="21"/>
    </w:p>
    <w:p>
      <w:pPr>
        <w:pStyle w:val="5"/>
        <w:spacing w:before="121" w:line="307" w:lineRule="auto"/>
        <w:ind w:left="108" w:firstLine="638"/>
        <w:outlineLvl w:val="2"/>
        <w:rPr>
          <w:rFonts w:asciiTheme="minorEastAsia" w:hAnsiTheme="minorEastAsia" w:eastAsiaTheme="minorEastAsia"/>
          <w:b/>
          <w:spacing w:val="-5"/>
          <w:w w:val="95"/>
          <w:lang w:eastAsia="zh-CN"/>
        </w:rPr>
      </w:pPr>
      <w:bookmarkStart w:id="22" w:name="_Toc2642"/>
      <w:r>
        <w:rPr>
          <w:rFonts w:hint="eastAsia" w:asciiTheme="minorEastAsia" w:hAnsiTheme="minorEastAsia" w:eastAsiaTheme="minorEastAsia"/>
          <w:b/>
          <w:spacing w:val="-5"/>
          <w:w w:val="95"/>
          <w:lang w:eastAsia="zh-CN"/>
        </w:rPr>
        <w:t>1、评价原则</w:t>
      </w:r>
      <w:bookmarkEnd w:id="22"/>
    </w:p>
    <w:p>
      <w:pPr>
        <w:ind w:firstLine="643" w:firstLineChars="200"/>
        <w:rPr>
          <w:rFonts w:ascii="仿宋" w:hAnsi="仿宋" w:eastAsia="仿宋"/>
          <w:b/>
          <w:sz w:val="32"/>
          <w:szCs w:val="32"/>
        </w:rPr>
      </w:pPr>
      <w:r>
        <w:rPr>
          <w:rFonts w:hint="eastAsia" w:ascii="仿宋" w:hAnsi="仿宋" w:eastAsia="仿宋"/>
          <w:b/>
          <w:sz w:val="32"/>
          <w:szCs w:val="32"/>
        </w:rPr>
        <w:t>（1）客观、公正的原则</w:t>
      </w:r>
    </w:p>
    <w:p>
      <w:pPr>
        <w:ind w:firstLine="560" w:firstLineChars="200"/>
        <w:rPr>
          <w:rFonts w:asciiTheme="minorEastAsia" w:hAnsiTheme="minorEastAsia"/>
          <w:sz w:val="28"/>
          <w:szCs w:val="28"/>
        </w:rPr>
      </w:pPr>
      <w:r>
        <w:rPr>
          <w:rFonts w:hint="eastAsia" w:asciiTheme="minorEastAsia" w:hAnsiTheme="minorEastAsia"/>
          <w:sz w:val="28"/>
          <w:szCs w:val="28"/>
        </w:rPr>
        <w:t>根据项目类型，按照规范、公开、透明的要求制定科学、合理的绩效评价指标、评价标准、评价方法，严格执行规定的程序对专项资金项目进行客观、公正的评价。</w:t>
      </w:r>
    </w:p>
    <w:p>
      <w:pPr>
        <w:ind w:firstLine="643" w:firstLineChars="200"/>
        <w:rPr>
          <w:rFonts w:ascii="仿宋" w:hAnsi="仿宋" w:eastAsia="仿宋"/>
          <w:b/>
          <w:sz w:val="32"/>
          <w:szCs w:val="32"/>
        </w:rPr>
      </w:pPr>
      <w:r>
        <w:rPr>
          <w:rFonts w:hint="eastAsia" w:ascii="仿宋" w:hAnsi="仿宋" w:eastAsia="仿宋"/>
          <w:b/>
          <w:sz w:val="32"/>
          <w:szCs w:val="32"/>
        </w:rPr>
        <w:t>（2）综合绩效评价的原则</w:t>
      </w:r>
    </w:p>
    <w:p>
      <w:pPr>
        <w:ind w:firstLine="560" w:firstLineChars="200"/>
        <w:rPr>
          <w:rFonts w:asciiTheme="minorEastAsia" w:hAnsiTheme="minorEastAsia"/>
          <w:sz w:val="28"/>
          <w:szCs w:val="28"/>
        </w:rPr>
      </w:pPr>
      <w:r>
        <w:rPr>
          <w:rFonts w:hint="eastAsia" w:asciiTheme="minorEastAsia" w:hAnsiTheme="minorEastAsia"/>
          <w:sz w:val="28"/>
          <w:szCs w:val="28"/>
        </w:rPr>
        <w:t>以投入产出分析为基本方法，通过建立综合评价指标体系，对照相应评价标准，对项目特定期间的支出绩效进行综合评判。</w:t>
      </w:r>
    </w:p>
    <w:p>
      <w:pPr>
        <w:pStyle w:val="5"/>
        <w:spacing w:before="121" w:line="307" w:lineRule="auto"/>
        <w:ind w:left="108" w:firstLine="638"/>
        <w:outlineLvl w:val="2"/>
        <w:rPr>
          <w:rFonts w:asciiTheme="minorEastAsia" w:hAnsiTheme="minorEastAsia" w:eastAsiaTheme="minorEastAsia"/>
          <w:b/>
          <w:spacing w:val="-5"/>
          <w:lang w:eastAsia="zh-CN"/>
        </w:rPr>
      </w:pPr>
      <w:r>
        <w:rPr>
          <w:rFonts w:hint="eastAsia"/>
          <w:lang w:eastAsia="zh-CN"/>
        </w:rPr>
        <w:t xml:space="preserve"> </w:t>
      </w:r>
      <w:bookmarkStart w:id="23" w:name="_Toc10953"/>
      <w:r>
        <w:rPr>
          <w:rFonts w:hint="eastAsia" w:asciiTheme="minorEastAsia" w:hAnsiTheme="minorEastAsia" w:eastAsiaTheme="minorEastAsia"/>
          <w:b/>
          <w:lang w:eastAsia="zh-CN"/>
        </w:rPr>
        <w:t>2、</w:t>
      </w:r>
      <w:r>
        <w:rPr>
          <w:rFonts w:hint="eastAsia" w:asciiTheme="minorEastAsia" w:hAnsiTheme="minorEastAsia" w:eastAsiaTheme="minorEastAsia"/>
          <w:b/>
          <w:spacing w:val="-5"/>
        </w:rPr>
        <w:t>评价指标体系</w:t>
      </w:r>
      <w:bookmarkEnd w:id="23"/>
    </w:p>
    <w:p>
      <w:pPr>
        <w:ind w:firstLine="560" w:firstLineChars="200"/>
        <w:rPr>
          <w:rFonts w:ascii="宋体" w:hAnsi="宋体" w:eastAsia="宋体"/>
          <w:sz w:val="28"/>
          <w:szCs w:val="28"/>
        </w:rPr>
      </w:pPr>
      <w:r>
        <w:rPr>
          <w:rFonts w:hint="eastAsia" w:ascii="宋体" w:hAnsi="宋体" w:eastAsia="宋体"/>
          <w:color w:val="333333"/>
          <w:kern w:val="0"/>
          <w:sz w:val="28"/>
          <w:szCs w:val="28"/>
        </w:rPr>
        <w:t>本次绩效评价指标体系根据相关法律法规、项目绩效目标及相关管理办法，确定绩效评价标准。从项目资金的投入、过程、产出和效果四个方面进行评价。指标体系由一级至三级指标及目标值、指标解</w:t>
      </w:r>
      <w:r>
        <w:rPr>
          <w:rFonts w:hint="eastAsia" w:asciiTheme="minorEastAsia" w:hAnsiTheme="minorEastAsia"/>
          <w:color w:val="333333"/>
          <w:kern w:val="0"/>
          <w:sz w:val="28"/>
          <w:szCs w:val="28"/>
        </w:rPr>
        <w:t>释、评价标准、评价依据4个部分组成。</w:t>
      </w:r>
      <w:r>
        <w:rPr>
          <w:rFonts w:hint="eastAsia" w:asciiTheme="minorEastAsia" w:hAnsiTheme="minorEastAsia"/>
          <w:sz w:val="28"/>
          <w:szCs w:val="28"/>
        </w:rPr>
        <w:t>按照《防汛抗旱工作</w:t>
      </w:r>
      <w:r>
        <w:rPr>
          <w:rFonts w:hint="eastAsia"/>
          <w:sz w:val="28"/>
          <w:szCs w:val="28"/>
        </w:rPr>
        <w:t>》相关</w:t>
      </w:r>
      <w:r>
        <w:rPr>
          <w:rFonts w:hint="eastAsia" w:asciiTheme="minorEastAsia" w:hAnsiTheme="minorEastAsia"/>
          <w:sz w:val="28"/>
          <w:szCs w:val="28"/>
        </w:rPr>
        <w:t>要求，设定指标如下：</w:t>
      </w:r>
    </w:p>
    <w:p>
      <w:pPr>
        <w:ind w:firstLine="562" w:firstLineChars="200"/>
        <w:rPr>
          <w:rFonts w:asciiTheme="minorEastAsia" w:hAnsiTheme="minorEastAsia"/>
          <w:b/>
          <w:sz w:val="28"/>
          <w:szCs w:val="28"/>
        </w:rPr>
      </w:pPr>
      <w:r>
        <w:rPr>
          <w:rFonts w:hint="eastAsia" w:asciiTheme="minorEastAsia" w:hAnsiTheme="minorEastAsia"/>
          <w:b/>
          <w:sz w:val="28"/>
          <w:szCs w:val="28"/>
        </w:rPr>
        <w:t>（1）决策项目管理指标</w:t>
      </w:r>
    </w:p>
    <w:p>
      <w:pPr>
        <w:ind w:firstLine="560" w:firstLineChars="200"/>
        <w:rPr>
          <w:rFonts w:asciiTheme="minorEastAsia" w:hAnsiTheme="minorEastAsia"/>
          <w:sz w:val="28"/>
          <w:szCs w:val="28"/>
        </w:rPr>
      </w:pPr>
      <w:r>
        <w:rPr>
          <w:rFonts w:hint="eastAsia" w:asciiTheme="minorEastAsia" w:hAnsiTheme="minorEastAsia"/>
          <w:sz w:val="28"/>
          <w:szCs w:val="28"/>
        </w:rPr>
        <w:t>决策指标为一级指标，其下包括二级指标：项目立项、绩效目标、资金投入等；</w:t>
      </w:r>
      <w:bookmarkStart w:id="24" w:name="_Toc67514098"/>
      <w:bookmarkStart w:id="25" w:name="_Toc67515044"/>
    </w:p>
    <w:p>
      <w:pPr>
        <w:ind w:firstLine="562" w:firstLineChars="200"/>
        <w:rPr>
          <w:rFonts w:asciiTheme="minorEastAsia" w:hAnsiTheme="minorEastAsia"/>
          <w:b/>
          <w:sz w:val="28"/>
          <w:szCs w:val="28"/>
        </w:rPr>
      </w:pPr>
      <w:r>
        <w:rPr>
          <w:rFonts w:hint="eastAsia" w:asciiTheme="minorEastAsia" w:hAnsiTheme="minorEastAsia"/>
          <w:b/>
          <w:sz w:val="28"/>
          <w:szCs w:val="28"/>
        </w:rPr>
        <w:t>（2）过程管理指标</w:t>
      </w:r>
      <w:bookmarkEnd w:id="24"/>
      <w:bookmarkEnd w:id="25"/>
    </w:p>
    <w:p>
      <w:pPr>
        <w:ind w:firstLine="560" w:firstLineChars="200"/>
        <w:rPr>
          <w:rFonts w:asciiTheme="minorEastAsia" w:hAnsiTheme="minorEastAsia"/>
          <w:sz w:val="28"/>
          <w:szCs w:val="28"/>
        </w:rPr>
      </w:pPr>
      <w:r>
        <w:rPr>
          <w:rFonts w:hint="eastAsia" w:asciiTheme="minorEastAsia" w:hAnsiTheme="minorEastAsia"/>
          <w:sz w:val="28"/>
          <w:szCs w:val="28"/>
        </w:rPr>
        <w:t xml:space="preserve">过程管理指标为一级指标，其下包括二级指标:资金管理指标、项目管理指标等； </w:t>
      </w:r>
      <w:bookmarkStart w:id="26" w:name="_Toc67514099"/>
      <w:bookmarkStart w:id="27" w:name="_Toc67515045"/>
    </w:p>
    <w:p>
      <w:pPr>
        <w:ind w:left="560"/>
        <w:rPr>
          <w:rFonts w:asciiTheme="minorEastAsia" w:hAnsiTheme="minorEastAsia"/>
          <w:b/>
          <w:sz w:val="28"/>
          <w:szCs w:val="28"/>
        </w:rPr>
      </w:pPr>
      <w:r>
        <w:rPr>
          <w:rFonts w:hint="eastAsia" w:asciiTheme="minorEastAsia" w:hAnsiTheme="minorEastAsia"/>
          <w:b/>
          <w:sz w:val="28"/>
          <w:szCs w:val="28"/>
        </w:rPr>
        <w:t>（3）产出指标</w:t>
      </w:r>
    </w:p>
    <w:p>
      <w:pPr>
        <w:ind w:left="560"/>
        <w:rPr>
          <w:rFonts w:asciiTheme="minorEastAsia" w:hAnsiTheme="minorEastAsia"/>
          <w:sz w:val="28"/>
          <w:szCs w:val="28"/>
        </w:rPr>
      </w:pPr>
      <w:r>
        <w:rPr>
          <w:rFonts w:hint="eastAsia" w:asciiTheme="minorEastAsia" w:hAnsiTheme="minorEastAsia"/>
          <w:sz w:val="28"/>
          <w:szCs w:val="28"/>
        </w:rPr>
        <w:t>产出指标为一级指标，其下包括二级指标：产出数量、产出质量、产出时效等；</w:t>
      </w:r>
    </w:p>
    <w:p>
      <w:pPr>
        <w:ind w:firstLine="562" w:firstLineChars="200"/>
        <w:rPr>
          <w:rFonts w:asciiTheme="minorEastAsia" w:hAnsiTheme="minorEastAsia"/>
          <w:b/>
          <w:sz w:val="28"/>
          <w:szCs w:val="28"/>
        </w:rPr>
      </w:pPr>
      <w:r>
        <w:rPr>
          <w:rFonts w:hint="eastAsia" w:asciiTheme="minorEastAsia" w:hAnsiTheme="minorEastAsia"/>
          <w:b/>
          <w:sz w:val="28"/>
          <w:szCs w:val="28"/>
        </w:rPr>
        <w:t>（4）实施效果指标</w:t>
      </w:r>
      <w:bookmarkEnd w:id="26"/>
      <w:bookmarkEnd w:id="27"/>
    </w:p>
    <w:p>
      <w:pPr>
        <w:ind w:firstLine="560" w:firstLineChars="200"/>
        <w:rPr>
          <w:rFonts w:asciiTheme="minorEastAsia" w:hAnsiTheme="minorEastAsia"/>
          <w:sz w:val="28"/>
          <w:szCs w:val="28"/>
        </w:rPr>
      </w:pPr>
      <w:r>
        <w:rPr>
          <w:rFonts w:hint="eastAsia" w:asciiTheme="minorEastAsia" w:hAnsiTheme="minorEastAsia"/>
          <w:sz w:val="28"/>
          <w:szCs w:val="28"/>
        </w:rPr>
        <w:t>实施效果指标为一级指标，其下包括二级指标：效益指标、社会效益、满意度指标等；</w:t>
      </w:r>
    </w:p>
    <w:p>
      <w:pPr>
        <w:ind w:firstLine="562" w:firstLineChars="200"/>
        <w:outlineLvl w:val="2"/>
        <w:rPr>
          <w:rFonts w:asciiTheme="minorEastAsia" w:hAnsiTheme="minorEastAsia"/>
          <w:b/>
          <w:sz w:val="28"/>
          <w:szCs w:val="28"/>
        </w:rPr>
      </w:pPr>
      <w:bookmarkStart w:id="28" w:name="_Toc25341"/>
      <w:r>
        <w:rPr>
          <w:rFonts w:hint="eastAsia" w:asciiTheme="minorEastAsia" w:hAnsiTheme="minorEastAsia"/>
          <w:b/>
          <w:sz w:val="28"/>
          <w:szCs w:val="28"/>
        </w:rPr>
        <w:t>3、评价方法</w:t>
      </w:r>
      <w:bookmarkEnd w:id="28"/>
    </w:p>
    <w:p>
      <w:pPr>
        <w:ind w:firstLine="560" w:firstLineChars="200"/>
        <w:rPr>
          <w:rFonts w:asciiTheme="minorEastAsia" w:hAnsiTheme="minorEastAsia"/>
          <w:sz w:val="28"/>
          <w:szCs w:val="28"/>
        </w:rPr>
      </w:pPr>
      <w:r>
        <w:rPr>
          <w:rFonts w:hint="eastAsia" w:asciiTheme="minorEastAsia" w:hAnsiTheme="minorEastAsia"/>
          <w:sz w:val="28"/>
          <w:szCs w:val="28"/>
        </w:rPr>
        <w:t>从项目管理单位收集项目资料，整理分析，判断项目立项的合理性、必要性、可行性。并且通过广泛搜索关于项目的资料、数据，以提供相关分析的理论和现实基础，从而有利于更加客观、科学、合理地做出绩效评价。</w:t>
      </w:r>
    </w:p>
    <w:p>
      <w:pPr>
        <w:pStyle w:val="5"/>
        <w:spacing w:before="28"/>
        <w:ind w:left="747"/>
        <w:outlineLvl w:val="1"/>
        <w:rPr>
          <w:rFonts w:ascii="黑体" w:hAnsi="黑体" w:eastAsia="黑体"/>
          <w:b/>
          <w:w w:val="95"/>
          <w:lang w:eastAsia="zh-CN"/>
        </w:rPr>
      </w:pPr>
      <w:bookmarkStart w:id="29" w:name="_Toc4488"/>
      <w:r>
        <w:rPr>
          <w:rFonts w:hint="eastAsia" w:ascii="黑体" w:hAnsi="黑体" w:eastAsia="黑体"/>
          <w:b/>
          <w:w w:val="95"/>
        </w:rPr>
        <w:t>（三）绩效评价工作过程</w:t>
      </w:r>
      <w:bookmarkEnd w:id="29"/>
    </w:p>
    <w:p>
      <w:pPr>
        <w:pStyle w:val="5"/>
        <w:spacing w:before="28"/>
        <w:ind w:firstLine="560" w:firstLineChars="200"/>
        <w:rPr>
          <w:sz w:val="28"/>
          <w:szCs w:val="28"/>
          <w:lang w:eastAsia="zh-CN"/>
        </w:rPr>
      </w:pPr>
      <w:r>
        <w:rPr>
          <w:rFonts w:hint="eastAsia" w:asciiTheme="minorEastAsia" w:hAnsiTheme="minorEastAsia" w:eastAsiaTheme="minorEastAsia"/>
          <w:sz w:val="28"/>
          <w:szCs w:val="28"/>
          <w:lang w:eastAsia="zh-CN"/>
        </w:rPr>
        <w:t>根据</w:t>
      </w:r>
      <w:r>
        <w:rPr>
          <w:rFonts w:hint="eastAsia" w:asciiTheme="minorEastAsia" w:hAnsiTheme="minorEastAsia" w:eastAsiaTheme="minorEastAsia"/>
          <w:sz w:val="28"/>
          <w:szCs w:val="28"/>
        </w:rPr>
        <w:t>浮梁县财政局《关于开展2020年度预算项目及部门整体支出绩效自评工作的通知》（浮财绩字[2021] 3号）等文件的要求，结合本项目的实际情况，参照财政部制定的《预算绩效评价共性指标体系框架》，拟定评价工作计划，形成绩效评价</w:t>
      </w:r>
      <w:r>
        <w:rPr>
          <w:rFonts w:hint="eastAsia" w:asciiTheme="minorEastAsia" w:hAnsiTheme="minorEastAsia" w:eastAsiaTheme="minorEastAsia"/>
          <w:sz w:val="28"/>
          <w:szCs w:val="28"/>
          <w:lang w:eastAsia="zh-CN"/>
        </w:rPr>
        <w:t>工作</w:t>
      </w:r>
      <w:r>
        <w:rPr>
          <w:rFonts w:hint="eastAsia" w:asciiTheme="minorEastAsia" w:hAnsiTheme="minorEastAsia" w:eastAsiaTheme="minorEastAsia"/>
          <w:sz w:val="28"/>
          <w:szCs w:val="28"/>
        </w:rPr>
        <w:t>方案，</w:t>
      </w:r>
      <w:r>
        <w:rPr>
          <w:rFonts w:hint="eastAsia" w:asciiTheme="minorEastAsia" w:hAnsiTheme="minorEastAsia" w:eastAsiaTheme="minorEastAsia"/>
          <w:sz w:val="28"/>
          <w:szCs w:val="28"/>
          <w:lang w:eastAsia="zh-CN"/>
        </w:rPr>
        <w:t>对此项目</w:t>
      </w:r>
      <w:r>
        <w:rPr>
          <w:rFonts w:hint="eastAsia" w:asciiTheme="minorEastAsia" w:hAnsiTheme="minorEastAsia" w:eastAsiaTheme="minorEastAsia"/>
          <w:sz w:val="28"/>
          <w:szCs w:val="28"/>
        </w:rPr>
        <w:t>进行绩效评价。</w:t>
      </w:r>
    </w:p>
    <w:p>
      <w:pPr>
        <w:pStyle w:val="5"/>
        <w:spacing w:before="121" w:line="307" w:lineRule="auto"/>
        <w:ind w:right="1463" w:firstLine="321" w:firstLineChars="100"/>
        <w:outlineLvl w:val="0"/>
        <w:rPr>
          <w:rFonts w:hint="eastAsia" w:ascii="黑体" w:eastAsia="黑体"/>
          <w:b/>
          <w:lang w:eastAsia="zh-CN"/>
        </w:rPr>
      </w:pPr>
      <w:bookmarkStart w:id="30" w:name="_Toc21666"/>
      <w:bookmarkStart w:id="31" w:name="_Toc566"/>
      <w:r>
        <w:rPr>
          <w:rFonts w:hint="eastAsia" w:ascii="黑体" w:eastAsia="黑体"/>
          <w:b/>
        </w:rPr>
        <w:t>三、综合评价情况及评价结论（附相关评分表）</w:t>
      </w:r>
      <w:bookmarkEnd w:id="30"/>
      <w:bookmarkEnd w:id="31"/>
    </w:p>
    <w:p>
      <w:pPr>
        <w:ind w:firstLine="560" w:firstLineChars="200"/>
        <w:rPr>
          <w:rFonts w:asciiTheme="minorEastAsia" w:hAnsiTheme="minorEastAsia"/>
          <w:sz w:val="28"/>
          <w:szCs w:val="28"/>
        </w:rPr>
      </w:pPr>
      <w:r>
        <w:rPr>
          <w:rFonts w:hint="eastAsia" w:asciiTheme="minorEastAsia" w:hAnsiTheme="minorEastAsia"/>
          <w:sz w:val="28"/>
          <w:szCs w:val="28"/>
        </w:rPr>
        <w:t>评价结果分为优、良、中、差四等，根据评价结果的分值，确定评价对象最后达到的档次，绩效评价分值档次见下表：</w:t>
      </w:r>
    </w:p>
    <w:p>
      <w:pPr>
        <w:rPr>
          <w:rFonts w:asciiTheme="minorEastAsia" w:hAnsiTheme="minorEastAsia"/>
          <w:b/>
          <w:sz w:val="28"/>
          <w:szCs w:val="28"/>
        </w:rPr>
      </w:pPr>
      <w:r>
        <w:rPr>
          <w:rFonts w:hint="eastAsia" w:asciiTheme="minorEastAsia" w:hAnsiTheme="minorEastAsia"/>
          <w:b/>
          <w:sz w:val="28"/>
          <w:szCs w:val="28"/>
        </w:rPr>
        <w:t xml:space="preserve">  </w:t>
      </w:r>
      <w:r>
        <w:rPr>
          <w:rFonts w:hint="eastAsia" w:asciiTheme="minorEastAsia" w:hAnsiTheme="minorEastAsia"/>
          <w:bCs/>
          <w:sz w:val="28"/>
          <w:szCs w:val="28"/>
        </w:rPr>
        <w:t>绩效评价分值档次表</w:t>
      </w:r>
    </w:p>
    <w:tbl>
      <w:tblPr>
        <w:tblStyle w:val="12"/>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1793"/>
        <w:gridCol w:w="1794"/>
        <w:gridCol w:w="1795"/>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94" w:type="dxa"/>
            <w:tcBorders>
              <w:top w:val="single" w:color="auto" w:sz="12" w:space="0"/>
              <w:left w:val="single" w:color="auto" w:sz="12" w:space="0"/>
              <w:bottom w:val="single" w:color="auto" w:sz="6" w:space="0"/>
              <w:right w:val="single" w:color="auto" w:sz="6" w:space="0"/>
            </w:tcBorders>
            <w:vAlign w:val="center"/>
          </w:tcPr>
          <w:p>
            <w:pPr>
              <w:spacing w:line="360" w:lineRule="auto"/>
              <w:rPr>
                <w:rFonts w:cs="Times New Roman" w:asciiTheme="minorEastAsia" w:hAnsiTheme="minorEastAsia"/>
                <w:sz w:val="30"/>
                <w:szCs w:val="30"/>
              </w:rPr>
            </w:pPr>
            <w:r>
              <w:rPr>
                <w:rFonts w:hint="eastAsia" w:asciiTheme="minorEastAsia" w:hAnsiTheme="minorEastAsia"/>
                <w:szCs w:val="30"/>
              </w:rPr>
              <w:t>档次</w:t>
            </w:r>
          </w:p>
        </w:tc>
        <w:tc>
          <w:tcPr>
            <w:tcW w:w="1794" w:type="dxa"/>
            <w:tcBorders>
              <w:top w:val="single" w:color="auto" w:sz="12" w:space="0"/>
              <w:left w:val="single" w:color="auto" w:sz="6" w:space="0"/>
              <w:bottom w:val="single" w:color="auto" w:sz="6" w:space="0"/>
              <w:right w:val="single" w:color="auto" w:sz="6" w:space="0"/>
            </w:tcBorders>
            <w:vAlign w:val="center"/>
          </w:tcPr>
          <w:p>
            <w:pPr>
              <w:spacing w:line="360" w:lineRule="auto"/>
              <w:rPr>
                <w:rFonts w:cs="Times New Roman" w:asciiTheme="minorEastAsia" w:hAnsiTheme="minorEastAsia"/>
                <w:sz w:val="30"/>
                <w:szCs w:val="30"/>
              </w:rPr>
            </w:pPr>
            <w:r>
              <w:rPr>
                <w:rFonts w:hint="eastAsia" w:asciiTheme="minorEastAsia" w:hAnsiTheme="minorEastAsia"/>
                <w:szCs w:val="30"/>
              </w:rPr>
              <w:t>优</w:t>
            </w:r>
          </w:p>
        </w:tc>
        <w:tc>
          <w:tcPr>
            <w:tcW w:w="1794" w:type="dxa"/>
            <w:tcBorders>
              <w:top w:val="single" w:color="auto" w:sz="12" w:space="0"/>
              <w:left w:val="single" w:color="auto" w:sz="6" w:space="0"/>
              <w:bottom w:val="single" w:color="auto" w:sz="6" w:space="0"/>
              <w:right w:val="single" w:color="auto" w:sz="6" w:space="0"/>
            </w:tcBorders>
            <w:vAlign w:val="center"/>
          </w:tcPr>
          <w:p>
            <w:pPr>
              <w:spacing w:line="360" w:lineRule="auto"/>
              <w:rPr>
                <w:rFonts w:cs="Times New Roman" w:asciiTheme="minorEastAsia" w:hAnsiTheme="minorEastAsia"/>
                <w:sz w:val="30"/>
                <w:szCs w:val="30"/>
              </w:rPr>
            </w:pPr>
            <w:r>
              <w:rPr>
                <w:rFonts w:hint="eastAsia" w:asciiTheme="minorEastAsia" w:hAnsiTheme="minorEastAsia"/>
                <w:szCs w:val="30"/>
              </w:rPr>
              <w:t>良</w:t>
            </w:r>
          </w:p>
        </w:tc>
        <w:tc>
          <w:tcPr>
            <w:tcW w:w="1795" w:type="dxa"/>
            <w:tcBorders>
              <w:top w:val="single" w:color="auto" w:sz="12" w:space="0"/>
              <w:left w:val="single" w:color="auto" w:sz="6" w:space="0"/>
              <w:bottom w:val="single" w:color="auto" w:sz="6" w:space="0"/>
              <w:right w:val="single" w:color="auto" w:sz="6" w:space="0"/>
            </w:tcBorders>
            <w:vAlign w:val="center"/>
          </w:tcPr>
          <w:p>
            <w:pPr>
              <w:spacing w:line="360" w:lineRule="auto"/>
              <w:rPr>
                <w:rFonts w:cs="Times New Roman" w:asciiTheme="minorEastAsia" w:hAnsiTheme="minorEastAsia"/>
                <w:sz w:val="30"/>
                <w:szCs w:val="30"/>
              </w:rPr>
            </w:pPr>
            <w:r>
              <w:rPr>
                <w:rFonts w:hint="eastAsia" w:asciiTheme="minorEastAsia" w:hAnsiTheme="minorEastAsia"/>
                <w:szCs w:val="30"/>
              </w:rPr>
              <w:t>中</w:t>
            </w:r>
          </w:p>
        </w:tc>
        <w:tc>
          <w:tcPr>
            <w:tcW w:w="1795" w:type="dxa"/>
            <w:tcBorders>
              <w:top w:val="single" w:color="auto" w:sz="12" w:space="0"/>
              <w:left w:val="single" w:color="auto" w:sz="6" w:space="0"/>
              <w:bottom w:val="single" w:color="auto" w:sz="6" w:space="0"/>
              <w:right w:val="single" w:color="auto" w:sz="12" w:space="0"/>
            </w:tcBorders>
            <w:vAlign w:val="center"/>
          </w:tcPr>
          <w:p>
            <w:pPr>
              <w:spacing w:line="360" w:lineRule="auto"/>
              <w:rPr>
                <w:rFonts w:cs="Times New Roman" w:asciiTheme="minorEastAsia" w:hAnsiTheme="minorEastAsia"/>
                <w:sz w:val="30"/>
                <w:szCs w:val="30"/>
              </w:rPr>
            </w:pPr>
            <w:r>
              <w:rPr>
                <w:rFonts w:hint="eastAsia" w:asciiTheme="minorEastAsia" w:hAnsiTheme="minorEastAsia"/>
                <w:szCs w:val="30"/>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94" w:type="dxa"/>
            <w:tcBorders>
              <w:top w:val="single" w:color="auto" w:sz="6" w:space="0"/>
              <w:left w:val="single" w:color="auto" w:sz="12" w:space="0"/>
              <w:bottom w:val="single" w:color="auto" w:sz="12" w:space="0"/>
              <w:right w:val="single" w:color="auto" w:sz="6" w:space="0"/>
            </w:tcBorders>
            <w:vAlign w:val="center"/>
          </w:tcPr>
          <w:p>
            <w:pPr>
              <w:spacing w:line="360" w:lineRule="auto"/>
              <w:rPr>
                <w:rFonts w:cs="Times New Roman" w:asciiTheme="minorEastAsia" w:hAnsiTheme="minorEastAsia"/>
                <w:sz w:val="30"/>
                <w:szCs w:val="30"/>
              </w:rPr>
            </w:pPr>
            <w:r>
              <w:rPr>
                <w:rFonts w:hint="eastAsia" w:asciiTheme="minorEastAsia" w:hAnsiTheme="minorEastAsia"/>
                <w:szCs w:val="30"/>
              </w:rPr>
              <w:t>分值</w:t>
            </w:r>
          </w:p>
        </w:tc>
        <w:tc>
          <w:tcPr>
            <w:tcW w:w="1794" w:type="dxa"/>
            <w:tcBorders>
              <w:top w:val="single" w:color="auto" w:sz="6" w:space="0"/>
              <w:left w:val="single" w:color="auto" w:sz="6" w:space="0"/>
              <w:bottom w:val="single" w:color="auto" w:sz="12" w:space="0"/>
              <w:right w:val="single" w:color="auto" w:sz="6" w:space="0"/>
            </w:tcBorders>
            <w:vAlign w:val="center"/>
          </w:tcPr>
          <w:p>
            <w:pPr>
              <w:spacing w:line="360" w:lineRule="auto"/>
              <w:rPr>
                <w:rFonts w:cs="Times New Roman" w:asciiTheme="minorEastAsia" w:hAnsiTheme="minorEastAsia"/>
                <w:sz w:val="30"/>
                <w:szCs w:val="30"/>
              </w:rPr>
            </w:pPr>
            <w:r>
              <w:rPr>
                <w:rFonts w:hint="eastAsia" w:asciiTheme="minorEastAsia" w:hAnsiTheme="minorEastAsia"/>
                <w:szCs w:val="30"/>
              </w:rPr>
              <w:t>≥90</w:t>
            </w:r>
          </w:p>
        </w:tc>
        <w:tc>
          <w:tcPr>
            <w:tcW w:w="1794" w:type="dxa"/>
            <w:tcBorders>
              <w:top w:val="single" w:color="auto" w:sz="6" w:space="0"/>
              <w:left w:val="single" w:color="auto" w:sz="6" w:space="0"/>
              <w:bottom w:val="single" w:color="auto" w:sz="12" w:space="0"/>
              <w:right w:val="single" w:color="auto" w:sz="6" w:space="0"/>
            </w:tcBorders>
            <w:vAlign w:val="center"/>
          </w:tcPr>
          <w:p>
            <w:pPr>
              <w:spacing w:line="360" w:lineRule="auto"/>
              <w:rPr>
                <w:rFonts w:cs="Times New Roman" w:asciiTheme="minorEastAsia" w:hAnsiTheme="minorEastAsia"/>
                <w:sz w:val="30"/>
                <w:szCs w:val="30"/>
              </w:rPr>
            </w:pPr>
            <w:r>
              <w:rPr>
                <w:rFonts w:hint="eastAsia" w:asciiTheme="minorEastAsia" w:hAnsiTheme="minorEastAsia"/>
                <w:szCs w:val="30"/>
              </w:rPr>
              <w:t>［80,90）</w:t>
            </w:r>
          </w:p>
        </w:tc>
        <w:tc>
          <w:tcPr>
            <w:tcW w:w="1795" w:type="dxa"/>
            <w:tcBorders>
              <w:top w:val="single" w:color="auto" w:sz="6" w:space="0"/>
              <w:left w:val="single" w:color="auto" w:sz="6" w:space="0"/>
              <w:bottom w:val="single" w:color="auto" w:sz="12" w:space="0"/>
              <w:right w:val="single" w:color="auto" w:sz="6" w:space="0"/>
            </w:tcBorders>
            <w:vAlign w:val="center"/>
          </w:tcPr>
          <w:p>
            <w:pPr>
              <w:spacing w:line="360" w:lineRule="auto"/>
              <w:rPr>
                <w:rFonts w:cs="Times New Roman" w:asciiTheme="minorEastAsia" w:hAnsiTheme="minorEastAsia"/>
                <w:sz w:val="30"/>
                <w:szCs w:val="30"/>
              </w:rPr>
            </w:pPr>
            <w:r>
              <w:rPr>
                <w:rFonts w:hint="eastAsia" w:asciiTheme="minorEastAsia" w:hAnsiTheme="minorEastAsia"/>
                <w:szCs w:val="30"/>
              </w:rPr>
              <w:t>［60，80）</w:t>
            </w:r>
          </w:p>
        </w:tc>
        <w:tc>
          <w:tcPr>
            <w:tcW w:w="1795" w:type="dxa"/>
            <w:tcBorders>
              <w:top w:val="single" w:color="auto" w:sz="6" w:space="0"/>
              <w:left w:val="single" w:color="auto" w:sz="6" w:space="0"/>
              <w:bottom w:val="single" w:color="auto" w:sz="12" w:space="0"/>
              <w:right w:val="single" w:color="auto" w:sz="12" w:space="0"/>
            </w:tcBorders>
            <w:vAlign w:val="center"/>
          </w:tcPr>
          <w:p>
            <w:pPr>
              <w:spacing w:line="360" w:lineRule="auto"/>
              <w:rPr>
                <w:rFonts w:cs="Times New Roman" w:asciiTheme="minorEastAsia" w:hAnsiTheme="minorEastAsia"/>
                <w:sz w:val="30"/>
                <w:szCs w:val="30"/>
              </w:rPr>
            </w:pPr>
            <w:r>
              <w:rPr>
                <w:rFonts w:hint="eastAsia" w:asciiTheme="minorEastAsia" w:hAnsiTheme="minorEastAsia"/>
                <w:szCs w:val="30"/>
              </w:rPr>
              <w:t>＜60</w:t>
            </w:r>
          </w:p>
        </w:tc>
      </w:tr>
    </w:tbl>
    <w:p>
      <w:pPr>
        <w:spacing w:before="312" w:beforeLines="100"/>
        <w:rPr>
          <w:rFonts w:cs="Times New Roman" w:asciiTheme="minorEastAsia" w:hAnsiTheme="minorEastAsia"/>
          <w:sz w:val="28"/>
          <w:szCs w:val="28"/>
        </w:rPr>
      </w:pPr>
      <w:r>
        <w:rPr>
          <w:rFonts w:hint="eastAsia" w:asciiTheme="minorEastAsia" w:hAnsiTheme="minorEastAsia"/>
          <w:sz w:val="28"/>
          <w:szCs w:val="28"/>
        </w:rPr>
        <w:t>本次项目绩效评价90分，为“优”。本项目符合防汛抗旱工作</w:t>
      </w:r>
      <w:r>
        <w:rPr>
          <w:rFonts w:hint="eastAsia" w:cs="黑体" w:asciiTheme="minorEastAsia" w:hAnsiTheme="minorEastAsia"/>
          <w:sz w:val="28"/>
          <w:szCs w:val="28"/>
        </w:rPr>
        <w:t>效果</w:t>
      </w:r>
      <w:r>
        <w:rPr>
          <w:rFonts w:hint="eastAsia" w:asciiTheme="minorEastAsia" w:hAnsiTheme="minorEastAsia"/>
          <w:sz w:val="28"/>
          <w:szCs w:val="28"/>
        </w:rPr>
        <w:t>，但由于天气等原因完成及时率略有偏差</w:t>
      </w:r>
      <w:r>
        <w:rPr>
          <w:rFonts w:hint="eastAsia" w:cs="仿宋_GB2312" w:asciiTheme="minorEastAsia" w:hAnsiTheme="minorEastAsia"/>
          <w:sz w:val="28"/>
          <w:szCs w:val="28"/>
        </w:rPr>
        <w:t>，还需进一步提高项目执行力，确保项目如期完成。</w:t>
      </w:r>
    </w:p>
    <w:p>
      <w:pPr>
        <w:pStyle w:val="5"/>
        <w:spacing w:before="121" w:line="307" w:lineRule="auto"/>
        <w:ind w:left="747" w:right="1463"/>
        <w:outlineLvl w:val="0"/>
        <w:rPr>
          <w:rFonts w:hint="eastAsia" w:ascii="黑体" w:eastAsia="黑体"/>
          <w:b/>
        </w:rPr>
      </w:pPr>
      <w:r>
        <w:rPr>
          <w:rFonts w:hint="eastAsia" w:ascii="黑体" w:eastAsia="黑体"/>
          <w:b/>
        </w:rPr>
        <w:t xml:space="preserve"> </w:t>
      </w:r>
      <w:bookmarkStart w:id="32" w:name="_Toc3074"/>
      <w:bookmarkStart w:id="33" w:name="_Toc25238"/>
      <w:r>
        <w:rPr>
          <w:rFonts w:hint="eastAsia" w:ascii="黑体" w:eastAsia="黑体"/>
          <w:b/>
          <w:w w:val="95"/>
        </w:rPr>
        <w:t>四、绩效评价指标分析</w:t>
      </w:r>
      <w:bookmarkEnd w:id="32"/>
      <w:bookmarkEnd w:id="33"/>
    </w:p>
    <w:p>
      <w:pPr>
        <w:pStyle w:val="5"/>
        <w:spacing w:before="28"/>
        <w:ind w:left="747"/>
        <w:outlineLvl w:val="1"/>
        <w:rPr>
          <w:rFonts w:ascii="仿宋" w:hAnsi="仿宋" w:eastAsia="仿宋"/>
          <w:b/>
          <w:w w:val="95"/>
          <w:lang w:eastAsia="zh-CN"/>
        </w:rPr>
      </w:pPr>
      <w:bookmarkStart w:id="34" w:name="_Toc10403"/>
      <w:r>
        <w:rPr>
          <w:rFonts w:hint="eastAsia" w:ascii="仿宋" w:hAnsi="仿宋" w:eastAsia="仿宋"/>
          <w:b/>
          <w:w w:val="95"/>
        </w:rPr>
        <w:t>（一）项目决策情况</w:t>
      </w:r>
      <w:bookmarkEnd w:id="34"/>
    </w:p>
    <w:p>
      <w:pPr>
        <w:ind w:firstLine="560" w:firstLineChars="200"/>
        <w:rPr>
          <w:rFonts w:ascii="宋体" w:hAnsi="宋体" w:eastAsia="宋体"/>
          <w:sz w:val="28"/>
          <w:szCs w:val="28"/>
        </w:rPr>
      </w:pPr>
      <w:r>
        <w:rPr>
          <w:rFonts w:hint="eastAsia" w:cs="黑体" w:asciiTheme="minorEastAsia" w:hAnsiTheme="minorEastAsia"/>
          <w:sz w:val="28"/>
          <w:szCs w:val="28"/>
        </w:rPr>
        <w:t>《</w:t>
      </w:r>
      <w:r>
        <w:rPr>
          <w:rFonts w:hint="eastAsia" w:asciiTheme="minorEastAsia" w:hAnsiTheme="minorEastAsia"/>
          <w:sz w:val="28"/>
          <w:szCs w:val="28"/>
        </w:rPr>
        <w:t>防汛抗旱工作</w:t>
      </w:r>
      <w:r>
        <w:rPr>
          <w:rFonts w:hint="eastAsia" w:cs="黑体" w:asciiTheme="minorEastAsia" w:hAnsiTheme="minorEastAsia"/>
          <w:sz w:val="28"/>
          <w:szCs w:val="28"/>
        </w:rPr>
        <w:t>》</w:t>
      </w:r>
      <w:r>
        <w:rPr>
          <w:rFonts w:hint="eastAsia" w:ascii="宋体" w:hAnsi="宋体" w:eastAsia="宋体"/>
          <w:sz w:val="28"/>
          <w:szCs w:val="28"/>
        </w:rPr>
        <w:t>项目可行性研究和对方案的评价、论证、方案比选。</w:t>
      </w:r>
    </w:p>
    <w:p>
      <w:pPr>
        <w:pStyle w:val="5"/>
        <w:spacing w:before="120"/>
        <w:ind w:left="747"/>
        <w:outlineLvl w:val="1"/>
        <w:rPr>
          <w:rFonts w:ascii="仿宋" w:hAnsi="仿宋" w:eastAsia="仿宋"/>
          <w:b/>
          <w:w w:val="95"/>
          <w:lang w:eastAsia="zh-CN"/>
        </w:rPr>
      </w:pPr>
      <w:bookmarkStart w:id="35" w:name="_Toc26027"/>
      <w:r>
        <w:rPr>
          <w:rFonts w:hint="eastAsia" w:ascii="仿宋" w:hAnsi="仿宋" w:eastAsia="仿宋"/>
          <w:b/>
          <w:w w:val="95"/>
        </w:rPr>
        <w:t>（二）项目过程情况</w:t>
      </w:r>
      <w:bookmarkEnd w:id="35"/>
    </w:p>
    <w:p>
      <w:pPr>
        <w:pStyle w:val="5"/>
        <w:spacing w:before="120"/>
        <w:ind w:firstLine="560" w:firstLineChars="200"/>
        <w:rPr>
          <w:sz w:val="28"/>
          <w:szCs w:val="28"/>
          <w:lang w:eastAsia="zh-CN"/>
        </w:rPr>
      </w:pPr>
      <w:r>
        <w:rPr>
          <w:rFonts w:hint="eastAsia" w:ascii="宋体" w:hAnsi="宋体" w:eastAsia="宋体"/>
          <w:sz w:val="28"/>
          <w:szCs w:val="28"/>
          <w:lang w:eastAsia="zh-CN"/>
        </w:rPr>
        <w:t>本</w:t>
      </w:r>
      <w:r>
        <w:rPr>
          <w:rFonts w:hint="eastAsia" w:ascii="宋体" w:hAnsi="宋体" w:eastAsia="宋体"/>
          <w:sz w:val="28"/>
          <w:szCs w:val="28"/>
        </w:rPr>
        <w:t>项目实施过程</w:t>
      </w:r>
      <w:r>
        <w:rPr>
          <w:rFonts w:hint="eastAsia" w:ascii="宋体" w:hAnsi="宋体" w:eastAsia="宋体"/>
          <w:sz w:val="28"/>
          <w:szCs w:val="28"/>
          <w:lang w:eastAsia="zh-CN"/>
        </w:rPr>
        <w:t>：明确责任、落实责任、结合实际制定</w:t>
      </w:r>
      <w:r>
        <w:rPr>
          <w:rFonts w:hint="eastAsia" w:asciiTheme="minorEastAsia" w:hAnsiTheme="minorEastAsia"/>
          <w:sz w:val="28"/>
          <w:szCs w:val="28"/>
          <w:lang w:eastAsia="zh-CN"/>
        </w:rPr>
        <w:t>防汛抗旱工作</w:t>
      </w:r>
      <w:r>
        <w:rPr>
          <w:rFonts w:hint="eastAsia" w:ascii="宋体" w:hAnsi="宋体" w:eastAsia="宋体"/>
          <w:sz w:val="28"/>
          <w:szCs w:val="28"/>
          <w:lang w:eastAsia="zh-CN"/>
        </w:rPr>
        <w:t>方案，动员全社会的力量积极投入防汛抗旱</w:t>
      </w:r>
      <w:r>
        <w:rPr>
          <w:rFonts w:hint="eastAsia" w:ascii="宋体" w:hAnsi="宋体" w:eastAsia="宋体"/>
          <w:sz w:val="28"/>
          <w:szCs w:val="28"/>
        </w:rPr>
        <w:t>等方式</w:t>
      </w:r>
      <w:r>
        <w:rPr>
          <w:rFonts w:hint="eastAsia" w:ascii="宋体" w:hAnsi="宋体" w:eastAsia="宋体"/>
          <w:sz w:val="28"/>
          <w:szCs w:val="28"/>
          <w:lang w:eastAsia="zh-CN"/>
        </w:rPr>
        <w:t>进行。</w:t>
      </w:r>
    </w:p>
    <w:p>
      <w:pPr>
        <w:pStyle w:val="5"/>
        <w:spacing w:before="120"/>
        <w:ind w:left="747"/>
        <w:outlineLvl w:val="1"/>
        <w:rPr>
          <w:rFonts w:asciiTheme="minorEastAsia" w:hAnsiTheme="minorEastAsia" w:eastAsiaTheme="minorEastAsia"/>
          <w:b/>
          <w:w w:val="95"/>
          <w:lang w:eastAsia="zh-CN"/>
        </w:rPr>
      </w:pPr>
      <w:bookmarkStart w:id="36" w:name="_Toc9270"/>
      <w:r>
        <w:rPr>
          <w:rFonts w:hint="eastAsia" w:asciiTheme="minorEastAsia" w:hAnsiTheme="minorEastAsia" w:eastAsiaTheme="minorEastAsia"/>
          <w:b/>
          <w:w w:val="95"/>
        </w:rPr>
        <w:t>（三）项目产出情况</w:t>
      </w:r>
      <w:bookmarkEnd w:id="36"/>
    </w:p>
    <w:p>
      <w:pPr>
        <w:pStyle w:val="5"/>
        <w:spacing w:before="120"/>
        <w:ind w:firstLine="532" w:firstLineChars="200"/>
        <w:rPr>
          <w:rFonts w:asciiTheme="minorEastAsia" w:hAnsiTheme="minorEastAsia" w:eastAsiaTheme="minorEastAsia"/>
          <w:sz w:val="28"/>
          <w:szCs w:val="28"/>
          <w:lang w:eastAsia="zh-CN"/>
        </w:rPr>
      </w:pPr>
      <w:r>
        <w:rPr>
          <w:rFonts w:hint="eastAsia" w:asciiTheme="minorEastAsia" w:hAnsiTheme="minorEastAsia" w:eastAsiaTheme="minorEastAsia"/>
          <w:w w:val="95"/>
          <w:sz w:val="28"/>
          <w:szCs w:val="28"/>
          <w:lang w:eastAsia="zh-CN"/>
        </w:rPr>
        <w:t>本项目最终达到了防汛抗旱要求和目的。</w:t>
      </w:r>
    </w:p>
    <w:p>
      <w:pPr>
        <w:pStyle w:val="5"/>
        <w:spacing w:before="120"/>
        <w:ind w:left="747"/>
        <w:outlineLvl w:val="1"/>
        <w:rPr>
          <w:rFonts w:ascii="仿宋" w:hAnsi="仿宋" w:eastAsia="仿宋"/>
          <w:b/>
          <w:w w:val="95"/>
          <w:lang w:eastAsia="zh-CN"/>
        </w:rPr>
      </w:pPr>
      <w:bookmarkStart w:id="37" w:name="_Toc24093"/>
      <w:r>
        <w:rPr>
          <w:rFonts w:hint="eastAsia" w:ascii="仿宋" w:hAnsi="仿宋" w:eastAsia="仿宋"/>
          <w:b/>
          <w:w w:val="95"/>
        </w:rPr>
        <w:t>（四）项目效益情况</w:t>
      </w:r>
      <w:bookmarkEnd w:id="37"/>
    </w:p>
    <w:p>
      <w:pPr>
        <w:pStyle w:val="5"/>
        <w:spacing w:before="120"/>
        <w:ind w:firstLine="532" w:firstLineChars="200"/>
        <w:rPr>
          <w:rFonts w:eastAsia="宋体" w:asciiTheme="minorEastAsia" w:hAnsiTheme="minorEastAsia"/>
          <w:sz w:val="28"/>
          <w:szCs w:val="28"/>
          <w:shd w:val="clear" w:color="auto" w:fill="FFFFFF"/>
          <w:lang w:eastAsia="zh-CN"/>
        </w:rPr>
      </w:pPr>
      <w:r>
        <w:rPr>
          <w:rFonts w:hint="eastAsia" w:asciiTheme="minorEastAsia" w:hAnsiTheme="minorEastAsia" w:eastAsiaTheme="minorEastAsia"/>
          <w:w w:val="95"/>
          <w:sz w:val="28"/>
          <w:szCs w:val="28"/>
          <w:lang w:eastAsia="zh-CN"/>
        </w:rPr>
        <w:t>通过积极做好</w:t>
      </w:r>
      <w:r>
        <w:rPr>
          <w:rFonts w:hint="eastAsia" w:asciiTheme="minorEastAsia" w:hAnsiTheme="minorEastAsia" w:eastAsiaTheme="minorEastAsia"/>
          <w:color w:val="000000" w:themeColor="text1"/>
          <w:sz w:val="28"/>
          <w:szCs w:val="28"/>
          <w:shd w:val="clear" w:color="auto" w:fill="FFFFFF"/>
          <w14:textFill>
            <w14:solidFill>
              <w14:schemeClr w14:val="tx1"/>
            </w14:solidFill>
          </w14:textFill>
        </w:rPr>
        <w:t>防汛抗旱</w:t>
      </w:r>
      <w:r>
        <w:rPr>
          <w:rFonts w:hint="eastAsia" w:asciiTheme="minorEastAsia" w:hAnsiTheme="minorEastAsia" w:eastAsiaTheme="minorEastAsia"/>
          <w:color w:val="000000" w:themeColor="text1"/>
          <w:sz w:val="28"/>
          <w:szCs w:val="28"/>
          <w:shd w:val="clear" w:color="auto" w:fill="FFFFFF"/>
          <w:lang w:eastAsia="zh-CN"/>
          <w14:textFill>
            <w14:solidFill>
              <w14:schemeClr w14:val="tx1"/>
            </w14:solidFill>
          </w14:textFill>
        </w:rPr>
        <w:t>工作</w:t>
      </w:r>
      <w:r>
        <w:rPr>
          <w:rFonts w:hint="eastAsia" w:asciiTheme="minorEastAsia" w:hAnsiTheme="minorEastAsia" w:eastAsiaTheme="minorEastAsia"/>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sz w:val="28"/>
          <w:szCs w:val="28"/>
        </w:rPr>
        <w:t>防止和减轻自然灾害</w:t>
      </w:r>
      <w:r>
        <w:rPr>
          <w:rFonts w:hint="eastAsia" w:ascii="宋体" w:hAnsi="宋体" w:eastAsia="宋体" w:cs="宋体"/>
          <w:color w:val="000000"/>
          <w:sz w:val="28"/>
          <w:szCs w:val="28"/>
          <w:lang w:eastAsia="zh-CN"/>
        </w:rPr>
        <w:t>造成的损失</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让广大人民群众从中受益，</w:t>
      </w:r>
      <w:r>
        <w:rPr>
          <w:rFonts w:hint="eastAsia" w:ascii="宋体" w:hAnsi="宋体" w:eastAsia="宋体" w:cs="宋体"/>
          <w:color w:val="000000"/>
          <w:sz w:val="28"/>
          <w:szCs w:val="28"/>
        </w:rPr>
        <w:t>促</w:t>
      </w:r>
      <w:r>
        <w:rPr>
          <w:rFonts w:hint="eastAsia" w:ascii="宋体" w:hAnsi="宋体" w:eastAsia="宋体" w:cs="宋体"/>
          <w:color w:val="000000"/>
          <w:sz w:val="28"/>
          <w:szCs w:val="28"/>
          <w:lang w:eastAsia="zh-CN"/>
        </w:rPr>
        <w:t>进</w:t>
      </w:r>
      <w:r>
        <w:rPr>
          <w:rFonts w:hint="eastAsia" w:ascii="宋体" w:hAnsi="宋体" w:eastAsia="宋体" w:cs="宋体"/>
          <w:color w:val="000000"/>
          <w:sz w:val="28"/>
          <w:szCs w:val="28"/>
        </w:rPr>
        <w:t>社会和谐发展</w:t>
      </w:r>
      <w:r>
        <w:rPr>
          <w:rFonts w:hint="eastAsia" w:ascii="宋体" w:hAnsi="宋体" w:eastAsia="宋体" w:cs="宋体"/>
          <w:color w:val="000000"/>
          <w:sz w:val="28"/>
          <w:szCs w:val="28"/>
          <w:lang w:eastAsia="zh-CN"/>
        </w:rPr>
        <w:t>。</w:t>
      </w:r>
    </w:p>
    <w:p>
      <w:pPr>
        <w:pStyle w:val="5"/>
        <w:spacing w:before="120"/>
        <w:ind w:firstLine="643" w:firstLineChars="200"/>
        <w:outlineLvl w:val="0"/>
        <w:rPr>
          <w:rFonts w:ascii="黑体" w:hAnsi="黑体" w:eastAsia="黑体"/>
          <w:b/>
          <w:lang w:eastAsia="zh-CN"/>
        </w:rPr>
      </w:pPr>
      <w:bookmarkStart w:id="38" w:name="_Toc5112"/>
      <w:bookmarkStart w:id="39" w:name="_Toc3203"/>
      <w:r>
        <w:rPr>
          <w:rFonts w:hint="eastAsia" w:ascii="黑体" w:hAnsi="黑体" w:eastAsia="黑体"/>
          <w:b/>
          <w:lang w:eastAsia="zh-CN"/>
        </w:rPr>
        <w:t>五、主要经验及做法、存在的问题及原因分析</w:t>
      </w:r>
      <w:bookmarkEnd w:id="38"/>
      <w:bookmarkEnd w:id="39"/>
    </w:p>
    <w:p>
      <w:pPr>
        <w:pStyle w:val="5"/>
        <w:spacing w:before="120" w:line="307" w:lineRule="auto"/>
        <w:ind w:right="1783" w:firstLine="562" w:firstLineChars="200"/>
        <w:rPr>
          <w:rFonts w:hint="eastAsia" w:ascii="黑体" w:eastAsia="黑体"/>
          <w:b/>
          <w:sz w:val="28"/>
          <w:szCs w:val="28"/>
          <w:lang w:eastAsia="zh-CN"/>
        </w:rPr>
      </w:pPr>
      <w:r>
        <w:rPr>
          <w:rFonts w:hint="eastAsia" w:ascii="黑体" w:eastAsia="黑体"/>
          <w:b/>
          <w:sz w:val="28"/>
          <w:szCs w:val="28"/>
          <w:lang w:eastAsia="zh-CN"/>
        </w:rPr>
        <w:t>2、存在的问题及原因分析</w:t>
      </w:r>
    </w:p>
    <w:p>
      <w:pPr>
        <w:ind w:firstLine="560" w:firstLineChars="200"/>
        <w:rPr>
          <w:rFonts w:ascii="宋体" w:hAnsi="宋体" w:eastAsia="宋体"/>
          <w:sz w:val="28"/>
          <w:szCs w:val="28"/>
        </w:rPr>
      </w:pPr>
      <w:r>
        <w:rPr>
          <w:rFonts w:hint="eastAsia" w:ascii="宋体" w:hAnsi="宋体" w:eastAsia="宋体"/>
          <w:sz w:val="28"/>
          <w:szCs w:val="28"/>
        </w:rPr>
        <w:t>本单位项目组在资金预算管理中成效显著，但尚有不足之处，本次资金补助有限，不足以完成更全面的汛、旱期管理和保护工作，项目规划有待加强，尚有提升空间。</w:t>
      </w:r>
    </w:p>
    <w:p>
      <w:pPr>
        <w:pStyle w:val="5"/>
        <w:spacing w:before="120" w:line="307" w:lineRule="auto"/>
        <w:ind w:right="1783" w:firstLine="611" w:firstLineChars="200"/>
        <w:outlineLvl w:val="0"/>
        <w:rPr>
          <w:rFonts w:hint="eastAsia" w:ascii="黑体" w:eastAsia="黑体"/>
          <w:b/>
          <w:w w:val="95"/>
          <w:lang w:eastAsia="zh-CN"/>
        </w:rPr>
      </w:pPr>
      <w:bookmarkStart w:id="40" w:name="_Toc30450"/>
      <w:bookmarkStart w:id="41" w:name="_Toc12983"/>
      <w:r>
        <w:rPr>
          <w:rFonts w:hint="eastAsia" w:ascii="黑体" w:eastAsia="黑体"/>
          <w:b/>
          <w:w w:val="95"/>
        </w:rPr>
        <w:t>六、有关建议</w:t>
      </w:r>
      <w:bookmarkEnd w:id="40"/>
      <w:bookmarkEnd w:id="41"/>
    </w:p>
    <w:p>
      <w:pPr>
        <w:ind w:firstLine="560" w:firstLineChars="200"/>
        <w:rPr>
          <w:rFonts w:ascii="宋体" w:hAnsi="宋体" w:eastAsia="宋体"/>
          <w:sz w:val="28"/>
          <w:szCs w:val="28"/>
        </w:rPr>
      </w:pPr>
      <w:r>
        <w:rPr>
          <w:rFonts w:hint="eastAsia" w:ascii="宋体" w:hAnsi="宋体" w:eastAsia="宋体"/>
          <w:sz w:val="28"/>
          <w:szCs w:val="28"/>
        </w:rPr>
        <w:t>1.建议项目单位加强对财政支出绩效自评工作的学习。</w:t>
      </w:r>
    </w:p>
    <w:p>
      <w:pPr>
        <w:ind w:firstLine="560" w:firstLineChars="200"/>
        <w:rPr>
          <w:rFonts w:ascii="宋体" w:hAnsi="宋体" w:eastAsia="宋体"/>
          <w:sz w:val="28"/>
          <w:szCs w:val="28"/>
        </w:rPr>
      </w:pPr>
      <w:r>
        <w:rPr>
          <w:rFonts w:hint="eastAsia" w:ascii="宋体" w:hAnsi="宋体" w:eastAsia="宋体"/>
          <w:sz w:val="28"/>
          <w:szCs w:val="28"/>
        </w:rPr>
        <w:t>2.建议项目单位在执行预算的过程中，加强对项目各分项内容预算资金与实际支出的把控，进一步加强预算支出管理。</w:t>
      </w:r>
    </w:p>
    <w:p>
      <w:pPr>
        <w:ind w:firstLine="560" w:firstLineChars="200"/>
        <w:rPr>
          <w:rFonts w:ascii="宋体" w:hAnsi="宋体" w:eastAsia="宋体"/>
          <w:sz w:val="28"/>
          <w:szCs w:val="28"/>
        </w:rPr>
      </w:pPr>
      <w:r>
        <w:rPr>
          <w:rFonts w:hint="eastAsia" w:ascii="宋体" w:hAnsi="宋体" w:eastAsia="宋体"/>
          <w:sz w:val="28"/>
          <w:szCs w:val="28"/>
        </w:rPr>
        <w:t>3、加强对项目的规划，提升效率。</w:t>
      </w:r>
    </w:p>
    <w:p>
      <w:pPr>
        <w:pStyle w:val="5"/>
        <w:spacing w:before="28"/>
        <w:ind w:left="747"/>
        <w:outlineLvl w:val="0"/>
        <w:rPr>
          <w:rFonts w:hint="eastAsia" w:ascii="黑体" w:eastAsia="黑体"/>
          <w:b/>
          <w:lang w:eastAsia="zh-CN"/>
        </w:rPr>
      </w:pPr>
      <w:bookmarkStart w:id="42" w:name="_Toc30957"/>
      <w:bookmarkStart w:id="43" w:name="_Toc32387"/>
      <w:r>
        <w:rPr>
          <w:rFonts w:hint="eastAsia" w:ascii="黑体" w:eastAsia="黑体"/>
          <w:b/>
          <w:w w:val="95"/>
        </w:rPr>
        <w:t>七、其他需要说明的问题</w:t>
      </w:r>
      <w:bookmarkEnd w:id="42"/>
      <w:bookmarkEnd w:id="43"/>
    </w:p>
    <w:p>
      <w:pPr>
        <w:autoSpaceDE w:val="0"/>
        <w:spacing w:line="360" w:lineRule="auto"/>
        <w:ind w:firstLine="420" w:firstLineChars="200"/>
        <w:rPr>
          <w:rFonts w:ascii="宋体" w:hAnsi="宋体"/>
          <w:color w:val="000000"/>
          <w:kern w:val="0"/>
          <w:sz w:val="30"/>
          <w:szCs w:val="30"/>
          <w:shd w:val="clear" w:color="auto" w:fill="FFFFFF"/>
        </w:rPr>
      </w:pPr>
      <w:r>
        <w:rPr>
          <w:rFonts w:hint="eastAsia"/>
        </w:rPr>
        <w:t xml:space="preserve">  </w:t>
      </w:r>
      <w:r>
        <w:rPr>
          <w:rFonts w:hint="eastAsia" w:ascii="宋体" w:hAnsi="宋体"/>
          <w:color w:val="000000"/>
          <w:kern w:val="0"/>
          <w:sz w:val="30"/>
          <w:szCs w:val="30"/>
          <w:shd w:val="clear" w:color="auto" w:fill="FFFFFF"/>
        </w:rPr>
        <w:t>项目单位的责任是提供与形成本项目绩效评价报告相关的基础工作材料和项目资金财务核算资料，并对其真实性、合法性、完整性负责。本次评价是依据《财政支出（项目支出）绩效评价操作指引(试行)》进行的，选择的绩效评价程序取决于评价人员的判断，项目评价的可靠性基于相关部门和单位提供资料的全面性和准确性，评价小组尽可能地收集更为全面、有效、准确的文件和数据，但由于受客观因素的限制，只能在相关部门和单位提供的现有资料的前提下，结合应有的职业判断做出尽可能可靠的评价结论。</w:t>
      </w:r>
    </w:p>
    <w:p/>
    <w:p/>
    <w:p/>
    <w:p/>
    <w:p>
      <w:pPr>
        <w:rPr>
          <w:rFonts w:asciiTheme="minorEastAsia" w:hAnsiTheme="minorEastAsia"/>
          <w:sz w:val="28"/>
          <w:szCs w:val="28"/>
        </w:rPr>
      </w:pPr>
      <w:r>
        <w:rPr>
          <w:rFonts w:hint="eastAsia"/>
        </w:rPr>
        <w:t xml:space="preserve">                                             </w:t>
      </w:r>
      <w:r>
        <w:rPr>
          <w:rFonts w:hint="eastAsia" w:asciiTheme="minorEastAsia" w:hAnsiTheme="minorEastAsia"/>
          <w:sz w:val="28"/>
          <w:szCs w:val="28"/>
        </w:rPr>
        <w:t>浮梁县应急管理局</w:t>
      </w:r>
    </w:p>
    <w:p>
      <w:pPr>
        <w:ind w:firstLine="4760" w:firstLineChars="1700"/>
        <w:rPr>
          <w:rFonts w:asciiTheme="minorEastAsia" w:hAnsiTheme="minorEastAsia"/>
          <w:sz w:val="28"/>
          <w:szCs w:val="28"/>
        </w:rPr>
      </w:pPr>
      <w:r>
        <w:rPr>
          <w:rFonts w:hint="eastAsia" w:asciiTheme="minorEastAsia" w:hAnsiTheme="minorEastAsia"/>
          <w:sz w:val="28"/>
          <w:szCs w:val="28"/>
        </w:rPr>
        <w:t>2020年6月16日</w:t>
      </w:r>
    </w:p>
    <w:p>
      <w:pPr>
        <w:ind w:firstLine="4760" w:firstLineChars="1700"/>
        <w:rPr>
          <w:rFonts w:asciiTheme="minorEastAsia" w:hAnsiTheme="minorEastAsia"/>
          <w:sz w:val="28"/>
          <w:szCs w:val="28"/>
        </w:rPr>
      </w:pPr>
    </w:p>
    <w:p>
      <w:pPr>
        <w:ind w:firstLine="4760" w:firstLineChars="1700"/>
        <w:rPr>
          <w:rFonts w:asciiTheme="minorEastAsia" w:hAnsiTheme="minorEastAsia"/>
          <w:sz w:val="28"/>
          <w:szCs w:val="28"/>
        </w:rPr>
      </w:pPr>
    </w:p>
    <w:p>
      <w:pPr>
        <w:ind w:firstLine="4760" w:firstLineChars="1700"/>
        <w:rPr>
          <w:rFonts w:asciiTheme="minorEastAsia" w:hAnsiTheme="minorEastAsia"/>
          <w:sz w:val="28"/>
          <w:szCs w:val="28"/>
        </w:rPr>
      </w:pPr>
    </w:p>
    <w:p>
      <w:pPr>
        <w:ind w:firstLine="4760" w:firstLineChars="1700"/>
        <w:rPr>
          <w:rFonts w:asciiTheme="minorEastAsia" w:hAnsiTheme="minorEastAsia"/>
          <w:sz w:val="28"/>
          <w:szCs w:val="28"/>
        </w:rPr>
      </w:pPr>
    </w:p>
    <w:p>
      <w:pPr>
        <w:ind w:firstLine="4760" w:firstLineChars="1700"/>
        <w:rPr>
          <w:rFonts w:asciiTheme="minorEastAsia" w:hAnsiTheme="minorEastAsia"/>
          <w:sz w:val="28"/>
          <w:szCs w:val="28"/>
        </w:rPr>
      </w:pPr>
    </w:p>
    <w:p>
      <w:pPr>
        <w:ind w:firstLine="4760" w:firstLineChars="1700"/>
        <w:rPr>
          <w:rFonts w:asciiTheme="minorEastAsia" w:hAnsiTheme="minorEastAsia"/>
          <w:sz w:val="28"/>
          <w:szCs w:val="28"/>
        </w:rPr>
      </w:pPr>
    </w:p>
    <w:p>
      <w:pPr>
        <w:rPr>
          <w:rFonts w:asciiTheme="minorEastAsia" w:hAnsiTheme="minorEastAsia"/>
          <w:sz w:val="28"/>
          <w:szCs w:val="28"/>
        </w:rPr>
      </w:pPr>
    </w:p>
    <w:p>
      <w:pPr>
        <w:pStyle w:val="5"/>
        <w:spacing w:before="1"/>
        <w:outlineLvl w:val="0"/>
        <w:rPr>
          <w:rFonts w:hint="eastAsia" w:ascii="黑体" w:eastAsia="黑体"/>
          <w:spacing w:val="-28"/>
          <w:lang w:eastAsia="zh-CN"/>
        </w:rPr>
      </w:pPr>
    </w:p>
    <w:p>
      <w:pPr>
        <w:pStyle w:val="5"/>
        <w:spacing w:before="1"/>
        <w:outlineLvl w:val="0"/>
        <w:rPr>
          <w:w w:val="95"/>
          <w:lang w:eastAsia="zh-CN"/>
        </w:rPr>
      </w:pPr>
      <w:bookmarkStart w:id="45" w:name="_GoBack"/>
      <w:bookmarkEnd w:id="45"/>
      <w:r>
        <w:rPr>
          <w:rFonts w:hint="eastAsia" w:ascii="黑体" w:eastAsia="黑体"/>
          <w:spacing w:val="-28"/>
          <w:lang w:eastAsia="zh-CN"/>
        </w:rPr>
        <w:t xml:space="preserve">附件 </w:t>
      </w:r>
      <w:r>
        <w:rPr>
          <w:rFonts w:hint="eastAsia" w:ascii="黑体" w:eastAsia="黑体"/>
          <w:lang w:eastAsia="zh-CN"/>
        </w:rPr>
        <w:t>6-2</w:t>
      </w:r>
    </w:p>
    <w:p>
      <w:pPr>
        <w:pStyle w:val="2"/>
        <w:ind w:left="148" w:firstLine="2099" w:firstLineChars="500"/>
        <w:rPr>
          <w:w w:val="95"/>
        </w:rPr>
      </w:pPr>
      <w:bookmarkStart w:id="44" w:name="_Toc2271"/>
      <w:r>
        <w:rPr>
          <w:w w:val="95"/>
        </w:rPr>
        <w:t>项目支出绩效评价表</w:t>
      </w:r>
      <w:bookmarkEnd w:id="44"/>
    </w:p>
    <w:tbl>
      <w:tblPr>
        <w:tblStyle w:val="12"/>
        <w:tblW w:w="86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1"/>
        <w:gridCol w:w="497"/>
        <w:gridCol w:w="419"/>
        <w:gridCol w:w="703"/>
        <w:gridCol w:w="354"/>
        <w:gridCol w:w="215"/>
        <w:gridCol w:w="607"/>
        <w:gridCol w:w="383"/>
        <w:gridCol w:w="1034"/>
        <w:gridCol w:w="851"/>
        <w:gridCol w:w="151"/>
        <w:gridCol w:w="558"/>
        <w:gridCol w:w="1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858" w:type="dxa"/>
            <w:gridSpan w:val="2"/>
          </w:tcPr>
          <w:p>
            <w:pPr>
              <w:pStyle w:val="19"/>
              <w:spacing w:before="31"/>
              <w:ind w:left="473"/>
              <w:rPr>
                <w:sz w:val="18"/>
                <w:szCs w:val="18"/>
              </w:rPr>
            </w:pPr>
            <w:r>
              <w:rPr>
                <w:sz w:val="18"/>
                <w:szCs w:val="18"/>
              </w:rPr>
              <w:t>项目名称：</w:t>
            </w:r>
          </w:p>
        </w:tc>
        <w:tc>
          <w:tcPr>
            <w:tcW w:w="6822" w:type="dxa"/>
            <w:gridSpan w:val="11"/>
          </w:tcPr>
          <w:p>
            <w:pPr>
              <w:ind w:firstLine="180" w:firstLineChars="100"/>
              <w:rPr>
                <w:sz w:val="18"/>
                <w:szCs w:val="18"/>
              </w:rPr>
            </w:pPr>
            <w:r>
              <w:rPr>
                <w:rFonts w:hint="eastAsia" w:asciiTheme="minorEastAsia" w:hAnsiTheme="minorEastAsia"/>
                <w:sz w:val="18"/>
                <w:szCs w:val="18"/>
              </w:rPr>
              <w:t>防汛抗旱工作经费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858" w:type="dxa"/>
            <w:gridSpan w:val="2"/>
          </w:tcPr>
          <w:p>
            <w:pPr>
              <w:pStyle w:val="19"/>
              <w:spacing w:before="31"/>
              <w:ind w:left="564"/>
              <w:rPr>
                <w:sz w:val="18"/>
                <w:szCs w:val="18"/>
              </w:rPr>
            </w:pPr>
            <w:r>
              <w:rPr>
                <w:sz w:val="18"/>
                <w:szCs w:val="18"/>
              </w:rPr>
              <w:t>主管部门</w:t>
            </w:r>
          </w:p>
        </w:tc>
        <w:tc>
          <w:tcPr>
            <w:tcW w:w="1476" w:type="dxa"/>
            <w:gridSpan w:val="3"/>
          </w:tcPr>
          <w:p>
            <w:pPr>
              <w:rPr>
                <w:rFonts w:asciiTheme="minorEastAsia" w:hAnsiTheme="minorEastAsia"/>
                <w:sz w:val="18"/>
                <w:szCs w:val="18"/>
              </w:rPr>
            </w:pPr>
            <w:r>
              <w:rPr>
                <w:rFonts w:hint="eastAsia" w:asciiTheme="minorEastAsia" w:hAnsiTheme="minorEastAsia"/>
                <w:sz w:val="18"/>
                <w:szCs w:val="18"/>
              </w:rPr>
              <w:t>江西省应急局</w:t>
            </w:r>
          </w:p>
        </w:tc>
        <w:tc>
          <w:tcPr>
            <w:tcW w:w="3241" w:type="dxa"/>
            <w:gridSpan w:val="6"/>
          </w:tcPr>
          <w:p>
            <w:pPr>
              <w:pStyle w:val="19"/>
              <w:spacing w:before="31"/>
              <w:ind w:left="1075"/>
              <w:rPr>
                <w:sz w:val="18"/>
                <w:szCs w:val="18"/>
              </w:rPr>
            </w:pPr>
            <w:r>
              <w:rPr>
                <w:sz w:val="18"/>
                <w:szCs w:val="18"/>
              </w:rPr>
              <w:t>项目实施单位</w:t>
            </w:r>
          </w:p>
        </w:tc>
        <w:tc>
          <w:tcPr>
            <w:tcW w:w="2105" w:type="dxa"/>
            <w:gridSpan w:val="2"/>
          </w:tcPr>
          <w:p>
            <w:pPr>
              <w:rPr>
                <w:rFonts w:asciiTheme="minorEastAsia" w:hAnsiTheme="minorEastAsia"/>
                <w:sz w:val="18"/>
                <w:szCs w:val="18"/>
              </w:rPr>
            </w:pPr>
            <w:r>
              <w:rPr>
                <w:rFonts w:hint="eastAsia" w:asciiTheme="minorEastAsia" w:hAnsiTheme="minorEastAsia"/>
                <w:sz w:val="18"/>
                <w:szCs w:val="18"/>
              </w:rPr>
              <w:t>浮梁县应急局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858" w:type="dxa"/>
            <w:gridSpan w:val="2"/>
          </w:tcPr>
          <w:p>
            <w:pPr>
              <w:pStyle w:val="19"/>
              <w:spacing w:before="30"/>
              <w:ind w:left="473"/>
              <w:rPr>
                <w:color w:val="auto"/>
                <w:sz w:val="18"/>
                <w:szCs w:val="18"/>
              </w:rPr>
            </w:pPr>
            <w:r>
              <w:rPr>
                <w:color w:val="auto"/>
                <w:sz w:val="18"/>
                <w:szCs w:val="18"/>
              </w:rPr>
              <w:t>项目负责人</w:t>
            </w:r>
          </w:p>
        </w:tc>
        <w:tc>
          <w:tcPr>
            <w:tcW w:w="1476" w:type="dxa"/>
            <w:gridSpan w:val="3"/>
          </w:tcPr>
          <w:p>
            <w:pPr>
              <w:jc w:val="center"/>
              <w:rPr>
                <w:rFonts w:hint="default" w:eastAsiaTheme="minorEastAsia"/>
                <w:color w:val="auto"/>
                <w:sz w:val="18"/>
                <w:szCs w:val="18"/>
                <w:lang w:val="en-US" w:eastAsia="zh-CN"/>
              </w:rPr>
            </w:pPr>
            <w:r>
              <w:rPr>
                <w:rFonts w:hint="eastAsia"/>
                <w:color w:val="auto"/>
                <w:sz w:val="18"/>
                <w:szCs w:val="18"/>
                <w:lang w:val="en-US" w:eastAsia="zh-CN"/>
              </w:rPr>
              <w:t>余浩林</w:t>
            </w:r>
          </w:p>
        </w:tc>
        <w:tc>
          <w:tcPr>
            <w:tcW w:w="3241" w:type="dxa"/>
            <w:gridSpan w:val="6"/>
          </w:tcPr>
          <w:p>
            <w:pPr>
              <w:pStyle w:val="19"/>
              <w:spacing w:before="30"/>
              <w:ind w:left="1235" w:right="1236"/>
              <w:jc w:val="center"/>
              <w:rPr>
                <w:color w:val="auto"/>
                <w:sz w:val="18"/>
                <w:szCs w:val="18"/>
              </w:rPr>
            </w:pPr>
            <w:r>
              <w:rPr>
                <w:color w:val="auto"/>
                <w:sz w:val="18"/>
                <w:szCs w:val="18"/>
              </w:rPr>
              <w:t>联系电话</w:t>
            </w:r>
          </w:p>
        </w:tc>
        <w:tc>
          <w:tcPr>
            <w:tcW w:w="2105" w:type="dxa"/>
            <w:gridSpan w:val="2"/>
          </w:tcPr>
          <w:p>
            <w:pPr>
              <w:rPr>
                <w:rFonts w:hint="default" w:eastAsiaTheme="minorEastAsia"/>
                <w:color w:val="auto"/>
                <w:sz w:val="18"/>
                <w:szCs w:val="18"/>
                <w:lang w:val="en-US" w:eastAsia="zh-CN"/>
              </w:rPr>
            </w:pPr>
            <w:r>
              <w:rPr>
                <w:rFonts w:hint="eastAsia"/>
                <w:color w:val="auto"/>
                <w:sz w:val="18"/>
                <w:szCs w:val="18"/>
                <w:lang w:val="en-US" w:eastAsia="zh-CN"/>
              </w:rPr>
              <w:t>13907987909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858" w:type="dxa"/>
            <w:gridSpan w:val="2"/>
          </w:tcPr>
          <w:p>
            <w:pPr>
              <w:pStyle w:val="19"/>
              <w:spacing w:before="30"/>
              <w:ind w:left="564"/>
              <w:rPr>
                <w:color w:val="auto"/>
                <w:sz w:val="18"/>
                <w:szCs w:val="18"/>
              </w:rPr>
            </w:pPr>
            <w:r>
              <w:rPr>
                <w:color w:val="auto"/>
                <w:sz w:val="18"/>
                <w:szCs w:val="18"/>
              </w:rPr>
              <w:t>项目类型</w:t>
            </w:r>
          </w:p>
        </w:tc>
        <w:tc>
          <w:tcPr>
            <w:tcW w:w="6822" w:type="dxa"/>
            <w:gridSpan w:val="11"/>
            <w:vAlign w:val="center"/>
          </w:tcPr>
          <w:p>
            <w:pPr>
              <w:pStyle w:val="19"/>
              <w:tabs>
                <w:tab w:val="left" w:pos="2956"/>
                <w:tab w:val="left" w:pos="3765"/>
              </w:tabs>
              <w:spacing w:before="30"/>
              <w:ind w:firstLine="900" w:firstLineChars="500"/>
              <w:rPr>
                <w:color w:val="auto"/>
                <w:sz w:val="18"/>
                <w:szCs w:val="18"/>
              </w:rPr>
            </w:pPr>
            <w:r>
              <w:rPr>
                <w:rFonts w:hint="eastAsia"/>
                <w:color w:val="auto"/>
                <w:sz w:val="18"/>
                <w:szCs w:val="18"/>
              </w:rPr>
              <w:t>经常性项目（</w:t>
            </w:r>
            <w:r>
              <w:rPr>
                <w:color w:val="auto"/>
                <w:sz w:val="18"/>
                <w:szCs w:val="18"/>
              </w:rPr>
              <w:t xml:space="preserve">    ）</w:t>
            </w:r>
            <w:r>
              <w:rPr>
                <w:color w:val="auto"/>
                <w:sz w:val="18"/>
                <w:szCs w:val="18"/>
              </w:rPr>
              <w:tab/>
            </w:r>
            <w:r>
              <w:rPr>
                <w:color w:val="auto"/>
                <w:sz w:val="18"/>
                <w:szCs w:val="18"/>
              </w:rPr>
              <w:t>一次性项目（√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jc w:val="center"/>
        </w:trPr>
        <w:tc>
          <w:tcPr>
            <w:tcW w:w="1858" w:type="dxa"/>
            <w:gridSpan w:val="2"/>
          </w:tcPr>
          <w:p>
            <w:pPr>
              <w:pStyle w:val="19"/>
              <w:spacing w:line="218" w:lineRule="exact"/>
              <w:ind w:left="473"/>
              <w:rPr>
                <w:sz w:val="18"/>
                <w:szCs w:val="18"/>
              </w:rPr>
            </w:pPr>
            <w:r>
              <w:rPr>
                <w:sz w:val="18"/>
                <w:szCs w:val="18"/>
              </w:rPr>
              <w:t>计划投资额</w:t>
            </w:r>
          </w:p>
          <w:p>
            <w:pPr>
              <w:pStyle w:val="19"/>
              <w:spacing w:before="4"/>
              <w:ind w:left="564"/>
              <w:rPr>
                <w:sz w:val="18"/>
                <w:szCs w:val="18"/>
              </w:rPr>
            </w:pPr>
            <w:r>
              <w:rPr>
                <w:sz w:val="18"/>
                <w:szCs w:val="18"/>
              </w:rPr>
              <w:t>（万元）</w:t>
            </w:r>
          </w:p>
        </w:tc>
        <w:tc>
          <w:tcPr>
            <w:tcW w:w="1122" w:type="dxa"/>
            <w:gridSpan w:val="2"/>
          </w:tcPr>
          <w:p>
            <w:pPr>
              <w:rPr>
                <w:rFonts w:hint="default" w:eastAsiaTheme="minorEastAsia"/>
                <w:sz w:val="18"/>
                <w:szCs w:val="18"/>
                <w:lang w:val="en-US" w:eastAsia="zh-CN"/>
              </w:rPr>
            </w:pPr>
            <w:r>
              <w:rPr>
                <w:rFonts w:hint="eastAsia"/>
                <w:sz w:val="18"/>
                <w:szCs w:val="18"/>
                <w:lang w:val="en-US" w:eastAsia="zh-CN"/>
              </w:rPr>
              <w:t>10</w:t>
            </w:r>
          </w:p>
        </w:tc>
        <w:tc>
          <w:tcPr>
            <w:tcW w:w="1559" w:type="dxa"/>
            <w:gridSpan w:val="4"/>
          </w:tcPr>
          <w:p>
            <w:pPr>
              <w:pStyle w:val="19"/>
              <w:spacing w:line="240" w:lineRule="exact"/>
              <w:ind w:left="180" w:right="10" w:hanging="180" w:hangingChars="100"/>
              <w:jc w:val="center"/>
              <w:rPr>
                <w:sz w:val="18"/>
                <w:szCs w:val="18"/>
              </w:rPr>
            </w:pPr>
            <w:r>
              <w:rPr>
                <w:sz w:val="18"/>
                <w:szCs w:val="18"/>
              </w:rPr>
              <w:t>实际到位资金</w:t>
            </w:r>
            <w:r>
              <w:rPr>
                <w:rFonts w:hint="eastAsia"/>
                <w:sz w:val="18"/>
                <w:szCs w:val="18"/>
              </w:rPr>
              <w:t xml:space="preserve"> </w:t>
            </w:r>
            <w:r>
              <w:rPr>
                <w:sz w:val="18"/>
                <w:szCs w:val="18"/>
              </w:rPr>
              <w:t xml:space="preserve">  （万元）</w:t>
            </w:r>
          </w:p>
        </w:tc>
        <w:tc>
          <w:tcPr>
            <w:tcW w:w="1034" w:type="dxa"/>
          </w:tcPr>
          <w:p>
            <w:pPr>
              <w:rPr>
                <w:rFonts w:hint="default" w:eastAsiaTheme="minorEastAsia"/>
                <w:sz w:val="18"/>
                <w:szCs w:val="18"/>
                <w:lang w:val="en-US" w:eastAsia="zh-CN"/>
              </w:rPr>
            </w:pPr>
            <w:r>
              <w:rPr>
                <w:rFonts w:hint="eastAsia"/>
                <w:sz w:val="18"/>
                <w:szCs w:val="18"/>
                <w:lang w:val="en-US" w:eastAsia="zh-CN"/>
              </w:rPr>
              <w:t>10</w:t>
            </w:r>
          </w:p>
        </w:tc>
        <w:tc>
          <w:tcPr>
            <w:tcW w:w="1560" w:type="dxa"/>
            <w:gridSpan w:val="3"/>
          </w:tcPr>
          <w:p>
            <w:pPr>
              <w:pStyle w:val="19"/>
              <w:spacing w:line="218" w:lineRule="exact"/>
              <w:ind w:left="125" w:right="115"/>
              <w:jc w:val="center"/>
              <w:rPr>
                <w:sz w:val="18"/>
                <w:szCs w:val="18"/>
              </w:rPr>
            </w:pPr>
            <w:r>
              <w:rPr>
                <w:sz w:val="18"/>
                <w:szCs w:val="18"/>
              </w:rPr>
              <w:t>实际使用情况</w:t>
            </w:r>
          </w:p>
          <w:p>
            <w:pPr>
              <w:pStyle w:val="19"/>
              <w:spacing w:before="4"/>
              <w:ind w:left="125" w:right="115"/>
              <w:jc w:val="center"/>
              <w:rPr>
                <w:sz w:val="18"/>
                <w:szCs w:val="18"/>
              </w:rPr>
            </w:pPr>
            <w:r>
              <w:rPr>
                <w:sz w:val="18"/>
                <w:szCs w:val="18"/>
              </w:rPr>
              <w:t>（万元）</w:t>
            </w:r>
          </w:p>
        </w:tc>
        <w:tc>
          <w:tcPr>
            <w:tcW w:w="1547" w:type="dxa"/>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858" w:type="dxa"/>
            <w:gridSpan w:val="2"/>
          </w:tcPr>
          <w:p>
            <w:pPr>
              <w:pStyle w:val="19"/>
              <w:spacing w:before="32"/>
              <w:ind w:left="293"/>
              <w:rPr>
                <w:sz w:val="18"/>
                <w:szCs w:val="18"/>
              </w:rPr>
            </w:pPr>
            <w:r>
              <w:rPr>
                <w:sz w:val="18"/>
                <w:szCs w:val="18"/>
              </w:rPr>
              <w:t>其中：中央财政</w:t>
            </w:r>
          </w:p>
        </w:tc>
        <w:tc>
          <w:tcPr>
            <w:tcW w:w="1122" w:type="dxa"/>
            <w:gridSpan w:val="2"/>
          </w:tcPr>
          <w:p>
            <w:pPr>
              <w:rPr>
                <w:sz w:val="18"/>
                <w:szCs w:val="18"/>
              </w:rPr>
            </w:pPr>
          </w:p>
        </w:tc>
        <w:tc>
          <w:tcPr>
            <w:tcW w:w="1559" w:type="dxa"/>
            <w:gridSpan w:val="4"/>
          </w:tcPr>
          <w:p>
            <w:pPr>
              <w:pStyle w:val="19"/>
              <w:spacing w:before="32"/>
              <w:ind w:left="145"/>
              <w:rPr>
                <w:sz w:val="18"/>
                <w:szCs w:val="18"/>
              </w:rPr>
            </w:pPr>
            <w:r>
              <w:rPr>
                <w:sz w:val="18"/>
                <w:szCs w:val="18"/>
              </w:rPr>
              <w:t>其中：中央财政</w:t>
            </w:r>
          </w:p>
        </w:tc>
        <w:tc>
          <w:tcPr>
            <w:tcW w:w="1034" w:type="dxa"/>
          </w:tcPr>
          <w:p>
            <w:pPr>
              <w:rPr>
                <w:sz w:val="18"/>
                <w:szCs w:val="18"/>
              </w:rPr>
            </w:pPr>
          </w:p>
        </w:tc>
        <w:tc>
          <w:tcPr>
            <w:tcW w:w="1560" w:type="dxa"/>
            <w:gridSpan w:val="3"/>
          </w:tcPr>
          <w:p>
            <w:pPr>
              <w:rPr>
                <w:sz w:val="18"/>
                <w:szCs w:val="18"/>
              </w:rPr>
            </w:pPr>
          </w:p>
        </w:tc>
        <w:tc>
          <w:tcPr>
            <w:tcW w:w="1547" w:type="dxa"/>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858" w:type="dxa"/>
            <w:gridSpan w:val="2"/>
          </w:tcPr>
          <w:p>
            <w:pPr>
              <w:pStyle w:val="19"/>
              <w:spacing w:before="31"/>
              <w:ind w:right="634" w:firstLine="180" w:firstLineChars="100"/>
              <w:jc w:val="right"/>
              <w:rPr>
                <w:sz w:val="18"/>
                <w:szCs w:val="18"/>
              </w:rPr>
            </w:pPr>
            <w:r>
              <w:rPr>
                <w:sz w:val="18"/>
                <w:szCs w:val="18"/>
              </w:rPr>
              <w:t>省</w:t>
            </w:r>
            <w:r>
              <w:rPr>
                <w:rFonts w:hint="eastAsia"/>
                <w:sz w:val="18"/>
                <w:szCs w:val="18"/>
              </w:rPr>
              <w:t>、市</w:t>
            </w:r>
            <w:r>
              <w:rPr>
                <w:sz w:val="18"/>
                <w:szCs w:val="18"/>
              </w:rPr>
              <w:t>财政</w:t>
            </w:r>
          </w:p>
        </w:tc>
        <w:tc>
          <w:tcPr>
            <w:tcW w:w="1122" w:type="dxa"/>
            <w:gridSpan w:val="2"/>
          </w:tcPr>
          <w:p>
            <w:pPr>
              <w:rPr>
                <w:sz w:val="18"/>
                <w:szCs w:val="18"/>
              </w:rPr>
            </w:pPr>
          </w:p>
        </w:tc>
        <w:tc>
          <w:tcPr>
            <w:tcW w:w="1559" w:type="dxa"/>
            <w:gridSpan w:val="4"/>
          </w:tcPr>
          <w:p>
            <w:pPr>
              <w:pStyle w:val="19"/>
              <w:spacing w:before="31"/>
              <w:ind w:left="505"/>
              <w:rPr>
                <w:sz w:val="18"/>
                <w:szCs w:val="18"/>
              </w:rPr>
            </w:pPr>
            <w:r>
              <w:rPr>
                <w:sz w:val="18"/>
                <w:szCs w:val="18"/>
              </w:rPr>
              <w:t>省</w:t>
            </w:r>
            <w:r>
              <w:rPr>
                <w:rFonts w:hint="eastAsia"/>
                <w:sz w:val="18"/>
                <w:szCs w:val="18"/>
              </w:rPr>
              <w:t>、市</w:t>
            </w:r>
            <w:r>
              <w:rPr>
                <w:sz w:val="18"/>
                <w:szCs w:val="18"/>
              </w:rPr>
              <w:t>财政</w:t>
            </w:r>
          </w:p>
        </w:tc>
        <w:tc>
          <w:tcPr>
            <w:tcW w:w="1034" w:type="dxa"/>
          </w:tcPr>
          <w:p>
            <w:pPr>
              <w:rPr>
                <w:sz w:val="18"/>
                <w:szCs w:val="18"/>
              </w:rPr>
            </w:pPr>
          </w:p>
        </w:tc>
        <w:tc>
          <w:tcPr>
            <w:tcW w:w="1560" w:type="dxa"/>
            <w:gridSpan w:val="3"/>
          </w:tcPr>
          <w:p>
            <w:pPr>
              <w:rPr>
                <w:sz w:val="18"/>
                <w:szCs w:val="18"/>
              </w:rPr>
            </w:pPr>
          </w:p>
        </w:tc>
        <w:tc>
          <w:tcPr>
            <w:tcW w:w="1547" w:type="dxa"/>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858" w:type="dxa"/>
            <w:gridSpan w:val="2"/>
          </w:tcPr>
          <w:p>
            <w:pPr>
              <w:pStyle w:val="19"/>
              <w:spacing w:before="31"/>
              <w:ind w:left="564"/>
              <w:rPr>
                <w:sz w:val="18"/>
                <w:szCs w:val="18"/>
              </w:rPr>
            </w:pPr>
            <w:r>
              <w:rPr>
                <w:rFonts w:hint="eastAsia"/>
                <w:sz w:val="18"/>
                <w:szCs w:val="18"/>
              </w:rPr>
              <w:t>县级</w:t>
            </w:r>
            <w:r>
              <w:rPr>
                <w:sz w:val="18"/>
                <w:szCs w:val="18"/>
              </w:rPr>
              <w:t>财政</w:t>
            </w:r>
          </w:p>
        </w:tc>
        <w:tc>
          <w:tcPr>
            <w:tcW w:w="1122" w:type="dxa"/>
            <w:gridSpan w:val="2"/>
          </w:tcPr>
          <w:p>
            <w:pPr>
              <w:rPr>
                <w:rFonts w:hint="default" w:eastAsiaTheme="minorEastAsia"/>
                <w:sz w:val="18"/>
                <w:szCs w:val="18"/>
                <w:lang w:val="en-US" w:eastAsia="zh-CN"/>
              </w:rPr>
            </w:pPr>
            <w:r>
              <w:rPr>
                <w:rFonts w:hint="eastAsia"/>
                <w:sz w:val="18"/>
                <w:szCs w:val="18"/>
                <w:lang w:val="en-US" w:eastAsia="zh-CN"/>
              </w:rPr>
              <w:t>10</w:t>
            </w:r>
          </w:p>
        </w:tc>
        <w:tc>
          <w:tcPr>
            <w:tcW w:w="1559" w:type="dxa"/>
            <w:gridSpan w:val="4"/>
          </w:tcPr>
          <w:p>
            <w:pPr>
              <w:pStyle w:val="19"/>
              <w:spacing w:before="31"/>
              <w:ind w:left="413" w:firstLine="180" w:firstLineChars="100"/>
              <w:rPr>
                <w:sz w:val="18"/>
                <w:szCs w:val="18"/>
              </w:rPr>
            </w:pPr>
            <w:r>
              <w:rPr>
                <w:rFonts w:hint="eastAsia"/>
                <w:sz w:val="18"/>
                <w:szCs w:val="18"/>
              </w:rPr>
              <w:t>县级</w:t>
            </w:r>
            <w:r>
              <w:rPr>
                <w:sz w:val="18"/>
                <w:szCs w:val="18"/>
              </w:rPr>
              <w:t>财政</w:t>
            </w:r>
          </w:p>
        </w:tc>
        <w:tc>
          <w:tcPr>
            <w:tcW w:w="1034" w:type="dxa"/>
          </w:tcPr>
          <w:p>
            <w:pPr>
              <w:rPr>
                <w:sz w:val="18"/>
                <w:szCs w:val="18"/>
              </w:rPr>
            </w:pPr>
          </w:p>
        </w:tc>
        <w:tc>
          <w:tcPr>
            <w:tcW w:w="1560" w:type="dxa"/>
            <w:gridSpan w:val="3"/>
          </w:tcPr>
          <w:p>
            <w:pPr>
              <w:rPr>
                <w:rFonts w:hint="default" w:eastAsiaTheme="minorEastAsia"/>
                <w:sz w:val="18"/>
                <w:szCs w:val="18"/>
                <w:lang w:val="en-US" w:eastAsia="zh-CN"/>
              </w:rPr>
            </w:pPr>
            <w:r>
              <w:rPr>
                <w:rFonts w:hint="eastAsia"/>
                <w:sz w:val="18"/>
                <w:szCs w:val="18"/>
                <w:lang w:val="en-US" w:eastAsia="zh-CN"/>
              </w:rPr>
              <w:t>10</w:t>
            </w:r>
          </w:p>
        </w:tc>
        <w:tc>
          <w:tcPr>
            <w:tcW w:w="1547" w:type="dxa"/>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858" w:type="dxa"/>
            <w:gridSpan w:val="2"/>
          </w:tcPr>
          <w:p>
            <w:pPr>
              <w:pStyle w:val="19"/>
              <w:spacing w:before="30"/>
              <w:ind w:left="634" w:right="634"/>
              <w:jc w:val="center"/>
              <w:rPr>
                <w:sz w:val="18"/>
                <w:szCs w:val="18"/>
              </w:rPr>
            </w:pPr>
            <w:r>
              <w:rPr>
                <w:sz w:val="18"/>
                <w:szCs w:val="18"/>
              </w:rPr>
              <w:t>其他</w:t>
            </w:r>
          </w:p>
        </w:tc>
        <w:tc>
          <w:tcPr>
            <w:tcW w:w="1122" w:type="dxa"/>
            <w:gridSpan w:val="2"/>
          </w:tcPr>
          <w:p>
            <w:pPr>
              <w:rPr>
                <w:sz w:val="18"/>
                <w:szCs w:val="18"/>
              </w:rPr>
            </w:pPr>
          </w:p>
        </w:tc>
        <w:tc>
          <w:tcPr>
            <w:tcW w:w="1559" w:type="dxa"/>
            <w:gridSpan w:val="4"/>
          </w:tcPr>
          <w:p>
            <w:pPr>
              <w:pStyle w:val="19"/>
              <w:spacing w:before="30"/>
              <w:ind w:left="574" w:right="575"/>
              <w:jc w:val="center"/>
              <w:rPr>
                <w:sz w:val="18"/>
                <w:szCs w:val="18"/>
              </w:rPr>
            </w:pPr>
            <w:r>
              <w:rPr>
                <w:sz w:val="18"/>
                <w:szCs w:val="18"/>
              </w:rPr>
              <w:t>其他</w:t>
            </w:r>
          </w:p>
        </w:tc>
        <w:tc>
          <w:tcPr>
            <w:tcW w:w="1034" w:type="dxa"/>
          </w:tcPr>
          <w:p>
            <w:pPr>
              <w:rPr>
                <w:sz w:val="18"/>
                <w:szCs w:val="18"/>
              </w:rPr>
            </w:pPr>
          </w:p>
        </w:tc>
        <w:tc>
          <w:tcPr>
            <w:tcW w:w="1560" w:type="dxa"/>
            <w:gridSpan w:val="3"/>
          </w:tcPr>
          <w:p>
            <w:pPr>
              <w:rPr>
                <w:sz w:val="18"/>
                <w:szCs w:val="18"/>
              </w:rPr>
            </w:pPr>
          </w:p>
        </w:tc>
        <w:tc>
          <w:tcPr>
            <w:tcW w:w="1547" w:type="dxa"/>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8680" w:type="dxa"/>
            <w:gridSpan w:val="13"/>
          </w:tcPr>
          <w:p>
            <w:pPr>
              <w:pStyle w:val="19"/>
              <w:spacing w:before="30"/>
              <w:ind w:left="79"/>
              <w:rPr>
                <w:b/>
                <w:sz w:val="18"/>
              </w:rPr>
            </w:pPr>
            <w:r>
              <w:rPr>
                <w:b/>
                <w:w w:val="95"/>
                <w:sz w:val="18"/>
              </w:rPr>
              <w:t>二、绩效评价指标评分（参考）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tcPr>
          <w:p>
            <w:pPr>
              <w:pStyle w:val="19"/>
              <w:spacing w:before="6"/>
              <w:ind w:left="295" w:right="295"/>
              <w:jc w:val="center"/>
              <w:rPr>
                <w:sz w:val="18"/>
              </w:rPr>
            </w:pPr>
            <w:r>
              <w:rPr>
                <w:sz w:val="18"/>
              </w:rPr>
              <w:t>一级指标</w:t>
            </w:r>
          </w:p>
        </w:tc>
        <w:tc>
          <w:tcPr>
            <w:tcW w:w="916" w:type="dxa"/>
            <w:gridSpan w:val="2"/>
          </w:tcPr>
          <w:p>
            <w:pPr>
              <w:pStyle w:val="19"/>
              <w:spacing w:before="6"/>
              <w:ind w:left="273"/>
              <w:rPr>
                <w:sz w:val="18"/>
              </w:rPr>
            </w:pPr>
            <w:r>
              <w:rPr>
                <w:sz w:val="18"/>
              </w:rPr>
              <w:t>分值</w:t>
            </w:r>
          </w:p>
        </w:tc>
        <w:tc>
          <w:tcPr>
            <w:tcW w:w="1272" w:type="dxa"/>
            <w:gridSpan w:val="3"/>
          </w:tcPr>
          <w:p>
            <w:pPr>
              <w:pStyle w:val="19"/>
              <w:spacing w:before="6"/>
              <w:ind w:left="272"/>
              <w:rPr>
                <w:sz w:val="18"/>
              </w:rPr>
            </w:pPr>
            <w:r>
              <w:rPr>
                <w:sz w:val="18"/>
              </w:rPr>
              <w:t>二级指标</w:t>
            </w:r>
          </w:p>
        </w:tc>
        <w:tc>
          <w:tcPr>
            <w:tcW w:w="607" w:type="dxa"/>
          </w:tcPr>
          <w:p>
            <w:pPr>
              <w:pStyle w:val="19"/>
              <w:spacing w:before="6"/>
              <w:ind w:left="195"/>
              <w:rPr>
                <w:sz w:val="18"/>
              </w:rPr>
            </w:pPr>
            <w:r>
              <w:rPr>
                <w:sz w:val="18"/>
              </w:rPr>
              <w:t>分值</w:t>
            </w:r>
          </w:p>
        </w:tc>
        <w:tc>
          <w:tcPr>
            <w:tcW w:w="2268" w:type="dxa"/>
            <w:gridSpan w:val="3"/>
          </w:tcPr>
          <w:p>
            <w:pPr>
              <w:pStyle w:val="19"/>
              <w:spacing w:before="6"/>
              <w:ind w:left="557"/>
              <w:rPr>
                <w:sz w:val="18"/>
              </w:rPr>
            </w:pPr>
            <w:r>
              <w:rPr>
                <w:sz w:val="18"/>
              </w:rPr>
              <w:t>三级指标</w:t>
            </w:r>
          </w:p>
        </w:tc>
        <w:tc>
          <w:tcPr>
            <w:tcW w:w="709" w:type="dxa"/>
            <w:gridSpan w:val="2"/>
          </w:tcPr>
          <w:p>
            <w:pPr>
              <w:pStyle w:val="19"/>
              <w:spacing w:before="6"/>
              <w:ind w:left="205"/>
              <w:rPr>
                <w:sz w:val="18"/>
              </w:rPr>
            </w:pPr>
            <w:r>
              <w:rPr>
                <w:sz w:val="18"/>
              </w:rPr>
              <w:t>分值</w:t>
            </w:r>
          </w:p>
        </w:tc>
        <w:tc>
          <w:tcPr>
            <w:tcW w:w="1547" w:type="dxa"/>
          </w:tcPr>
          <w:p>
            <w:pPr>
              <w:pStyle w:val="19"/>
              <w:spacing w:before="6"/>
              <w:ind w:left="656" w:right="668"/>
              <w:jc w:val="center"/>
              <w:rPr>
                <w:sz w:val="18"/>
              </w:rPr>
            </w:pPr>
            <w:r>
              <w:rPr>
                <w:sz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restart"/>
          </w:tcPr>
          <w:p>
            <w:pPr>
              <w:pStyle w:val="19"/>
              <w:rPr>
                <w:rFonts w:ascii="方正小标宋简体"/>
                <w:sz w:val="18"/>
              </w:rPr>
            </w:pPr>
          </w:p>
          <w:p>
            <w:pPr>
              <w:pStyle w:val="19"/>
              <w:rPr>
                <w:rFonts w:ascii="方正小标宋简体"/>
                <w:sz w:val="18"/>
              </w:rPr>
            </w:pPr>
          </w:p>
          <w:p>
            <w:pPr>
              <w:pStyle w:val="19"/>
              <w:spacing w:before="1"/>
              <w:rPr>
                <w:rFonts w:ascii="方正小标宋简体"/>
                <w:sz w:val="14"/>
              </w:rPr>
            </w:pPr>
          </w:p>
          <w:p>
            <w:pPr>
              <w:pStyle w:val="19"/>
              <w:ind w:left="295" w:right="295"/>
              <w:jc w:val="center"/>
              <w:rPr>
                <w:sz w:val="18"/>
              </w:rPr>
            </w:pPr>
            <w:r>
              <w:rPr>
                <w:sz w:val="18"/>
              </w:rPr>
              <w:t>决策</w:t>
            </w:r>
          </w:p>
        </w:tc>
        <w:tc>
          <w:tcPr>
            <w:tcW w:w="916" w:type="dxa"/>
            <w:gridSpan w:val="2"/>
            <w:vMerge w:val="restart"/>
          </w:tcPr>
          <w:p>
            <w:pPr>
              <w:pStyle w:val="19"/>
              <w:rPr>
                <w:rFonts w:ascii="方正小标宋简体"/>
                <w:sz w:val="18"/>
              </w:rPr>
            </w:pPr>
          </w:p>
          <w:p>
            <w:pPr>
              <w:pStyle w:val="19"/>
              <w:rPr>
                <w:rFonts w:ascii="方正小标宋简体"/>
                <w:sz w:val="18"/>
              </w:rPr>
            </w:pPr>
          </w:p>
          <w:p>
            <w:pPr>
              <w:pStyle w:val="19"/>
              <w:rPr>
                <w:rFonts w:ascii="方正小标宋简体"/>
                <w:sz w:val="18"/>
              </w:rPr>
            </w:pPr>
          </w:p>
          <w:p>
            <w:pPr>
              <w:pStyle w:val="19"/>
              <w:rPr>
                <w:rFonts w:ascii="方正小标宋简体"/>
                <w:sz w:val="18"/>
              </w:rPr>
            </w:pPr>
          </w:p>
          <w:p>
            <w:pPr>
              <w:pStyle w:val="19"/>
              <w:rPr>
                <w:rFonts w:ascii="方正小标宋简体"/>
                <w:sz w:val="18"/>
              </w:rPr>
            </w:pPr>
          </w:p>
          <w:p>
            <w:pPr>
              <w:pStyle w:val="19"/>
              <w:spacing w:before="152"/>
              <w:ind w:left="297" w:right="297"/>
              <w:jc w:val="center"/>
              <w:rPr>
                <w:sz w:val="18"/>
              </w:rPr>
            </w:pPr>
            <w:r>
              <w:rPr>
                <w:sz w:val="18"/>
              </w:rPr>
              <w:t>40</w:t>
            </w:r>
          </w:p>
        </w:tc>
        <w:tc>
          <w:tcPr>
            <w:tcW w:w="1272" w:type="dxa"/>
            <w:gridSpan w:val="3"/>
            <w:vMerge w:val="restart"/>
          </w:tcPr>
          <w:p>
            <w:pPr>
              <w:pStyle w:val="19"/>
              <w:spacing w:before="161"/>
              <w:ind w:left="272"/>
              <w:rPr>
                <w:sz w:val="18"/>
              </w:rPr>
            </w:pPr>
            <w:r>
              <w:rPr>
                <w:sz w:val="18"/>
              </w:rPr>
              <w:t>项目立项</w:t>
            </w:r>
          </w:p>
        </w:tc>
        <w:tc>
          <w:tcPr>
            <w:tcW w:w="607" w:type="dxa"/>
            <w:vMerge w:val="restart"/>
          </w:tcPr>
          <w:p>
            <w:r>
              <w:rPr>
                <w:rFonts w:hint="eastAsia"/>
              </w:rPr>
              <w:t>6</w:t>
            </w:r>
          </w:p>
        </w:tc>
        <w:tc>
          <w:tcPr>
            <w:tcW w:w="2268" w:type="dxa"/>
            <w:gridSpan w:val="3"/>
          </w:tcPr>
          <w:p>
            <w:pPr>
              <w:pStyle w:val="19"/>
              <w:spacing w:before="5"/>
              <w:ind w:left="288"/>
              <w:rPr>
                <w:sz w:val="18"/>
              </w:rPr>
            </w:pPr>
            <w:r>
              <w:rPr>
                <w:sz w:val="18"/>
              </w:rPr>
              <w:t>立项依据充分性</w:t>
            </w:r>
          </w:p>
        </w:tc>
        <w:tc>
          <w:tcPr>
            <w:tcW w:w="709" w:type="dxa"/>
            <w:gridSpan w:val="2"/>
          </w:tcPr>
          <w:p>
            <w:r>
              <w:rPr>
                <w:rFonts w:hint="eastAsia"/>
              </w:rPr>
              <w:t>4</w:t>
            </w:r>
          </w:p>
        </w:tc>
        <w:tc>
          <w:tcPr>
            <w:tcW w:w="1547" w:type="dxa"/>
          </w:tcPr>
          <w:p>
            <w:r>
              <w:rPr>
                <w:rFonts w:hint="eastAsi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3"/>
            <w:vMerge w:val="continue"/>
          </w:tcPr>
          <w:p/>
        </w:tc>
        <w:tc>
          <w:tcPr>
            <w:tcW w:w="607" w:type="dxa"/>
            <w:vMerge w:val="continue"/>
          </w:tcPr>
          <w:p/>
        </w:tc>
        <w:tc>
          <w:tcPr>
            <w:tcW w:w="2268" w:type="dxa"/>
            <w:gridSpan w:val="3"/>
          </w:tcPr>
          <w:p>
            <w:pPr>
              <w:pStyle w:val="19"/>
              <w:spacing w:before="5"/>
              <w:ind w:left="288"/>
              <w:rPr>
                <w:sz w:val="18"/>
              </w:rPr>
            </w:pPr>
            <w:r>
              <w:rPr>
                <w:sz w:val="18"/>
              </w:rPr>
              <w:t>立项程序规范性</w:t>
            </w:r>
          </w:p>
        </w:tc>
        <w:tc>
          <w:tcPr>
            <w:tcW w:w="709" w:type="dxa"/>
            <w:gridSpan w:val="2"/>
          </w:tcPr>
          <w:p>
            <w:r>
              <w:rPr>
                <w:rFonts w:hint="eastAsia"/>
              </w:rPr>
              <w:t>4</w:t>
            </w:r>
          </w:p>
        </w:tc>
        <w:tc>
          <w:tcPr>
            <w:tcW w:w="1547" w:type="dxa"/>
          </w:tcPr>
          <w:p>
            <w:r>
              <w:rPr>
                <w:rFonts w:hint="eastAsi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3"/>
            <w:vMerge w:val="restart"/>
          </w:tcPr>
          <w:p>
            <w:pPr>
              <w:pStyle w:val="19"/>
              <w:spacing w:before="160"/>
              <w:ind w:left="272"/>
              <w:rPr>
                <w:sz w:val="18"/>
              </w:rPr>
            </w:pPr>
            <w:r>
              <w:rPr>
                <w:sz w:val="18"/>
              </w:rPr>
              <w:t>绩效目标</w:t>
            </w:r>
          </w:p>
        </w:tc>
        <w:tc>
          <w:tcPr>
            <w:tcW w:w="607" w:type="dxa"/>
            <w:vMerge w:val="restart"/>
          </w:tcPr>
          <w:p>
            <w:r>
              <w:rPr>
                <w:rFonts w:hint="eastAsia"/>
              </w:rPr>
              <w:t>6</w:t>
            </w:r>
          </w:p>
        </w:tc>
        <w:tc>
          <w:tcPr>
            <w:tcW w:w="2268" w:type="dxa"/>
            <w:gridSpan w:val="3"/>
          </w:tcPr>
          <w:p>
            <w:pPr>
              <w:pStyle w:val="19"/>
              <w:spacing w:before="4"/>
              <w:ind w:left="288"/>
              <w:rPr>
                <w:sz w:val="18"/>
              </w:rPr>
            </w:pPr>
            <w:r>
              <w:rPr>
                <w:sz w:val="18"/>
              </w:rPr>
              <w:t>绩效目标合理性</w:t>
            </w:r>
          </w:p>
        </w:tc>
        <w:tc>
          <w:tcPr>
            <w:tcW w:w="709" w:type="dxa"/>
            <w:gridSpan w:val="2"/>
          </w:tcPr>
          <w:p>
            <w:r>
              <w:rPr>
                <w:rFonts w:hint="eastAsia"/>
              </w:rPr>
              <w:t>4</w:t>
            </w:r>
          </w:p>
        </w:tc>
        <w:tc>
          <w:tcPr>
            <w:tcW w:w="1547" w:type="dxa"/>
          </w:tcPr>
          <w:p>
            <w:r>
              <w:rPr>
                <w:rFonts w:hint="eastAsi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3"/>
            <w:vMerge w:val="continue"/>
          </w:tcPr>
          <w:p/>
        </w:tc>
        <w:tc>
          <w:tcPr>
            <w:tcW w:w="607" w:type="dxa"/>
            <w:vMerge w:val="continue"/>
          </w:tcPr>
          <w:p/>
        </w:tc>
        <w:tc>
          <w:tcPr>
            <w:tcW w:w="2268" w:type="dxa"/>
            <w:gridSpan w:val="3"/>
          </w:tcPr>
          <w:p>
            <w:pPr>
              <w:pStyle w:val="19"/>
              <w:spacing w:before="4"/>
              <w:ind w:left="288"/>
              <w:rPr>
                <w:sz w:val="18"/>
              </w:rPr>
            </w:pPr>
            <w:r>
              <w:rPr>
                <w:sz w:val="18"/>
              </w:rPr>
              <w:t>绩效指标明确性</w:t>
            </w:r>
          </w:p>
        </w:tc>
        <w:tc>
          <w:tcPr>
            <w:tcW w:w="709" w:type="dxa"/>
            <w:gridSpan w:val="2"/>
          </w:tcPr>
          <w:p>
            <w:r>
              <w:rPr>
                <w:rFonts w:hint="eastAsia"/>
              </w:rPr>
              <w:t>4</w:t>
            </w:r>
          </w:p>
        </w:tc>
        <w:tc>
          <w:tcPr>
            <w:tcW w:w="1547" w:type="dxa"/>
          </w:tcPr>
          <w:p>
            <w:r>
              <w:rPr>
                <w:rFonts w:hint="eastAsi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3"/>
            <w:vMerge w:val="restart"/>
          </w:tcPr>
          <w:p>
            <w:pPr>
              <w:pStyle w:val="19"/>
              <w:spacing w:before="160"/>
              <w:ind w:left="272"/>
              <w:rPr>
                <w:sz w:val="18"/>
              </w:rPr>
            </w:pPr>
            <w:r>
              <w:rPr>
                <w:sz w:val="18"/>
              </w:rPr>
              <w:t>资金投入</w:t>
            </w:r>
          </w:p>
        </w:tc>
        <w:tc>
          <w:tcPr>
            <w:tcW w:w="607" w:type="dxa"/>
            <w:vMerge w:val="restart"/>
          </w:tcPr>
          <w:p>
            <w:r>
              <w:rPr>
                <w:rFonts w:hint="eastAsia"/>
              </w:rPr>
              <w:t>6</w:t>
            </w:r>
          </w:p>
        </w:tc>
        <w:tc>
          <w:tcPr>
            <w:tcW w:w="2268" w:type="dxa"/>
            <w:gridSpan w:val="3"/>
          </w:tcPr>
          <w:p>
            <w:pPr>
              <w:pStyle w:val="19"/>
              <w:spacing w:before="4"/>
              <w:ind w:left="288"/>
              <w:rPr>
                <w:sz w:val="18"/>
              </w:rPr>
            </w:pPr>
            <w:r>
              <w:rPr>
                <w:sz w:val="18"/>
              </w:rPr>
              <w:t>预算编制科学性</w:t>
            </w:r>
          </w:p>
        </w:tc>
        <w:tc>
          <w:tcPr>
            <w:tcW w:w="709" w:type="dxa"/>
            <w:gridSpan w:val="2"/>
          </w:tcPr>
          <w:p>
            <w:r>
              <w:rPr>
                <w:rFonts w:hint="eastAsia"/>
              </w:rPr>
              <w:t>4</w:t>
            </w:r>
          </w:p>
        </w:tc>
        <w:tc>
          <w:tcPr>
            <w:tcW w:w="1547" w:type="dxa"/>
          </w:tcPr>
          <w:p>
            <w:r>
              <w:rPr>
                <w:rFonts w:hint="eastAsi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3"/>
            <w:vMerge w:val="continue"/>
          </w:tcPr>
          <w:p/>
        </w:tc>
        <w:tc>
          <w:tcPr>
            <w:tcW w:w="607" w:type="dxa"/>
            <w:vMerge w:val="continue"/>
          </w:tcPr>
          <w:p/>
        </w:tc>
        <w:tc>
          <w:tcPr>
            <w:tcW w:w="2268" w:type="dxa"/>
            <w:gridSpan w:val="3"/>
          </w:tcPr>
          <w:p>
            <w:pPr>
              <w:pStyle w:val="19"/>
              <w:spacing w:before="6"/>
              <w:ind w:left="288"/>
              <w:rPr>
                <w:sz w:val="18"/>
              </w:rPr>
            </w:pPr>
            <w:r>
              <w:rPr>
                <w:sz w:val="18"/>
              </w:rPr>
              <w:t>资金分配合理性</w:t>
            </w:r>
          </w:p>
        </w:tc>
        <w:tc>
          <w:tcPr>
            <w:tcW w:w="709" w:type="dxa"/>
            <w:gridSpan w:val="2"/>
          </w:tcPr>
          <w:p>
            <w:r>
              <w:rPr>
                <w:rFonts w:hint="eastAsia"/>
              </w:rPr>
              <w:t>4</w:t>
            </w:r>
          </w:p>
        </w:tc>
        <w:tc>
          <w:tcPr>
            <w:tcW w:w="1547" w:type="dxa"/>
          </w:tcPr>
          <w:p>
            <w:r>
              <w:rPr>
                <w:rFonts w:hint="eastAsi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restart"/>
          </w:tcPr>
          <w:p>
            <w:pPr>
              <w:pStyle w:val="19"/>
              <w:rPr>
                <w:rFonts w:ascii="方正小标宋简体"/>
                <w:sz w:val="18"/>
              </w:rPr>
            </w:pPr>
          </w:p>
          <w:p>
            <w:pPr>
              <w:pStyle w:val="19"/>
              <w:spacing w:before="3"/>
              <w:rPr>
                <w:rFonts w:ascii="方正小标宋简体"/>
              </w:rPr>
            </w:pPr>
          </w:p>
          <w:p>
            <w:pPr>
              <w:pStyle w:val="19"/>
              <w:ind w:left="295" w:right="295"/>
              <w:jc w:val="center"/>
              <w:rPr>
                <w:sz w:val="18"/>
              </w:rPr>
            </w:pPr>
            <w:r>
              <w:rPr>
                <w:sz w:val="18"/>
              </w:rPr>
              <w:t>过程</w:t>
            </w:r>
          </w:p>
        </w:tc>
        <w:tc>
          <w:tcPr>
            <w:tcW w:w="916" w:type="dxa"/>
            <w:gridSpan w:val="2"/>
            <w:vMerge w:val="continue"/>
          </w:tcPr>
          <w:p/>
        </w:tc>
        <w:tc>
          <w:tcPr>
            <w:tcW w:w="1272" w:type="dxa"/>
            <w:gridSpan w:val="3"/>
            <w:vMerge w:val="restart"/>
          </w:tcPr>
          <w:p>
            <w:pPr>
              <w:pStyle w:val="19"/>
              <w:spacing w:before="159"/>
              <w:ind w:left="272"/>
              <w:rPr>
                <w:sz w:val="18"/>
              </w:rPr>
            </w:pPr>
            <w:r>
              <w:rPr>
                <w:sz w:val="18"/>
              </w:rPr>
              <w:t>资金管理</w:t>
            </w:r>
          </w:p>
        </w:tc>
        <w:tc>
          <w:tcPr>
            <w:tcW w:w="607" w:type="dxa"/>
            <w:vMerge w:val="restart"/>
          </w:tcPr>
          <w:p>
            <w:r>
              <w:rPr>
                <w:rFonts w:hint="eastAsia"/>
              </w:rPr>
              <w:t>8</w:t>
            </w:r>
          </w:p>
        </w:tc>
        <w:tc>
          <w:tcPr>
            <w:tcW w:w="2268" w:type="dxa"/>
            <w:gridSpan w:val="3"/>
          </w:tcPr>
          <w:p>
            <w:pPr>
              <w:pStyle w:val="19"/>
              <w:spacing w:before="5"/>
              <w:ind w:left="468"/>
              <w:rPr>
                <w:sz w:val="18"/>
              </w:rPr>
            </w:pPr>
            <w:r>
              <w:rPr>
                <w:sz w:val="18"/>
              </w:rPr>
              <w:t>资金到位率</w:t>
            </w:r>
          </w:p>
        </w:tc>
        <w:tc>
          <w:tcPr>
            <w:tcW w:w="709" w:type="dxa"/>
            <w:gridSpan w:val="2"/>
          </w:tcPr>
          <w:p>
            <w:r>
              <w:rPr>
                <w:rFonts w:hint="eastAsia"/>
              </w:rPr>
              <w:t>4</w:t>
            </w:r>
          </w:p>
        </w:tc>
        <w:tc>
          <w:tcPr>
            <w:tcW w:w="1547" w:type="dxa"/>
          </w:tcPr>
          <w:p>
            <w:r>
              <w:rPr>
                <w:rFonts w:hint="eastAsi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3"/>
            <w:vMerge w:val="continue"/>
          </w:tcPr>
          <w:p/>
        </w:tc>
        <w:tc>
          <w:tcPr>
            <w:tcW w:w="607" w:type="dxa"/>
            <w:vMerge w:val="continue"/>
          </w:tcPr>
          <w:p/>
        </w:tc>
        <w:tc>
          <w:tcPr>
            <w:tcW w:w="2268" w:type="dxa"/>
            <w:gridSpan w:val="3"/>
          </w:tcPr>
          <w:p>
            <w:pPr>
              <w:pStyle w:val="19"/>
              <w:spacing w:before="5"/>
              <w:ind w:left="468"/>
              <w:rPr>
                <w:sz w:val="18"/>
              </w:rPr>
            </w:pPr>
            <w:r>
              <w:rPr>
                <w:sz w:val="18"/>
              </w:rPr>
              <w:t>预算执行率</w:t>
            </w:r>
          </w:p>
        </w:tc>
        <w:tc>
          <w:tcPr>
            <w:tcW w:w="709" w:type="dxa"/>
            <w:gridSpan w:val="2"/>
          </w:tcPr>
          <w:p>
            <w:r>
              <w:rPr>
                <w:rFonts w:hint="eastAsia"/>
              </w:rPr>
              <w:t>3</w:t>
            </w:r>
          </w:p>
        </w:tc>
        <w:tc>
          <w:tcPr>
            <w:tcW w:w="1547" w:type="dxa"/>
          </w:tcPr>
          <w:p>
            <w:r>
              <w:rPr>
                <w:rFonts w:hint="eastAsi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3"/>
          </w:tcPr>
          <w:p>
            <w:pPr>
              <w:pStyle w:val="19"/>
              <w:spacing w:before="4"/>
              <w:ind w:left="272"/>
              <w:rPr>
                <w:sz w:val="18"/>
              </w:rPr>
            </w:pPr>
            <w:r>
              <w:rPr>
                <w:sz w:val="18"/>
              </w:rPr>
              <w:t>资金管理</w:t>
            </w:r>
          </w:p>
        </w:tc>
        <w:tc>
          <w:tcPr>
            <w:tcW w:w="607" w:type="dxa"/>
          </w:tcPr>
          <w:p>
            <w:r>
              <w:rPr>
                <w:rFonts w:hint="eastAsia"/>
              </w:rPr>
              <w:t>8</w:t>
            </w:r>
          </w:p>
        </w:tc>
        <w:tc>
          <w:tcPr>
            <w:tcW w:w="2268" w:type="dxa"/>
            <w:gridSpan w:val="3"/>
          </w:tcPr>
          <w:p>
            <w:pPr>
              <w:pStyle w:val="19"/>
              <w:spacing w:before="4"/>
              <w:ind w:left="288"/>
              <w:rPr>
                <w:sz w:val="18"/>
              </w:rPr>
            </w:pPr>
            <w:r>
              <w:rPr>
                <w:sz w:val="18"/>
              </w:rPr>
              <w:t>资金使用合规性</w:t>
            </w:r>
          </w:p>
        </w:tc>
        <w:tc>
          <w:tcPr>
            <w:tcW w:w="709" w:type="dxa"/>
            <w:gridSpan w:val="2"/>
          </w:tcPr>
          <w:p>
            <w:r>
              <w:rPr>
                <w:rFonts w:hint="eastAsia"/>
              </w:rPr>
              <w:t>3</w:t>
            </w:r>
          </w:p>
        </w:tc>
        <w:tc>
          <w:tcPr>
            <w:tcW w:w="1547" w:type="dxa"/>
          </w:tcPr>
          <w:p>
            <w:r>
              <w:rPr>
                <w:rFonts w:hint="eastAsi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3"/>
            <w:vMerge w:val="restart"/>
          </w:tcPr>
          <w:p>
            <w:pPr>
              <w:pStyle w:val="19"/>
              <w:spacing w:before="160"/>
              <w:ind w:left="272"/>
              <w:rPr>
                <w:sz w:val="18"/>
              </w:rPr>
            </w:pPr>
            <w:r>
              <w:rPr>
                <w:sz w:val="18"/>
              </w:rPr>
              <w:t>组织实施</w:t>
            </w:r>
          </w:p>
        </w:tc>
        <w:tc>
          <w:tcPr>
            <w:tcW w:w="607" w:type="dxa"/>
            <w:vMerge w:val="restart"/>
          </w:tcPr>
          <w:p>
            <w:r>
              <w:rPr>
                <w:rFonts w:hint="eastAsia"/>
              </w:rPr>
              <w:t>8</w:t>
            </w:r>
          </w:p>
        </w:tc>
        <w:tc>
          <w:tcPr>
            <w:tcW w:w="2268" w:type="dxa"/>
            <w:gridSpan w:val="3"/>
          </w:tcPr>
          <w:p>
            <w:pPr>
              <w:pStyle w:val="19"/>
              <w:spacing w:before="4"/>
              <w:ind w:left="288"/>
              <w:rPr>
                <w:sz w:val="18"/>
              </w:rPr>
            </w:pPr>
            <w:r>
              <w:rPr>
                <w:sz w:val="18"/>
              </w:rPr>
              <w:t>管理制度健全性</w:t>
            </w:r>
          </w:p>
        </w:tc>
        <w:tc>
          <w:tcPr>
            <w:tcW w:w="709" w:type="dxa"/>
            <w:gridSpan w:val="2"/>
          </w:tcPr>
          <w:p>
            <w:r>
              <w:rPr>
                <w:rFonts w:hint="eastAsia"/>
              </w:rPr>
              <w:t>3</w:t>
            </w:r>
          </w:p>
        </w:tc>
        <w:tc>
          <w:tcPr>
            <w:tcW w:w="1547" w:type="dxa"/>
          </w:tcPr>
          <w:p>
            <w:r>
              <w:rPr>
                <w:rFonts w:hint="eastAsi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3"/>
            <w:vMerge w:val="continue"/>
          </w:tcPr>
          <w:p/>
        </w:tc>
        <w:tc>
          <w:tcPr>
            <w:tcW w:w="607" w:type="dxa"/>
            <w:vMerge w:val="continue"/>
          </w:tcPr>
          <w:p/>
        </w:tc>
        <w:tc>
          <w:tcPr>
            <w:tcW w:w="2268" w:type="dxa"/>
            <w:gridSpan w:val="3"/>
          </w:tcPr>
          <w:p>
            <w:pPr>
              <w:pStyle w:val="19"/>
              <w:spacing w:before="4"/>
              <w:ind w:left="288"/>
              <w:rPr>
                <w:sz w:val="18"/>
              </w:rPr>
            </w:pPr>
            <w:r>
              <w:rPr>
                <w:sz w:val="18"/>
              </w:rPr>
              <w:t>制度执行有效性</w:t>
            </w:r>
          </w:p>
        </w:tc>
        <w:tc>
          <w:tcPr>
            <w:tcW w:w="709" w:type="dxa"/>
            <w:gridSpan w:val="2"/>
          </w:tcPr>
          <w:p>
            <w:r>
              <w:rPr>
                <w:rFonts w:hint="eastAsia"/>
              </w:rPr>
              <w:t>3</w:t>
            </w:r>
          </w:p>
        </w:tc>
        <w:tc>
          <w:tcPr>
            <w:tcW w:w="1547" w:type="dxa"/>
          </w:tcPr>
          <w:p>
            <w:r>
              <w:rPr>
                <w:rFonts w:hint="eastAsi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restart"/>
          </w:tcPr>
          <w:p>
            <w:pPr>
              <w:pStyle w:val="19"/>
              <w:rPr>
                <w:rFonts w:ascii="方正小标宋简体"/>
                <w:sz w:val="18"/>
              </w:rPr>
            </w:pPr>
          </w:p>
          <w:p>
            <w:pPr>
              <w:pStyle w:val="19"/>
              <w:spacing w:before="3"/>
              <w:rPr>
                <w:rFonts w:ascii="方正小标宋简体"/>
                <w:sz w:val="12"/>
              </w:rPr>
            </w:pPr>
          </w:p>
          <w:p>
            <w:pPr>
              <w:pStyle w:val="19"/>
              <w:spacing w:before="1"/>
              <w:ind w:left="295" w:right="295"/>
              <w:jc w:val="center"/>
              <w:rPr>
                <w:sz w:val="18"/>
              </w:rPr>
            </w:pPr>
            <w:r>
              <w:rPr>
                <w:sz w:val="18"/>
              </w:rPr>
              <w:t>产出</w:t>
            </w:r>
          </w:p>
        </w:tc>
        <w:tc>
          <w:tcPr>
            <w:tcW w:w="916" w:type="dxa"/>
            <w:gridSpan w:val="2"/>
            <w:vMerge w:val="restart"/>
          </w:tcPr>
          <w:p>
            <w:pPr>
              <w:pStyle w:val="19"/>
              <w:rPr>
                <w:rFonts w:ascii="方正小标宋简体"/>
                <w:sz w:val="18"/>
              </w:rPr>
            </w:pPr>
          </w:p>
          <w:p>
            <w:pPr>
              <w:pStyle w:val="19"/>
              <w:rPr>
                <w:rFonts w:ascii="方正小标宋简体"/>
                <w:sz w:val="18"/>
              </w:rPr>
            </w:pPr>
          </w:p>
          <w:p>
            <w:pPr>
              <w:pStyle w:val="19"/>
              <w:rPr>
                <w:rFonts w:ascii="方正小标宋简体"/>
                <w:sz w:val="18"/>
              </w:rPr>
            </w:pPr>
          </w:p>
          <w:p>
            <w:pPr>
              <w:pStyle w:val="19"/>
              <w:rPr>
                <w:rFonts w:ascii="方正小标宋简体"/>
                <w:sz w:val="18"/>
              </w:rPr>
            </w:pPr>
          </w:p>
          <w:p>
            <w:pPr>
              <w:pStyle w:val="19"/>
              <w:spacing w:before="4"/>
              <w:rPr>
                <w:rFonts w:ascii="方正小标宋简体"/>
                <w:sz w:val="16"/>
              </w:rPr>
            </w:pPr>
          </w:p>
          <w:p>
            <w:pPr>
              <w:pStyle w:val="19"/>
              <w:ind w:left="297" w:right="297"/>
              <w:jc w:val="center"/>
              <w:rPr>
                <w:sz w:val="18"/>
              </w:rPr>
            </w:pPr>
            <w:r>
              <w:rPr>
                <w:sz w:val="18"/>
              </w:rPr>
              <w:t>60</w:t>
            </w:r>
          </w:p>
        </w:tc>
        <w:tc>
          <w:tcPr>
            <w:tcW w:w="1272" w:type="dxa"/>
            <w:gridSpan w:val="3"/>
          </w:tcPr>
          <w:p>
            <w:pPr>
              <w:pStyle w:val="19"/>
              <w:spacing w:before="6"/>
              <w:ind w:left="272"/>
              <w:rPr>
                <w:sz w:val="18"/>
              </w:rPr>
            </w:pPr>
            <w:r>
              <w:rPr>
                <w:sz w:val="18"/>
              </w:rPr>
              <w:t>产出数量</w:t>
            </w:r>
          </w:p>
        </w:tc>
        <w:tc>
          <w:tcPr>
            <w:tcW w:w="607" w:type="dxa"/>
          </w:tcPr>
          <w:p>
            <w:r>
              <w:rPr>
                <w:rFonts w:hint="eastAsia"/>
              </w:rPr>
              <w:t>7</w:t>
            </w:r>
          </w:p>
        </w:tc>
        <w:tc>
          <w:tcPr>
            <w:tcW w:w="2268" w:type="dxa"/>
            <w:gridSpan w:val="3"/>
          </w:tcPr>
          <w:p>
            <w:pPr>
              <w:pStyle w:val="19"/>
              <w:rPr>
                <w:rFonts w:ascii="方正小标宋简体"/>
                <w:sz w:val="11"/>
                <w:szCs w:val="11"/>
              </w:rPr>
            </w:pPr>
            <w:r>
              <w:rPr>
                <w:rFonts w:hint="eastAsia" w:asciiTheme="minorEastAsia" w:hAnsiTheme="minorEastAsia" w:eastAsiaTheme="minorEastAsia"/>
                <w:sz w:val="11"/>
                <w:szCs w:val="11"/>
              </w:rPr>
              <w:t>防止和减轻洪水、干旱灾害工作完成数量</w:t>
            </w:r>
          </w:p>
          <w:p>
            <w:pPr>
              <w:pStyle w:val="19"/>
              <w:rPr>
                <w:rFonts w:ascii="方正小标宋简体"/>
                <w:sz w:val="11"/>
                <w:szCs w:val="11"/>
              </w:rPr>
            </w:pPr>
          </w:p>
          <w:p>
            <w:pPr>
              <w:pStyle w:val="19"/>
              <w:spacing w:before="6"/>
              <w:rPr>
                <w:rFonts w:ascii="方正小标宋简体"/>
                <w:sz w:val="11"/>
                <w:szCs w:val="11"/>
              </w:rPr>
            </w:pPr>
          </w:p>
          <w:p>
            <w:pPr>
              <w:pStyle w:val="19"/>
              <w:spacing w:line="304" w:lineRule="auto"/>
              <w:ind w:left="108" w:right="86"/>
              <w:rPr>
                <w:sz w:val="11"/>
                <w:szCs w:val="11"/>
              </w:rPr>
            </w:pPr>
          </w:p>
        </w:tc>
        <w:tc>
          <w:tcPr>
            <w:tcW w:w="709" w:type="dxa"/>
            <w:gridSpan w:val="2"/>
          </w:tcPr>
          <w:p>
            <w:r>
              <w:rPr>
                <w:rFonts w:hint="eastAsia"/>
              </w:rPr>
              <w:t>7</w:t>
            </w:r>
          </w:p>
        </w:tc>
        <w:tc>
          <w:tcPr>
            <w:tcW w:w="1547" w:type="dxa"/>
          </w:tcPr>
          <w:p>
            <w:r>
              <w:rPr>
                <w:rFonts w:hint="eastAsia"/>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3"/>
          </w:tcPr>
          <w:p>
            <w:pPr>
              <w:pStyle w:val="19"/>
              <w:spacing w:before="5"/>
              <w:ind w:left="272"/>
              <w:rPr>
                <w:sz w:val="18"/>
              </w:rPr>
            </w:pPr>
            <w:r>
              <w:rPr>
                <w:sz w:val="18"/>
              </w:rPr>
              <w:t>产出质量</w:t>
            </w:r>
          </w:p>
        </w:tc>
        <w:tc>
          <w:tcPr>
            <w:tcW w:w="607" w:type="dxa"/>
            <w:tcBorders>
              <w:right w:val="single" w:color="auto" w:sz="4" w:space="0"/>
            </w:tcBorders>
          </w:tcPr>
          <w:p>
            <w:r>
              <w:rPr>
                <w:rFonts w:hint="eastAsia"/>
              </w:rPr>
              <w:t>7</w:t>
            </w:r>
          </w:p>
        </w:tc>
        <w:tc>
          <w:tcPr>
            <w:tcW w:w="2268" w:type="dxa"/>
            <w:gridSpan w:val="3"/>
            <w:tcBorders>
              <w:left w:val="single" w:color="auto" w:sz="4" w:space="0"/>
            </w:tcBorders>
          </w:tcPr>
          <w:p>
            <w:pPr>
              <w:pStyle w:val="19"/>
              <w:rPr>
                <w:rFonts w:ascii="方正小标宋简体"/>
                <w:sz w:val="11"/>
                <w:szCs w:val="11"/>
              </w:rPr>
            </w:pPr>
            <w:r>
              <w:rPr>
                <w:rFonts w:hint="eastAsia" w:asciiTheme="minorEastAsia" w:hAnsiTheme="minorEastAsia" w:eastAsiaTheme="minorEastAsia"/>
                <w:sz w:val="11"/>
                <w:szCs w:val="11"/>
              </w:rPr>
              <w:t>防止和减轻洪水、干旱灾害工作完成</w:t>
            </w:r>
            <w:r>
              <w:rPr>
                <w:rFonts w:hint="eastAsia"/>
                <w:sz w:val="11"/>
                <w:szCs w:val="11"/>
              </w:rPr>
              <w:t>达标率</w:t>
            </w:r>
          </w:p>
          <w:p>
            <w:pPr>
              <w:rPr>
                <w:sz w:val="11"/>
                <w:szCs w:val="11"/>
              </w:rPr>
            </w:pPr>
          </w:p>
        </w:tc>
        <w:tc>
          <w:tcPr>
            <w:tcW w:w="709" w:type="dxa"/>
            <w:gridSpan w:val="2"/>
          </w:tcPr>
          <w:p>
            <w:r>
              <w:rPr>
                <w:rFonts w:hint="eastAsia"/>
              </w:rPr>
              <w:t>7</w:t>
            </w:r>
          </w:p>
        </w:tc>
        <w:tc>
          <w:tcPr>
            <w:tcW w:w="1547" w:type="dxa"/>
          </w:tcPr>
          <w:p>
            <w:r>
              <w:rPr>
                <w:rFonts w:hint="eastAsia"/>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3"/>
          </w:tcPr>
          <w:p>
            <w:pPr>
              <w:pStyle w:val="19"/>
              <w:spacing w:before="5"/>
              <w:ind w:left="272"/>
              <w:rPr>
                <w:sz w:val="18"/>
              </w:rPr>
            </w:pPr>
            <w:r>
              <w:rPr>
                <w:sz w:val="18"/>
              </w:rPr>
              <w:t>产出时效</w:t>
            </w:r>
          </w:p>
        </w:tc>
        <w:tc>
          <w:tcPr>
            <w:tcW w:w="607" w:type="dxa"/>
            <w:tcBorders>
              <w:right w:val="single" w:color="auto" w:sz="4" w:space="0"/>
            </w:tcBorders>
          </w:tcPr>
          <w:p>
            <w:r>
              <w:rPr>
                <w:rFonts w:hint="eastAsia"/>
              </w:rPr>
              <w:t>7</w:t>
            </w:r>
          </w:p>
        </w:tc>
        <w:tc>
          <w:tcPr>
            <w:tcW w:w="2268" w:type="dxa"/>
            <w:gridSpan w:val="3"/>
            <w:tcBorders>
              <w:left w:val="single" w:color="auto" w:sz="4" w:space="0"/>
            </w:tcBorders>
          </w:tcPr>
          <w:p>
            <w:pPr>
              <w:pStyle w:val="19"/>
              <w:rPr>
                <w:rFonts w:ascii="方正小标宋简体"/>
                <w:sz w:val="11"/>
                <w:szCs w:val="11"/>
              </w:rPr>
            </w:pPr>
            <w:r>
              <w:rPr>
                <w:rFonts w:hint="eastAsia" w:asciiTheme="minorEastAsia" w:hAnsiTheme="minorEastAsia" w:eastAsiaTheme="minorEastAsia"/>
                <w:sz w:val="11"/>
                <w:szCs w:val="11"/>
              </w:rPr>
              <w:t>防止和减轻洪水、干旱灾害工作完成</w:t>
            </w:r>
            <w:r>
              <w:rPr>
                <w:rFonts w:hint="eastAsia"/>
                <w:sz w:val="11"/>
                <w:szCs w:val="11"/>
              </w:rPr>
              <w:t>及时率</w:t>
            </w:r>
          </w:p>
          <w:p>
            <w:pPr>
              <w:rPr>
                <w:sz w:val="11"/>
                <w:szCs w:val="11"/>
              </w:rPr>
            </w:pPr>
          </w:p>
        </w:tc>
        <w:tc>
          <w:tcPr>
            <w:tcW w:w="709" w:type="dxa"/>
            <w:gridSpan w:val="2"/>
          </w:tcPr>
          <w:p>
            <w:r>
              <w:rPr>
                <w:rFonts w:hint="eastAsia"/>
              </w:rPr>
              <w:t>7</w:t>
            </w:r>
          </w:p>
        </w:tc>
        <w:tc>
          <w:tcPr>
            <w:tcW w:w="1547" w:type="dxa"/>
          </w:tcPr>
          <w:p>
            <w:r>
              <w:rPr>
                <w:rFonts w:hint="eastAsi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3"/>
          </w:tcPr>
          <w:p>
            <w:pPr>
              <w:pStyle w:val="19"/>
              <w:spacing w:before="7"/>
              <w:ind w:left="272"/>
              <w:rPr>
                <w:sz w:val="18"/>
              </w:rPr>
            </w:pPr>
            <w:r>
              <w:rPr>
                <w:sz w:val="18"/>
              </w:rPr>
              <w:t>产出成本</w:t>
            </w:r>
          </w:p>
        </w:tc>
        <w:tc>
          <w:tcPr>
            <w:tcW w:w="607" w:type="dxa"/>
            <w:tcBorders>
              <w:right w:val="single" w:color="auto" w:sz="4" w:space="0"/>
            </w:tcBorders>
          </w:tcPr>
          <w:p>
            <w:r>
              <w:rPr>
                <w:rFonts w:hint="eastAsia"/>
              </w:rPr>
              <w:t>7</w:t>
            </w:r>
          </w:p>
        </w:tc>
        <w:tc>
          <w:tcPr>
            <w:tcW w:w="2268" w:type="dxa"/>
            <w:gridSpan w:val="3"/>
            <w:tcBorders>
              <w:left w:val="single" w:color="auto" w:sz="4" w:space="0"/>
            </w:tcBorders>
          </w:tcPr>
          <w:p>
            <w:pPr>
              <w:rPr>
                <w:rFonts w:asciiTheme="minorEastAsia" w:hAnsiTheme="minorEastAsia"/>
                <w:sz w:val="11"/>
                <w:szCs w:val="11"/>
              </w:rPr>
            </w:pPr>
            <w:r>
              <w:rPr>
                <w:rFonts w:hint="eastAsia"/>
                <w:sz w:val="11"/>
                <w:szCs w:val="11"/>
              </w:rPr>
              <w:t xml:space="preserve"> </w:t>
            </w:r>
            <w:r>
              <w:rPr>
                <w:rFonts w:hint="eastAsia" w:asciiTheme="minorEastAsia" w:hAnsiTheme="minorEastAsia"/>
                <w:sz w:val="11"/>
                <w:szCs w:val="11"/>
              </w:rPr>
              <w:t>100%</w:t>
            </w:r>
          </w:p>
        </w:tc>
        <w:tc>
          <w:tcPr>
            <w:tcW w:w="709" w:type="dxa"/>
            <w:gridSpan w:val="2"/>
          </w:tcPr>
          <w:p>
            <w:r>
              <w:rPr>
                <w:rFonts w:hint="eastAsia"/>
              </w:rPr>
              <w:t>7</w:t>
            </w:r>
          </w:p>
        </w:tc>
        <w:tc>
          <w:tcPr>
            <w:tcW w:w="1547" w:type="dxa"/>
          </w:tcPr>
          <w:p>
            <w:r>
              <w:rPr>
                <w:rFonts w:hint="eastAsia"/>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restart"/>
          </w:tcPr>
          <w:p>
            <w:pPr>
              <w:pStyle w:val="19"/>
              <w:rPr>
                <w:rFonts w:ascii="方正小标宋简体"/>
                <w:sz w:val="18"/>
              </w:rPr>
            </w:pPr>
          </w:p>
          <w:p>
            <w:pPr>
              <w:pStyle w:val="19"/>
              <w:rPr>
                <w:rFonts w:ascii="方正小标宋简体"/>
                <w:sz w:val="18"/>
              </w:rPr>
            </w:pPr>
          </w:p>
          <w:p>
            <w:pPr>
              <w:pStyle w:val="19"/>
              <w:spacing w:before="2"/>
              <w:rPr>
                <w:rFonts w:ascii="方正小标宋简体"/>
                <w:sz w:val="14"/>
              </w:rPr>
            </w:pPr>
          </w:p>
          <w:p>
            <w:pPr>
              <w:pStyle w:val="19"/>
              <w:ind w:left="295" w:right="295"/>
              <w:jc w:val="center"/>
              <w:rPr>
                <w:sz w:val="18"/>
              </w:rPr>
            </w:pPr>
            <w:r>
              <w:rPr>
                <w:sz w:val="18"/>
              </w:rPr>
              <w:t>效益</w:t>
            </w:r>
          </w:p>
        </w:tc>
        <w:tc>
          <w:tcPr>
            <w:tcW w:w="916" w:type="dxa"/>
            <w:gridSpan w:val="2"/>
            <w:vMerge w:val="continue"/>
          </w:tcPr>
          <w:p/>
        </w:tc>
        <w:tc>
          <w:tcPr>
            <w:tcW w:w="1272" w:type="dxa"/>
            <w:gridSpan w:val="3"/>
          </w:tcPr>
          <w:p>
            <w:pPr>
              <w:pStyle w:val="19"/>
              <w:spacing w:before="6"/>
              <w:ind w:left="272"/>
              <w:rPr>
                <w:sz w:val="18"/>
              </w:rPr>
            </w:pPr>
            <w:r>
              <w:rPr>
                <w:sz w:val="18"/>
              </w:rPr>
              <w:t>经济效益</w:t>
            </w:r>
          </w:p>
        </w:tc>
        <w:tc>
          <w:tcPr>
            <w:tcW w:w="607" w:type="dxa"/>
            <w:tcBorders>
              <w:right w:val="single" w:color="auto" w:sz="4" w:space="0"/>
            </w:tcBorders>
          </w:tcPr>
          <w:p>
            <w:r>
              <w:rPr>
                <w:rFonts w:hint="eastAsia"/>
              </w:rPr>
              <w:t>7</w:t>
            </w:r>
          </w:p>
        </w:tc>
        <w:tc>
          <w:tcPr>
            <w:tcW w:w="2268" w:type="dxa"/>
            <w:gridSpan w:val="3"/>
            <w:tcBorders>
              <w:left w:val="single" w:color="auto" w:sz="4" w:space="0"/>
            </w:tcBorders>
          </w:tcPr>
          <w:p>
            <w:pPr>
              <w:rPr>
                <w:sz w:val="11"/>
                <w:szCs w:val="11"/>
              </w:rPr>
            </w:pPr>
            <w:r>
              <w:rPr>
                <w:rFonts w:hint="eastAsia" w:asciiTheme="minorEastAsia" w:hAnsiTheme="minorEastAsia"/>
                <w:color w:val="000000"/>
                <w:sz w:val="11"/>
                <w:szCs w:val="11"/>
              </w:rPr>
              <w:t>减少洪水灾害事故带来的直接和间接经济损失</w:t>
            </w:r>
          </w:p>
        </w:tc>
        <w:tc>
          <w:tcPr>
            <w:tcW w:w="709" w:type="dxa"/>
            <w:gridSpan w:val="2"/>
          </w:tcPr>
          <w:p>
            <w:r>
              <w:rPr>
                <w:rFonts w:hint="eastAsia"/>
              </w:rPr>
              <w:t>7</w:t>
            </w:r>
          </w:p>
        </w:tc>
        <w:tc>
          <w:tcPr>
            <w:tcW w:w="1547" w:type="dxa"/>
          </w:tcPr>
          <w:p>
            <w:r>
              <w:rPr>
                <w:rFonts w:hint="eastAsi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3"/>
          </w:tcPr>
          <w:p>
            <w:pPr>
              <w:pStyle w:val="19"/>
              <w:spacing w:before="6"/>
              <w:ind w:left="272"/>
              <w:rPr>
                <w:sz w:val="18"/>
              </w:rPr>
            </w:pPr>
            <w:r>
              <w:rPr>
                <w:sz w:val="18"/>
              </w:rPr>
              <w:t>社会效益</w:t>
            </w:r>
          </w:p>
        </w:tc>
        <w:tc>
          <w:tcPr>
            <w:tcW w:w="607" w:type="dxa"/>
            <w:tcBorders>
              <w:right w:val="single" w:color="auto" w:sz="4" w:space="0"/>
            </w:tcBorders>
          </w:tcPr>
          <w:p>
            <w:r>
              <w:rPr>
                <w:rFonts w:hint="eastAsia"/>
              </w:rPr>
              <w:t>7</w:t>
            </w:r>
          </w:p>
        </w:tc>
        <w:tc>
          <w:tcPr>
            <w:tcW w:w="2268" w:type="dxa"/>
            <w:gridSpan w:val="3"/>
            <w:tcBorders>
              <w:left w:val="single" w:color="auto" w:sz="4" w:space="0"/>
            </w:tcBorders>
          </w:tcPr>
          <w:p>
            <w:pPr>
              <w:rPr>
                <w:rFonts w:asciiTheme="minorEastAsia" w:hAnsiTheme="minorEastAsia"/>
                <w:sz w:val="11"/>
                <w:szCs w:val="11"/>
              </w:rPr>
            </w:pPr>
            <w:r>
              <w:rPr>
                <w:rFonts w:hint="eastAsia" w:asciiTheme="minorEastAsia" w:hAnsiTheme="minorEastAsia"/>
                <w:sz w:val="11"/>
                <w:szCs w:val="11"/>
              </w:rPr>
              <w:t>有效应对自然灾害，减少人员伤亡和财产损失</w:t>
            </w:r>
          </w:p>
        </w:tc>
        <w:tc>
          <w:tcPr>
            <w:tcW w:w="709" w:type="dxa"/>
            <w:gridSpan w:val="2"/>
          </w:tcPr>
          <w:p>
            <w:r>
              <w:rPr>
                <w:rFonts w:hint="eastAsia"/>
              </w:rPr>
              <w:t>7</w:t>
            </w:r>
          </w:p>
        </w:tc>
        <w:tc>
          <w:tcPr>
            <w:tcW w:w="1547" w:type="dxa"/>
          </w:tcPr>
          <w:p>
            <w:r>
              <w:rPr>
                <w:rFonts w:hint="eastAsi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3"/>
          </w:tcPr>
          <w:p>
            <w:pPr>
              <w:pStyle w:val="19"/>
              <w:spacing w:before="6"/>
              <w:ind w:left="272"/>
              <w:rPr>
                <w:sz w:val="18"/>
              </w:rPr>
            </w:pPr>
            <w:r>
              <w:rPr>
                <w:sz w:val="18"/>
              </w:rPr>
              <w:t>环境效益</w:t>
            </w:r>
          </w:p>
        </w:tc>
        <w:tc>
          <w:tcPr>
            <w:tcW w:w="607" w:type="dxa"/>
            <w:tcBorders>
              <w:right w:val="single" w:color="auto" w:sz="4" w:space="0"/>
            </w:tcBorders>
          </w:tcPr>
          <w:p>
            <w:r>
              <w:rPr>
                <w:rFonts w:hint="eastAsia"/>
              </w:rPr>
              <w:t>6</w:t>
            </w:r>
          </w:p>
        </w:tc>
        <w:tc>
          <w:tcPr>
            <w:tcW w:w="2268" w:type="dxa"/>
            <w:gridSpan w:val="3"/>
            <w:tcBorders>
              <w:left w:val="single" w:color="auto" w:sz="4" w:space="0"/>
            </w:tcBorders>
          </w:tcPr>
          <w:p>
            <w:pPr>
              <w:rPr>
                <w:rFonts w:asciiTheme="minorEastAsia" w:hAnsiTheme="minorEastAsia"/>
                <w:sz w:val="11"/>
                <w:szCs w:val="11"/>
              </w:rPr>
            </w:pPr>
            <w:r>
              <w:rPr>
                <w:rFonts w:hint="eastAsia" w:asciiTheme="minorEastAsia" w:hAnsiTheme="minorEastAsia"/>
                <w:sz w:val="11"/>
                <w:szCs w:val="11"/>
              </w:rPr>
              <w:t>促进和谐稳定的生活环境</w:t>
            </w:r>
          </w:p>
        </w:tc>
        <w:tc>
          <w:tcPr>
            <w:tcW w:w="709" w:type="dxa"/>
            <w:gridSpan w:val="2"/>
          </w:tcPr>
          <w:p>
            <w:r>
              <w:rPr>
                <w:rFonts w:hint="eastAsia"/>
              </w:rPr>
              <w:t>6</w:t>
            </w:r>
          </w:p>
        </w:tc>
        <w:tc>
          <w:tcPr>
            <w:tcW w:w="1547" w:type="dxa"/>
          </w:tcPr>
          <w:p>
            <w:r>
              <w:rPr>
                <w:rFonts w:hint="eastAsi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continue"/>
          </w:tcPr>
          <w:p/>
        </w:tc>
        <w:tc>
          <w:tcPr>
            <w:tcW w:w="916" w:type="dxa"/>
            <w:gridSpan w:val="2"/>
            <w:vMerge w:val="continue"/>
          </w:tcPr>
          <w:p/>
        </w:tc>
        <w:tc>
          <w:tcPr>
            <w:tcW w:w="1272" w:type="dxa"/>
            <w:gridSpan w:val="3"/>
          </w:tcPr>
          <w:p>
            <w:pPr>
              <w:pStyle w:val="19"/>
              <w:spacing w:before="5"/>
              <w:ind w:left="180"/>
              <w:rPr>
                <w:sz w:val="18"/>
              </w:rPr>
            </w:pPr>
            <w:r>
              <w:rPr>
                <w:sz w:val="18"/>
              </w:rPr>
              <w:t>可持续影响</w:t>
            </w:r>
          </w:p>
        </w:tc>
        <w:tc>
          <w:tcPr>
            <w:tcW w:w="607" w:type="dxa"/>
            <w:tcBorders>
              <w:right w:val="single" w:color="auto" w:sz="4" w:space="0"/>
            </w:tcBorders>
          </w:tcPr>
          <w:p>
            <w:r>
              <w:rPr>
                <w:rFonts w:hint="eastAsia"/>
              </w:rPr>
              <w:t>6</w:t>
            </w:r>
          </w:p>
        </w:tc>
        <w:tc>
          <w:tcPr>
            <w:tcW w:w="2268" w:type="dxa"/>
            <w:gridSpan w:val="3"/>
            <w:tcBorders>
              <w:left w:val="single" w:color="auto" w:sz="4" w:space="0"/>
            </w:tcBorders>
          </w:tcPr>
          <w:p>
            <w:pPr>
              <w:rPr>
                <w:rFonts w:asciiTheme="minorEastAsia" w:hAnsiTheme="minorEastAsia"/>
                <w:sz w:val="11"/>
                <w:szCs w:val="11"/>
              </w:rPr>
            </w:pPr>
            <w:r>
              <w:rPr>
                <w:rFonts w:hint="eastAsia" w:asciiTheme="minorEastAsia" w:hAnsiTheme="minorEastAsia"/>
                <w:sz w:val="11"/>
                <w:szCs w:val="11"/>
              </w:rPr>
              <w:t>应对洪水、干旱灾害持续性</w:t>
            </w:r>
          </w:p>
        </w:tc>
        <w:tc>
          <w:tcPr>
            <w:tcW w:w="709" w:type="dxa"/>
            <w:gridSpan w:val="2"/>
          </w:tcPr>
          <w:p>
            <w:r>
              <w:rPr>
                <w:rFonts w:hint="eastAsia"/>
              </w:rPr>
              <w:t>6</w:t>
            </w:r>
          </w:p>
        </w:tc>
        <w:tc>
          <w:tcPr>
            <w:tcW w:w="1547" w:type="dxa"/>
          </w:tcPr>
          <w:p>
            <w:r>
              <w:rPr>
                <w:rFonts w:hint="eastAsi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exact"/>
          <w:jc w:val="center"/>
        </w:trPr>
        <w:tc>
          <w:tcPr>
            <w:tcW w:w="1361" w:type="dxa"/>
            <w:vMerge w:val="continue"/>
          </w:tcPr>
          <w:p/>
        </w:tc>
        <w:tc>
          <w:tcPr>
            <w:tcW w:w="916" w:type="dxa"/>
            <w:gridSpan w:val="2"/>
            <w:vMerge w:val="continue"/>
          </w:tcPr>
          <w:p/>
        </w:tc>
        <w:tc>
          <w:tcPr>
            <w:tcW w:w="1272" w:type="dxa"/>
            <w:gridSpan w:val="3"/>
          </w:tcPr>
          <w:p>
            <w:pPr>
              <w:pStyle w:val="19"/>
              <w:spacing w:before="137"/>
              <w:ind w:left="360"/>
              <w:rPr>
                <w:sz w:val="18"/>
              </w:rPr>
            </w:pPr>
            <w:r>
              <w:rPr>
                <w:sz w:val="18"/>
              </w:rPr>
              <w:t>满意度</w:t>
            </w:r>
          </w:p>
        </w:tc>
        <w:tc>
          <w:tcPr>
            <w:tcW w:w="607" w:type="dxa"/>
          </w:tcPr>
          <w:p>
            <w:r>
              <w:rPr>
                <w:rFonts w:hint="eastAsia"/>
              </w:rPr>
              <w:t>6</w:t>
            </w:r>
          </w:p>
        </w:tc>
        <w:tc>
          <w:tcPr>
            <w:tcW w:w="2268" w:type="dxa"/>
            <w:gridSpan w:val="3"/>
          </w:tcPr>
          <w:p>
            <w:pPr>
              <w:pStyle w:val="19"/>
              <w:spacing w:line="285" w:lineRule="auto"/>
              <w:ind w:left="648" w:right="86" w:hanging="540"/>
              <w:rPr>
                <w:rFonts w:asciiTheme="minorEastAsia" w:hAnsiTheme="minorEastAsia" w:eastAsiaTheme="minorEastAsia"/>
                <w:sz w:val="11"/>
                <w:szCs w:val="11"/>
              </w:rPr>
            </w:pPr>
            <w:r>
              <w:rPr>
                <w:rFonts w:hint="eastAsia" w:asciiTheme="minorEastAsia" w:hAnsiTheme="minorEastAsia" w:eastAsiaTheme="minorEastAsia"/>
                <w:sz w:val="11"/>
                <w:szCs w:val="11"/>
              </w:rPr>
              <w:t>服务对像</w:t>
            </w:r>
            <w:r>
              <w:rPr>
                <w:rFonts w:asciiTheme="minorEastAsia" w:hAnsiTheme="minorEastAsia" w:eastAsiaTheme="minorEastAsia"/>
                <w:sz w:val="11"/>
                <w:szCs w:val="11"/>
              </w:rPr>
              <w:t>满意度</w:t>
            </w:r>
          </w:p>
        </w:tc>
        <w:tc>
          <w:tcPr>
            <w:tcW w:w="709" w:type="dxa"/>
            <w:gridSpan w:val="2"/>
          </w:tcPr>
          <w:p>
            <w:r>
              <w:rPr>
                <w:rFonts w:hint="eastAsia"/>
              </w:rPr>
              <w:t>6</w:t>
            </w:r>
          </w:p>
        </w:tc>
        <w:tc>
          <w:tcPr>
            <w:tcW w:w="1547" w:type="dxa"/>
          </w:tcPr>
          <w:p>
            <w:r>
              <w:rPr>
                <w:rFonts w:hint="eastAsi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tcPr>
          <w:p>
            <w:pPr>
              <w:pStyle w:val="19"/>
              <w:spacing w:before="6"/>
              <w:ind w:left="295" w:right="295"/>
              <w:jc w:val="center"/>
              <w:rPr>
                <w:sz w:val="18"/>
              </w:rPr>
            </w:pPr>
            <w:r>
              <w:rPr>
                <w:sz w:val="18"/>
              </w:rPr>
              <w:t>总分</w:t>
            </w:r>
          </w:p>
        </w:tc>
        <w:tc>
          <w:tcPr>
            <w:tcW w:w="916" w:type="dxa"/>
            <w:gridSpan w:val="2"/>
          </w:tcPr>
          <w:p>
            <w:pPr>
              <w:pStyle w:val="19"/>
              <w:spacing w:before="6"/>
              <w:ind w:left="298" w:right="297"/>
              <w:jc w:val="center"/>
              <w:rPr>
                <w:sz w:val="18"/>
              </w:rPr>
            </w:pPr>
            <w:r>
              <w:rPr>
                <w:sz w:val="18"/>
              </w:rPr>
              <w:t>100</w:t>
            </w:r>
          </w:p>
        </w:tc>
        <w:tc>
          <w:tcPr>
            <w:tcW w:w="1272" w:type="dxa"/>
            <w:gridSpan w:val="3"/>
          </w:tcPr>
          <w:p/>
        </w:tc>
        <w:tc>
          <w:tcPr>
            <w:tcW w:w="607" w:type="dxa"/>
          </w:tcPr>
          <w:p>
            <w:pPr>
              <w:pStyle w:val="19"/>
              <w:spacing w:before="6"/>
              <w:ind w:left="238"/>
              <w:rPr>
                <w:sz w:val="18"/>
              </w:rPr>
            </w:pPr>
            <w:r>
              <w:rPr>
                <w:sz w:val="18"/>
              </w:rPr>
              <w:t>100</w:t>
            </w:r>
          </w:p>
        </w:tc>
        <w:tc>
          <w:tcPr>
            <w:tcW w:w="2268" w:type="dxa"/>
            <w:gridSpan w:val="3"/>
          </w:tcPr>
          <w:p/>
        </w:tc>
        <w:tc>
          <w:tcPr>
            <w:tcW w:w="709" w:type="dxa"/>
            <w:gridSpan w:val="2"/>
          </w:tcPr>
          <w:p>
            <w:pPr>
              <w:pStyle w:val="19"/>
              <w:spacing w:before="6"/>
              <w:ind w:left="248"/>
              <w:rPr>
                <w:sz w:val="18"/>
              </w:rPr>
            </w:pPr>
            <w:r>
              <w:rPr>
                <w:sz w:val="18"/>
              </w:rPr>
              <w:t>100</w:t>
            </w:r>
          </w:p>
        </w:tc>
        <w:tc>
          <w:tcPr>
            <w:tcW w:w="1547" w:type="dxa"/>
          </w:tcPr>
          <w:p>
            <w:r>
              <w:rPr>
                <w:rFonts w:hint="eastAsia"/>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361" w:type="dxa"/>
            <w:vMerge w:val="restart"/>
          </w:tcPr>
          <w:p>
            <w:pPr>
              <w:pStyle w:val="19"/>
              <w:rPr>
                <w:rFonts w:ascii="方正小标宋简体"/>
                <w:sz w:val="19"/>
              </w:rPr>
            </w:pPr>
          </w:p>
          <w:p>
            <w:pPr>
              <w:pStyle w:val="19"/>
              <w:ind w:left="307"/>
              <w:rPr>
                <w:sz w:val="18"/>
              </w:rPr>
            </w:pPr>
            <w:r>
              <w:rPr>
                <w:sz w:val="18"/>
              </w:rPr>
              <w:t>评价等次</w:t>
            </w:r>
          </w:p>
        </w:tc>
        <w:tc>
          <w:tcPr>
            <w:tcW w:w="7319" w:type="dxa"/>
            <w:gridSpan w:val="12"/>
          </w:tcPr>
          <w:p>
            <w:pPr>
              <w:pStyle w:val="19"/>
              <w:tabs>
                <w:tab w:val="left" w:pos="2971"/>
                <w:tab w:val="left" w:pos="3959"/>
                <w:tab w:val="left" w:pos="5039"/>
              </w:tabs>
              <w:spacing w:before="30"/>
              <w:ind w:left="1891"/>
              <w:rPr>
                <w:sz w:val="18"/>
              </w:rPr>
            </w:pPr>
            <w:r>
              <w:rPr>
                <w:sz w:val="18"/>
              </w:rPr>
              <w:t>优□√良□</w:t>
            </w:r>
            <w:r>
              <w:rPr>
                <w:sz w:val="18"/>
              </w:rPr>
              <w:tab/>
            </w:r>
            <w:r>
              <w:rPr>
                <w:sz w:val="18"/>
              </w:rPr>
              <w:t>中</w:t>
            </w:r>
            <w:r>
              <w:rPr>
                <w:spacing w:val="1"/>
                <w:sz w:val="18"/>
              </w:rPr>
              <w:t xml:space="preserve"> </w:t>
            </w:r>
            <w:r>
              <w:rPr>
                <w:sz w:val="18"/>
              </w:rPr>
              <w:t>□</w:t>
            </w:r>
            <w:r>
              <w:rPr>
                <w:sz w:val="18"/>
              </w:rPr>
              <w:tab/>
            </w:r>
            <w:r>
              <w:rPr>
                <w:sz w:val="18"/>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exact"/>
          <w:jc w:val="center"/>
        </w:trPr>
        <w:tc>
          <w:tcPr>
            <w:tcW w:w="1361" w:type="dxa"/>
            <w:vMerge w:val="continue"/>
          </w:tcPr>
          <w:p/>
        </w:tc>
        <w:tc>
          <w:tcPr>
            <w:tcW w:w="7319" w:type="dxa"/>
            <w:gridSpan w:val="12"/>
          </w:tcPr>
          <w:p>
            <w:pPr>
              <w:pStyle w:val="19"/>
              <w:spacing w:line="260" w:lineRule="exact"/>
              <w:ind w:left="86" w:right="93"/>
            </w:pPr>
            <w:r>
              <w:t>90（含）-100</w:t>
            </w:r>
            <w:r>
              <w:rPr>
                <w:spacing w:val="-12"/>
              </w:rPr>
              <w:t xml:space="preserve"> 分为优、</w:t>
            </w:r>
            <w:r>
              <w:t>80（含）-90</w:t>
            </w:r>
            <w:r>
              <w:rPr>
                <w:spacing w:val="-12"/>
              </w:rPr>
              <w:t xml:space="preserve"> 分为良、</w:t>
            </w:r>
            <w:r>
              <w:t>60（含）-80</w:t>
            </w:r>
            <w:r>
              <w:rPr>
                <w:spacing w:val="-12"/>
              </w:rPr>
              <w:t xml:space="preserve"> 分为中、</w:t>
            </w:r>
            <w:r>
              <w:t>60</w:t>
            </w:r>
            <w:r>
              <w:rPr>
                <w:spacing w:val="-15"/>
              </w:rPr>
              <w:t xml:space="preserve"> 分以下</w:t>
            </w:r>
            <w:r>
              <w:rPr>
                <w:spacing w:val="-1"/>
                <w:w w:val="95"/>
              </w:rPr>
              <w:t>为差</w:t>
            </w:r>
          </w:p>
        </w:tc>
      </w:tr>
    </w:tbl>
    <w:p>
      <w:pPr>
        <w:rPr>
          <w:rFonts w:asciiTheme="minorEastAsia" w:hAnsiTheme="min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4222E"/>
    <w:multiLevelType w:val="singleLevel"/>
    <w:tmpl w:val="D564222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BA9"/>
    <w:rsid w:val="00053481"/>
    <w:rsid w:val="000A160F"/>
    <w:rsid w:val="000D0F62"/>
    <w:rsid w:val="0011089F"/>
    <w:rsid w:val="001460DF"/>
    <w:rsid w:val="001D4A64"/>
    <w:rsid w:val="002738C0"/>
    <w:rsid w:val="002E49BC"/>
    <w:rsid w:val="003F2F09"/>
    <w:rsid w:val="0043243A"/>
    <w:rsid w:val="00470E59"/>
    <w:rsid w:val="004762A9"/>
    <w:rsid w:val="004C51AC"/>
    <w:rsid w:val="004E1E9B"/>
    <w:rsid w:val="005243DC"/>
    <w:rsid w:val="00543C17"/>
    <w:rsid w:val="00586A8F"/>
    <w:rsid w:val="005A4306"/>
    <w:rsid w:val="00634C1C"/>
    <w:rsid w:val="006C18AA"/>
    <w:rsid w:val="007D5FC2"/>
    <w:rsid w:val="0082422B"/>
    <w:rsid w:val="009A7760"/>
    <w:rsid w:val="00A279CA"/>
    <w:rsid w:val="00A41636"/>
    <w:rsid w:val="00A928B8"/>
    <w:rsid w:val="00C46C07"/>
    <w:rsid w:val="00C960B1"/>
    <w:rsid w:val="00D47BA2"/>
    <w:rsid w:val="00DC46D7"/>
    <w:rsid w:val="00E221B4"/>
    <w:rsid w:val="00E57BA9"/>
    <w:rsid w:val="00EA60CA"/>
    <w:rsid w:val="00F719D4"/>
    <w:rsid w:val="00FA6439"/>
    <w:rsid w:val="00FB5454"/>
    <w:rsid w:val="22503D72"/>
    <w:rsid w:val="27630D95"/>
    <w:rsid w:val="2B934DD8"/>
    <w:rsid w:val="2BD651C7"/>
    <w:rsid w:val="2D686FDC"/>
    <w:rsid w:val="357C44E8"/>
    <w:rsid w:val="40A52BB6"/>
    <w:rsid w:val="415531ED"/>
    <w:rsid w:val="5E905D50"/>
    <w:rsid w:val="7DB0522C"/>
    <w:rsid w:val="7E89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line="576" w:lineRule="auto"/>
      <w:outlineLvl w:val="0"/>
    </w:pPr>
    <w:rPr>
      <w:rFonts w:eastAsia="宋体"/>
      <w:b/>
      <w:kern w:val="44"/>
      <w:sz w:val="44"/>
      <w:szCs w:val="20"/>
    </w:rPr>
  </w:style>
  <w:style w:type="paragraph" w:styleId="3">
    <w:name w:val="heading 2"/>
    <w:basedOn w:val="1"/>
    <w:next w:val="1"/>
    <w:link w:val="15"/>
    <w:semiHidden/>
    <w:unhideWhenUsed/>
    <w:qFormat/>
    <w:uiPriority w:val="99"/>
    <w:pPr>
      <w:keepNext/>
      <w:keepLines/>
      <w:spacing w:before="260" w:after="260" w:line="360" w:lineRule="auto"/>
      <w:outlineLvl w:val="1"/>
    </w:pPr>
    <w:rPr>
      <w:rFonts w:ascii="Arial" w:hAnsi="Arial" w:eastAsia="宋体" w:cs="Arial"/>
      <w:b/>
      <w:bCs/>
      <w:kern w:val="0"/>
      <w:sz w:val="32"/>
      <w:szCs w:val="32"/>
    </w:rPr>
  </w:style>
  <w:style w:type="paragraph" w:styleId="4">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unhideWhenUsed/>
    <w:qFormat/>
    <w:uiPriority w:val="1"/>
    <w:pPr>
      <w:autoSpaceDE w:val="0"/>
      <w:autoSpaceDN w:val="0"/>
      <w:jc w:val="left"/>
    </w:pPr>
    <w:rPr>
      <w:rFonts w:ascii="仿宋_GB2312" w:hAnsi="仿宋_GB2312" w:eastAsia="仿宋_GB2312" w:cs="仿宋_GB2312"/>
      <w:kern w:val="0"/>
      <w:sz w:val="32"/>
      <w:szCs w:val="32"/>
      <w:lang w:eastAsia="en-US"/>
    </w:rPr>
  </w:style>
  <w:style w:type="paragraph" w:styleId="6">
    <w:name w:val="toc 3"/>
    <w:basedOn w:val="1"/>
    <w:next w:val="1"/>
    <w:semiHidden/>
    <w:unhideWhenUsed/>
    <w:qFormat/>
    <w:uiPriority w:val="39"/>
    <w:pPr>
      <w:ind w:left="840" w:leftChars="400"/>
    </w:pPr>
  </w:style>
  <w:style w:type="paragraph" w:styleId="7">
    <w:name w:val="Balloon Text"/>
    <w:basedOn w:val="1"/>
    <w:link w:val="24"/>
    <w:semiHidden/>
    <w:unhideWhenUsed/>
    <w:qFormat/>
    <w:uiPriority w:val="99"/>
    <w:rPr>
      <w:sz w:val="18"/>
      <w:szCs w:val="18"/>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character" w:customStyle="1" w:styleId="14">
    <w:name w:val="标题 1 Char"/>
    <w:basedOn w:val="13"/>
    <w:link w:val="2"/>
    <w:qFormat/>
    <w:uiPriority w:val="9"/>
    <w:rPr>
      <w:rFonts w:eastAsia="宋体"/>
      <w:b/>
      <w:kern w:val="44"/>
      <w:sz w:val="44"/>
      <w:szCs w:val="20"/>
    </w:rPr>
  </w:style>
  <w:style w:type="character" w:customStyle="1" w:styleId="15">
    <w:name w:val="标题 2 Char"/>
    <w:basedOn w:val="13"/>
    <w:link w:val="3"/>
    <w:semiHidden/>
    <w:qFormat/>
    <w:uiPriority w:val="99"/>
    <w:rPr>
      <w:rFonts w:ascii="Arial" w:hAnsi="Arial" w:eastAsia="宋体" w:cs="Arial"/>
      <w:b/>
      <w:bCs/>
      <w:kern w:val="0"/>
      <w:sz w:val="32"/>
      <w:szCs w:val="32"/>
    </w:rPr>
  </w:style>
  <w:style w:type="character" w:customStyle="1" w:styleId="16">
    <w:name w:val="正文文本 Char"/>
    <w:basedOn w:val="13"/>
    <w:link w:val="5"/>
    <w:qFormat/>
    <w:uiPriority w:val="1"/>
    <w:rPr>
      <w:rFonts w:ascii="仿宋_GB2312" w:hAnsi="仿宋_GB2312" w:eastAsia="仿宋_GB2312" w:cs="仿宋_GB2312"/>
      <w:kern w:val="0"/>
      <w:sz w:val="32"/>
      <w:szCs w:val="32"/>
      <w:lang w:eastAsia="en-US"/>
    </w:rPr>
  </w:style>
  <w:style w:type="character" w:customStyle="1" w:styleId="17">
    <w:name w:val="标题 3 Char"/>
    <w:basedOn w:val="13"/>
    <w:link w:val="4"/>
    <w:semiHidden/>
    <w:qFormat/>
    <w:uiPriority w:val="9"/>
    <w:rPr>
      <w:b/>
      <w:bCs/>
      <w:sz w:val="32"/>
      <w:szCs w:val="32"/>
    </w:rPr>
  </w:style>
  <w:style w:type="paragraph" w:styleId="18">
    <w:name w:val="List Paragraph"/>
    <w:basedOn w:val="1"/>
    <w:qFormat/>
    <w:uiPriority w:val="34"/>
    <w:pPr>
      <w:ind w:firstLine="420" w:firstLineChars="200"/>
    </w:pPr>
  </w:style>
  <w:style w:type="paragraph" w:customStyle="1" w:styleId="19">
    <w:name w:val="Table Paragraph"/>
    <w:basedOn w:val="1"/>
    <w:qFormat/>
    <w:uiPriority w:val="1"/>
    <w:rPr>
      <w:rFonts w:ascii="宋体" w:hAnsi="宋体" w:eastAsia="宋体" w:cs="宋体"/>
    </w:rPr>
  </w:style>
  <w:style w:type="paragraph" w:customStyle="1" w:styleId="20">
    <w:name w:val="正文1 Char Char Char"/>
    <w:basedOn w:val="1"/>
    <w:qFormat/>
    <w:uiPriority w:val="0"/>
    <w:pPr>
      <w:spacing w:line="360" w:lineRule="auto"/>
      <w:ind w:firstLine="200" w:firstLineChars="200"/>
    </w:pPr>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3">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3827</Words>
  <Characters>2161</Characters>
  <Lines>18</Lines>
  <Paragraphs>11</Paragraphs>
  <TotalTime>40</TotalTime>
  <ScaleCrop>false</ScaleCrop>
  <LinksUpToDate>false</LinksUpToDate>
  <CharactersWithSpaces>5977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2021-06-16T09:04:00Z</dcterms:created>
  <dc:creator>xb21cn</dc:creator>
  <cp:lastModifiedBy>pc-1</cp:lastModifiedBy>
  <dcterms:modified xsi:type="dcterms:W3CDTF">2021-06-21T01:46:44Z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FF5629D6C9CC43269464D6C3AE9E587E</vt:lpwstr>
  </property>
</Properties>
</file>