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36A80">
      <w:pPr>
        <w:pStyle w:val="2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color w:val="auto"/>
          <w:sz w:val="44"/>
          <w:szCs w:val="44"/>
        </w:rPr>
        <w:t>《浮梁县深化数字政府建设集约化改革工作方案》政策解读</w:t>
      </w:r>
    </w:p>
    <w:p w14:paraId="4FFC778D">
      <w:pPr>
        <w:pStyle w:val="3"/>
        <w:keepNext w:val="0"/>
        <w:keepLines w:val="0"/>
        <w:widowControl/>
        <w:suppressLineNumbers w:val="0"/>
      </w:pPr>
    </w:p>
    <w:p w14:paraId="7F26933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一、政策出台背景</w:t>
      </w:r>
    </w:p>
    <w:p w14:paraId="19FB1D8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为贯彻落实江西省深化数字政府建设集约化改革相关工作要求，对标《深化数字政府建设集约化改革项目工作方案》（赣数政办字〔2026〕1 号）、《县委全面深化改革委员会 2026 年工作要点》（浮改字〔2026〕2 号）文件精神，着力解决过去部分政务信息化建设存在的分散建设、重复投资、系统碎片化、数据共享不畅、运维力量薄弱、安全防护不均衡等问题，经县委深改委第二十一次会议审议通过，县委改革办印发《浮梁县深化数字政府建设集约化改革工作方案》（浮改办字〔2026〕8 号），统筹推进全县数字政府集约化改革，推动数字政府建设由分散自建向统筹集约转变，更好赋能县域治理现代化。</w:t>
      </w:r>
    </w:p>
    <w:p w14:paraId="04CDB9E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二、主要目标</w:t>
      </w:r>
    </w:p>
    <w:p w14:paraId="63272390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统筹规划、共建共享、安全可控原则，围绕基础设施、政务公开、政务数据、系统管理、公共平台、安全保障六大领域实施集约化改革。推动云网、视频、低空政务、政务数据、业务系统、政务服务、安全运维资源统筹整合，做到 “应迁尽迁、应上尽上、一数一源”，严控新建独立机房和碎片化系统，减轻基层工作负担，规范数字化项目管理，健全网络安全防护体系，不断提升政务服务效能，增强企业和群众获得感。</w:t>
      </w:r>
    </w:p>
    <w:p w14:paraId="5B7CB6F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三、组织实施机构</w:t>
      </w:r>
    </w:p>
    <w:p w14:paraId="143DD164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浮梁县深化数字政府建设集约化改革工作专班。由胡贵明任组长，聂刚任常务副组长，汪华盛、朱云生任副组长，县政务服务管理局作为牵头单位，各相关县直单位、各乡镇参与。专班办公室设在县政务服务管理局，承担统筹协调、日常调度、督导推进、总结上报等职能。专班不纳入县级议事协调机构管理，任务完成后自行撤销，不刻制印章，相关文件由县政务服务管理局代章。</w:t>
      </w:r>
    </w:p>
    <w:p w14:paraId="59DA1DC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四、核心改革任务</w:t>
      </w:r>
    </w:p>
    <w:p w14:paraId="7D9B33A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（一）推进基础设施集约化，夯实数字底座</w:t>
      </w:r>
    </w:p>
    <w:p w14:paraId="62E06CB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一是推进云网资源集约迁移。互联网环境非涉密系统 2026 年 10 月底前迁移至市级政务云；政务网环境系统 2027 年底前按信创要求迁移市级政务信创云。新增信息化项目统一部署市级政务信创云，原则上不再审批部门、乡镇新建独立机房、私有云。 二是优化升级政务网络。完成全域 IPv6 改造，政务外网出口带宽提升至 6GB 以上，强化安全防护设备配置，构建高可靠集约化政务网络底座。 三是整合视频监控资源。统筹各部门视频监控，搭建跨部门视频共享池，推行 “一机多用、杆路复用”，共享 AI 智能分析能力。 四是探索低空政务应用。2026 年 8 月底完成全县无人机、机巢摸排建档，12 月底配合市级完成软硬件调试，对接市级 “一网统飞” 平台，构建政务无人机服务体系。</w:t>
      </w:r>
    </w:p>
    <w:p w14:paraId="7DF3AB7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（二）推进政务公开集约化，规范信息发布</w:t>
      </w:r>
      <w:bookmarkStart w:id="0" w:name="_GoBack"/>
      <w:bookmarkEnd w:id="0"/>
    </w:p>
    <w:p w14:paraId="403B4827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 年 10 月底前完成县政府门户网站改版升级，优化栏目架构，清理冗余板块。压实各部门网站、政务新媒体运维责任，健全内容保障机制，保障政务信息发布及时、准确、安全。</w:t>
      </w:r>
    </w:p>
    <w:p w14:paraId="524DFD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（三）推进政务数据集约化，破除数据壁垒</w:t>
      </w:r>
    </w:p>
    <w:p w14:paraId="730F3DCB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推广使用 “一表同享” 系统，建立报表准入准出机制，厘清房屋、人口、企业等数据采集维护责任，实现一数一源，减轻基层重复填报负担。落实政务数据 “三目录” 动态管理，建立数据统一申报、审核、分配机制，严禁私自对接取数。归集县域特色治理、产业发展指标，推动特色数据全量接入市级数字政府大脑看板，实现市县数据互通。</w:t>
      </w:r>
    </w:p>
    <w:p w14:paraId="4DE4DE7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（四）推进系统管理集约化，规范项目和系统建设</w:t>
      </w:r>
    </w:p>
    <w:p w14:paraId="4035572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严格执行数字化项目 “五统一” 以及 “省级主建、市县主用” 要求，2026 年底实现数字化项目审批合规率 100%，未通过联合评审的项目不予立项、不予拨付财政资金。对存量非涉密系统按照关停、合并、整合分类处置，清理 “小散低” 僵尸系统，原则上实现 “一个部门一个核心业务系统”，系统调整须向县政务服务管理局报备。推进办公系统集约建设，2026 年 8 月底完成县 OA 与新版 “赣政通” 对接，10 月底实现全县一体化办公全覆盖，不再保留自建独立无纸化办公系统。</w:t>
      </w:r>
    </w:p>
    <w:p w14:paraId="2C8A050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（五）推进公共平台集约化，提升政务服务质效</w:t>
      </w:r>
    </w:p>
    <w:p w14:paraId="32374C8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线上推动政务办公应用归并赣政通、涉企服务接入赣企通、个人便民服务接入赣服通，清理零散小程序和独立应用入口。线下对标省级大厅建设标准，厉行节约推进政务大厅建设，落实事项 “应进尽进、一门一网”。深化 “大综窗” 改革，推进相对集中行政许可权改革，落地 “高效办成一件事” 重点改革事项，精简办事流程，提升审批服务效率。</w:t>
      </w:r>
    </w:p>
    <w:p w14:paraId="64CFEDC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0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0"/>
          <w:szCs w:val="30"/>
        </w:rPr>
        <w:t>（六）推进安全保障集约化，守牢安全底线</w:t>
      </w:r>
    </w:p>
    <w:p w14:paraId="55D370A2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组建景德镇市共性基础支撑运维运营浮梁分中心，对政务云、政务网、大数据平台等开展统一运维，各单位设置信息化专岗做好对接。规范政务互联网出口管理，2027 年底前完成存量独立互联网出口整合，严禁新建业务专网和独立互联网出口，做好公共区域互联网专线与政务外网隔离。全面排查整治高危漏洞、高危端口、弱口令问题，实行台账销号管理，常态化开展网络安全攻防演练，强化商用密码应用监管。</w:t>
      </w:r>
    </w:p>
    <w:p w14:paraId="690DBC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五、实施步骤</w:t>
      </w:r>
    </w:p>
    <w:p w14:paraId="2EEA9457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Style w:val="14"/>
          <w:rFonts w:hint="eastAsia" w:ascii="仿宋_GB2312" w:hAnsi="仿宋_GB2312" w:eastAsia="仿宋_GB2312" w:cs="仿宋_GB2312"/>
          <w:sz w:val="32"/>
          <w:szCs w:val="32"/>
        </w:rPr>
        <w:t>研究部署阶段（2026 年 7 月）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：梳理改革堵点难点，研究制定改革工作举措，报县主要领导审定。</w:t>
      </w:r>
    </w:p>
    <w:p w14:paraId="620E689E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Style w:val="14"/>
          <w:rFonts w:hint="eastAsia" w:ascii="仿宋_GB2312" w:hAnsi="仿宋_GB2312" w:eastAsia="仿宋_GB2312" w:cs="仿宋_GB2312"/>
          <w:sz w:val="32"/>
          <w:szCs w:val="32"/>
        </w:rPr>
        <w:t>推进实施阶段（2026 年 8 月 —10 月）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：各责任单位、各乡镇、浮梁产业园区于 2026 年 10 月 15 日前报送改革进展，包括工作做法、取得成效、存在问题及对策建议。</w:t>
      </w:r>
    </w:p>
    <w:p w14:paraId="00A7667B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4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Style w:val="14"/>
          <w:rFonts w:hint="eastAsia" w:ascii="仿宋_GB2312" w:hAnsi="仿宋_GB2312" w:eastAsia="仿宋_GB2312" w:cs="仿宋_GB2312"/>
          <w:sz w:val="32"/>
          <w:szCs w:val="32"/>
        </w:rPr>
        <w:t>总结提升阶段（2026 年 11 月）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：完成重点任务推进，总结改革成效经验，形成改革工作报告，谋划后续工作。</w:t>
      </w:r>
    </w:p>
    <w:p w14:paraId="253695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六、保障措施</w:t>
      </w:r>
    </w:p>
    <w:p w14:paraId="7F627EE0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强化组织领导。在县委深改办统一领导下，专班办公室常态化统筹调度会商，各单位协同联动，合力破解改革难点。二是强化工作评估。建立改革任务台账，开展督查检查，对标省市要求开展工作评分，通报落实情况。三是强化宣传引导。总结提炼改革创新案例，用好各类新媒体宣传改革成效，提升群众获得感。四是强化要素保障。建强专业化技术队伍，统筹财政预算，设立专项改革经费，保障云网改造、系统运维、安全防护等工作经费需求。</w:t>
      </w:r>
    </w:p>
    <w:p w14:paraId="6A53913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720" w:right="7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备注：本解读为政策通俗阐释，具体工作以正式文件原文为准。</w:t>
      </w:r>
    </w:p>
    <w:p w14:paraId="53C275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41F98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A863F3A"/>
    <w:rsid w:val="47713A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微软雅黑"/>
      <w:sz w:val="24"/>
      <w:szCs w:val="24"/>
    </w:rPr>
  </w:style>
  <w:style w:type="paragraph" w:styleId="2">
    <w:name w:val="heading 1"/>
    <w:next w:val="1"/>
    <w:qFormat/>
    <w:uiPriority w:val="0"/>
    <w:pPr>
      <w:spacing w:line="360" w:lineRule="auto"/>
    </w:pPr>
    <w:rPr>
      <w:rFonts w:ascii="微软雅黑" w:hAnsi="微软雅黑" w:eastAsia="微软雅黑" w:cs="微软雅黑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line="360" w:lineRule="auto"/>
    </w:pPr>
    <w:rPr>
      <w:rFonts w:ascii="微软雅黑" w:hAnsi="微软雅黑" w:eastAsia="微软雅黑" w:cs="微软雅黑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spacing w:line="360" w:lineRule="auto"/>
    </w:pPr>
    <w:rPr>
      <w:rFonts w:ascii="微软雅黑" w:hAnsi="微软雅黑" w:eastAsia="微软雅黑" w:cs="微软雅黑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微软雅黑" w:hAnsi="微软雅黑" w:eastAsia="微软雅黑" w:cs="微软雅黑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微软雅黑" w:hAnsi="微软雅黑" w:eastAsia="微软雅黑" w:cs="微软雅黑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微软雅黑" w:hAnsi="微软雅黑" w:eastAsia="微软雅黑" w:cs="微软雅黑"/>
      <w:color w:val="1F4D78"/>
      <w:sz w:val="24"/>
      <w:szCs w:val="24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9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10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line="360" w:lineRule="auto"/>
    </w:pPr>
    <w:rPr>
      <w:rFonts w:ascii="微软雅黑" w:hAnsi="微软雅黑" w:eastAsia="微软雅黑" w:cs="微软雅黑"/>
      <w:sz w:val="56"/>
      <w:szCs w:val="56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pPr>
      <w:spacing w:line="360" w:lineRule="auto"/>
    </w:pPr>
    <w:rPr>
      <w:rFonts w:ascii="微软雅黑" w:hAnsi="微软雅黑" w:eastAsia="微软雅黑" w:cs="微软雅黑"/>
      <w:sz w:val="24"/>
      <w:szCs w:val="24"/>
    </w:rPr>
  </w:style>
  <w:style w:type="character" w:customStyle="1" w:styleId="19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2744</Words>
  <Characters>2823</Characters>
  <TotalTime>7</TotalTime>
  <ScaleCrop>false</ScaleCrop>
  <LinksUpToDate>false</LinksUpToDate>
  <CharactersWithSpaces>2823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2026-08-31T03:23:00Z</dcterms:created>
  <dc:creator>Un-named</dc:creator>
  <cp:lastModifiedBy>'</cp:lastModifiedBy>
  <dcterms:modified xsi:type="dcterms:W3CDTF">2026-09-01T01:44:46Z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eyJoZGlkIjoiODhjMTRkOTdmMGY2NDA4NDZlZGM5MTcyMTQ1Y2E1M2IiLCJ1c2VySWQiOiIyMzc2Mjg0NDYifQ==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ECA75E8DA1274BDBA36EE198E52C1F33_12</vt:lpwstr>
  </property>
</Properties>
</file>