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12" w:line="224" w:lineRule="auto"/>
        <w:ind w:left="122"/>
        <w:jc w:val="center"/>
        <w:outlineLvl w:val="0"/>
        <w:rPr>
          <w:rFonts w:hint="eastAsia" w:ascii="黑体" w:hAnsi="黑体" w:eastAsia="黑体" w:cs="黑体"/>
          <w:b/>
          <w:bCs/>
          <w:sz w:val="44"/>
          <w:szCs w:val="44"/>
        </w:rPr>
      </w:pPr>
      <w:r>
        <w:rPr>
          <w:rFonts w:hint="eastAsia" w:ascii="黑体" w:hAnsi="黑体" w:eastAsia="黑体" w:cs="黑体"/>
          <w:b/>
          <w:bCs/>
          <w:spacing w:val="5"/>
          <w:sz w:val="44"/>
          <w:szCs w:val="44"/>
          <w:lang w:val="en-US" w:eastAsia="zh-CN"/>
        </w:rPr>
        <w:t>浮梁县行政服务中心</w:t>
      </w:r>
      <w:r>
        <w:rPr>
          <w:rFonts w:hint="eastAsia" w:ascii="黑体" w:hAnsi="黑体" w:eastAsia="黑体" w:cs="黑体"/>
          <w:b/>
          <w:bCs/>
          <w:spacing w:val="-73"/>
          <w:sz w:val="44"/>
          <w:szCs w:val="44"/>
        </w:rPr>
        <w:t xml:space="preserve"> </w:t>
      </w:r>
      <w:r>
        <w:rPr>
          <w:rFonts w:hint="eastAsia" w:ascii="黑体" w:hAnsi="黑体" w:eastAsia="黑体" w:cs="黑体"/>
          <w:b/>
          <w:bCs/>
          <w:spacing w:val="5"/>
          <w:sz w:val="44"/>
          <w:szCs w:val="44"/>
        </w:rPr>
        <w:t>2024</w:t>
      </w:r>
      <w:r>
        <w:rPr>
          <w:rFonts w:hint="eastAsia" w:ascii="黑体" w:hAnsi="黑体" w:eastAsia="黑体" w:cs="黑体"/>
          <w:b/>
          <w:bCs/>
          <w:spacing w:val="-84"/>
          <w:sz w:val="44"/>
          <w:szCs w:val="44"/>
        </w:rPr>
        <w:t xml:space="preserve"> </w:t>
      </w:r>
      <w:r>
        <w:rPr>
          <w:rFonts w:hint="eastAsia" w:ascii="黑体" w:hAnsi="黑体" w:eastAsia="黑体" w:cs="黑体"/>
          <w:b/>
          <w:bCs/>
          <w:spacing w:val="5"/>
          <w:sz w:val="44"/>
          <w:szCs w:val="44"/>
        </w:rPr>
        <w:t>年单位预算</w:t>
      </w:r>
    </w:p>
    <w:p>
      <w:pPr>
        <w:spacing w:line="337" w:lineRule="auto"/>
        <w:rPr>
          <w:rFonts w:ascii="Arial"/>
          <w:sz w:val="21"/>
        </w:rPr>
      </w:pPr>
    </w:p>
    <w:p>
      <w:pPr>
        <w:spacing w:line="338" w:lineRule="auto"/>
        <w:rPr>
          <w:rFonts w:ascii="Arial"/>
          <w:sz w:val="21"/>
        </w:rPr>
      </w:pPr>
    </w:p>
    <w:p>
      <w:pPr>
        <w:pStyle w:val="3"/>
        <w:spacing w:before="101" w:line="228" w:lineRule="auto"/>
        <w:ind w:left="3601"/>
        <w:rPr>
          <w:b/>
          <w:bCs/>
        </w:rPr>
      </w:pPr>
      <w:r>
        <w:rPr>
          <w:b/>
          <w:bCs/>
          <w:spacing w:val="-33"/>
        </w:rPr>
        <w:t>目</w:t>
      </w:r>
      <w:r>
        <w:rPr>
          <w:b/>
          <w:bCs/>
          <w:spacing w:val="8"/>
        </w:rPr>
        <w:t xml:space="preserve">    </w:t>
      </w:r>
      <w:r>
        <w:rPr>
          <w:b/>
          <w:bCs/>
          <w:spacing w:val="-33"/>
        </w:rPr>
        <w:t>录</w:t>
      </w:r>
    </w:p>
    <w:p>
      <w:pPr>
        <w:pStyle w:val="3"/>
        <w:spacing w:before="218" w:line="225" w:lineRule="auto"/>
        <w:ind w:left="667"/>
      </w:pPr>
      <w:r>
        <w:rPr>
          <w:spacing w:val="9"/>
          <w14:textOutline w14:w="5793" w14:cap="sq" w14:cmpd="sng">
            <w14:solidFill>
              <w14:srgbClr w14:val="000000"/>
            </w14:solidFill>
            <w14:prstDash w14:val="solid"/>
            <w14:bevel/>
          </w14:textOutline>
        </w:rPr>
        <w:t>第一部分</w:t>
      </w:r>
      <w:r>
        <w:rPr>
          <w:spacing w:val="9"/>
        </w:rPr>
        <w:t xml:space="preserve"> </w:t>
      </w:r>
      <w:r>
        <w:rPr>
          <w:rFonts w:hint="eastAsia"/>
          <w:spacing w:val="9"/>
          <w:lang w:val="en-US" w:eastAsia="zh-CN"/>
        </w:rPr>
        <w:t xml:space="preserve"> </w:t>
      </w:r>
      <w:r>
        <w:rPr>
          <w:rFonts w:hint="eastAsia"/>
          <w:spacing w:val="12"/>
          <w:lang w:val="en-US" w:eastAsia="zh-CN"/>
          <w14:textOutline w14:w="5793" w14:cap="sq" w14:cmpd="sng">
            <w14:solidFill>
              <w14:srgbClr w14:val="000000"/>
            </w14:solidFill>
            <w14:prstDash w14:val="solid"/>
            <w14:bevel/>
          </w14:textOutline>
        </w:rPr>
        <w:t>浮梁县行政服务中心</w:t>
      </w:r>
      <w:r>
        <w:rPr>
          <w:spacing w:val="9"/>
          <w14:textOutline w14:w="5793" w14:cap="sq" w14:cmpd="sng">
            <w14:solidFill>
              <w14:srgbClr w14:val="000000"/>
            </w14:solidFill>
            <w14:prstDash w14:val="solid"/>
            <w14:bevel/>
          </w14:textOutline>
        </w:rPr>
        <w:t>概况</w:t>
      </w:r>
    </w:p>
    <w:p>
      <w:pPr>
        <w:spacing w:before="222" w:line="221" w:lineRule="auto"/>
        <w:ind w:left="1325"/>
        <w:rPr>
          <w:rFonts w:ascii="仿宋" w:hAnsi="仿宋" w:eastAsia="仿宋" w:cs="仿宋"/>
          <w:sz w:val="31"/>
          <w:szCs w:val="31"/>
        </w:rPr>
      </w:pPr>
      <w:r>
        <w:rPr>
          <w:rFonts w:ascii="仿宋" w:hAnsi="仿宋" w:eastAsia="仿宋" w:cs="仿宋"/>
          <w:spacing w:val="6"/>
          <w:sz w:val="31"/>
          <w:szCs w:val="31"/>
        </w:rPr>
        <w:t>一、单位主要职责</w:t>
      </w:r>
    </w:p>
    <w:p>
      <w:pPr>
        <w:spacing w:before="230" w:line="222" w:lineRule="auto"/>
        <w:ind w:left="1323"/>
        <w:rPr>
          <w:rFonts w:ascii="仿宋" w:hAnsi="仿宋" w:eastAsia="仿宋" w:cs="仿宋"/>
          <w:sz w:val="31"/>
          <w:szCs w:val="31"/>
        </w:rPr>
      </w:pPr>
      <w:r>
        <w:rPr>
          <w:rFonts w:ascii="仿宋" w:hAnsi="仿宋" w:eastAsia="仿宋" w:cs="仿宋"/>
          <w:spacing w:val="7"/>
          <w:sz w:val="31"/>
          <w:szCs w:val="31"/>
        </w:rPr>
        <w:t>二、机构设置及人员情况</w:t>
      </w:r>
    </w:p>
    <w:p>
      <w:pPr>
        <w:pStyle w:val="3"/>
        <w:spacing w:before="226" w:line="225" w:lineRule="auto"/>
        <w:ind w:right="16"/>
        <w:jc w:val="center"/>
      </w:pPr>
      <w:r>
        <w:rPr>
          <w:spacing w:val="12"/>
          <w14:textOutline w14:w="5793" w14:cap="sq" w14:cmpd="sng">
            <w14:solidFill>
              <w14:srgbClr w14:val="000000"/>
            </w14:solidFill>
            <w14:prstDash w14:val="solid"/>
            <w14:bevel/>
          </w14:textOutline>
        </w:rPr>
        <w:t>第二部分</w:t>
      </w:r>
      <w:r>
        <w:rPr>
          <w:spacing w:val="12"/>
        </w:rPr>
        <w:t xml:space="preserve">  </w:t>
      </w:r>
      <w:r>
        <w:rPr>
          <w:rFonts w:hint="eastAsia"/>
          <w:spacing w:val="12"/>
          <w:lang w:val="en-US" w:eastAsia="zh-CN"/>
          <w14:textOutline w14:w="5793" w14:cap="sq" w14:cmpd="sng">
            <w14:solidFill>
              <w14:srgbClr w14:val="000000"/>
            </w14:solidFill>
            <w14:prstDash w14:val="solid"/>
            <w14:bevel/>
          </w14:textOutline>
        </w:rPr>
        <w:t>浮梁县行政服务中心</w:t>
      </w:r>
      <w:r>
        <w:rPr>
          <w:spacing w:val="-49"/>
        </w:rPr>
        <w:t xml:space="preserve"> </w:t>
      </w:r>
      <w:r>
        <w:rPr>
          <w:spacing w:val="12"/>
          <w14:textOutline w14:w="5793" w14:cap="sq" w14:cmpd="sng">
            <w14:solidFill>
              <w14:srgbClr w14:val="000000"/>
            </w14:solidFill>
            <w14:prstDash w14:val="solid"/>
            <w14:bevel/>
          </w14:textOutline>
        </w:rPr>
        <w:t>2024</w:t>
      </w:r>
      <w:r>
        <w:rPr>
          <w:spacing w:val="-54"/>
        </w:rPr>
        <w:t xml:space="preserve"> </w:t>
      </w:r>
      <w:r>
        <w:rPr>
          <w:spacing w:val="12"/>
          <w14:textOutline w14:w="5793" w14:cap="sq" w14:cmpd="sng">
            <w14:solidFill>
              <w14:srgbClr w14:val="000000"/>
            </w14:solidFill>
            <w14:prstDash w14:val="solid"/>
            <w14:bevel/>
          </w14:textOutline>
        </w:rPr>
        <w:t>年单位预算</w:t>
      </w:r>
    </w:p>
    <w:p>
      <w:pPr>
        <w:pStyle w:val="3"/>
        <w:spacing w:before="221" w:line="227" w:lineRule="auto"/>
        <w:ind w:left="25"/>
      </w:pPr>
      <w:r>
        <w:rPr>
          <w14:textOutline w14:w="5793"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134"/>
        <w:jc w:val="left"/>
        <w:textAlignment w:val="baseline"/>
        <w:rPr>
          <w:rFonts w:hint="eastAsia" w:ascii="仿宋_GB2312" w:eastAsia="仿宋_GB2312"/>
          <w:b w:val="0"/>
          <w:bCs/>
          <w:sz w:val="32"/>
          <w:szCs w:val="30"/>
        </w:rPr>
      </w:pPr>
      <w:r>
        <w:rPr>
          <w:rFonts w:hint="eastAsia" w:ascii="仿宋_GB2312" w:eastAsia="仿宋_GB2312"/>
          <w:b w:val="0"/>
          <w:bCs/>
          <w:sz w:val="32"/>
          <w:szCs w:val="30"/>
        </w:rPr>
        <w:t>一、收支预算总表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134"/>
        <w:jc w:val="left"/>
        <w:textAlignment w:val="baseline"/>
        <w:rPr>
          <w:rFonts w:hint="eastAsia" w:ascii="仿宋_GB2312" w:eastAsia="仿宋_GB2312"/>
          <w:b w:val="0"/>
          <w:bCs/>
          <w:sz w:val="32"/>
          <w:szCs w:val="30"/>
        </w:rPr>
      </w:pPr>
      <w:r>
        <w:rPr>
          <w:rFonts w:hint="eastAsia" w:ascii="仿宋_GB2312" w:eastAsia="仿宋_GB2312"/>
          <w:b w:val="0"/>
          <w:bCs/>
          <w:sz w:val="32"/>
          <w:szCs w:val="30"/>
        </w:rPr>
        <w:t>二、部门收入总表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134"/>
        <w:jc w:val="left"/>
        <w:textAlignment w:val="baseline"/>
        <w:rPr>
          <w:rFonts w:hint="eastAsia" w:ascii="仿宋_GB2312" w:eastAsia="仿宋_GB2312"/>
          <w:b w:val="0"/>
          <w:bCs/>
          <w:sz w:val="32"/>
          <w:szCs w:val="30"/>
        </w:rPr>
      </w:pPr>
      <w:r>
        <w:rPr>
          <w:rFonts w:hint="eastAsia" w:ascii="仿宋_GB2312" w:eastAsia="仿宋_GB2312"/>
          <w:b w:val="0"/>
          <w:bCs/>
          <w:sz w:val="32"/>
          <w:szCs w:val="30"/>
        </w:rPr>
        <w:t>三、部门支出总表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134"/>
        <w:jc w:val="left"/>
        <w:textAlignment w:val="baseline"/>
        <w:rPr>
          <w:rFonts w:hint="eastAsia" w:ascii="仿宋_GB2312" w:eastAsia="仿宋_GB2312"/>
          <w:b w:val="0"/>
          <w:bCs/>
          <w:sz w:val="32"/>
          <w:szCs w:val="30"/>
        </w:rPr>
      </w:pPr>
      <w:r>
        <w:rPr>
          <w:rFonts w:hint="eastAsia" w:ascii="仿宋_GB2312" w:eastAsia="仿宋_GB2312"/>
          <w:b w:val="0"/>
          <w:bCs/>
          <w:sz w:val="32"/>
          <w:szCs w:val="30"/>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134"/>
        <w:jc w:val="left"/>
        <w:textAlignment w:val="baseline"/>
        <w:rPr>
          <w:rFonts w:hint="eastAsia" w:ascii="仿宋" w:hAnsi="仿宋" w:eastAsia="仿宋"/>
          <w:sz w:val="32"/>
          <w:szCs w:val="30"/>
        </w:rPr>
      </w:pPr>
      <w:r>
        <w:rPr>
          <w:rFonts w:hint="eastAsia" w:ascii="仿宋_GB2312" w:eastAsia="仿宋_GB2312"/>
          <w:b w:val="0"/>
          <w:bCs/>
          <w:sz w:val="32"/>
          <w:szCs w:val="30"/>
        </w:rPr>
        <w:t>五、一般公共预算</w:t>
      </w:r>
      <w:r>
        <w:rPr>
          <w:rFonts w:hint="eastAsia" w:ascii="仿宋" w:hAnsi="仿宋" w:eastAsia="仿宋"/>
          <w:sz w:val="32"/>
          <w:szCs w:val="30"/>
        </w:rPr>
        <w:t>支出表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134"/>
        <w:jc w:val="left"/>
        <w:textAlignment w:val="baseline"/>
        <w:rPr>
          <w:rFonts w:hint="eastAsia" w:ascii="仿宋_GB2312" w:eastAsia="仿宋_GB2312"/>
          <w:b w:val="0"/>
          <w:bCs/>
          <w:sz w:val="32"/>
          <w:szCs w:val="30"/>
        </w:rPr>
      </w:pPr>
      <w:r>
        <w:rPr>
          <w:rFonts w:hint="eastAsia" w:ascii="仿宋_GB2312" w:eastAsia="仿宋_GB2312"/>
          <w:b w:val="0"/>
          <w:bCs/>
          <w:sz w:val="32"/>
          <w:szCs w:val="30"/>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134"/>
        <w:jc w:val="left"/>
        <w:textAlignment w:val="baseline"/>
        <w:rPr>
          <w:rFonts w:hint="eastAsia" w:ascii="仿宋_GB2312" w:eastAsia="仿宋_GB2312"/>
          <w:b w:val="0"/>
          <w:bCs/>
          <w:sz w:val="32"/>
          <w:szCs w:val="30"/>
        </w:rPr>
      </w:pPr>
      <w:r>
        <w:rPr>
          <w:rFonts w:hint="eastAsia" w:ascii="仿宋_GB2312" w:eastAsia="仿宋_GB2312"/>
          <w:b w:val="0"/>
          <w:bCs/>
          <w:sz w:val="32"/>
          <w:szCs w:val="30"/>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134"/>
        <w:jc w:val="left"/>
        <w:textAlignment w:val="baseline"/>
        <w:rPr>
          <w:rFonts w:hint="eastAsia" w:ascii="仿宋_GB2312" w:eastAsia="仿宋_GB2312"/>
          <w:b w:val="0"/>
          <w:bCs/>
          <w:sz w:val="32"/>
          <w:szCs w:val="30"/>
        </w:rPr>
      </w:pPr>
      <w:r>
        <w:rPr>
          <w:rFonts w:hint="eastAsia" w:ascii="仿宋_GB2312" w:eastAsia="仿宋_GB2312"/>
          <w:b w:val="0"/>
          <w:bCs/>
          <w:sz w:val="32"/>
          <w:szCs w:val="30"/>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134"/>
        <w:jc w:val="left"/>
        <w:textAlignment w:val="baseline"/>
        <w:rPr>
          <w:rFonts w:hint="eastAsia" w:ascii="仿宋_GB2312" w:eastAsia="仿宋_GB2312"/>
          <w:b w:val="0"/>
          <w:bCs/>
          <w:sz w:val="32"/>
          <w:szCs w:val="30"/>
        </w:rPr>
      </w:pPr>
      <w:r>
        <w:rPr>
          <w:rFonts w:hint="eastAsia" w:ascii="仿宋_GB2312" w:eastAsia="仿宋_GB2312"/>
          <w:b w:val="0"/>
          <w:bCs/>
          <w:sz w:val="32"/>
          <w:szCs w:val="30"/>
        </w:rPr>
        <w:t>九、部门整体支出绩效目标表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134"/>
        <w:jc w:val="left"/>
        <w:textAlignment w:val="baseline"/>
        <w:rPr>
          <w:rFonts w:hint="eastAsia" w:ascii="仿宋_GB2312" w:eastAsia="仿宋_GB2312"/>
          <w:b w:val="0"/>
          <w:bCs/>
          <w:sz w:val="32"/>
          <w:szCs w:val="30"/>
        </w:rPr>
      </w:pPr>
      <w:r>
        <w:rPr>
          <w:rFonts w:hint="eastAsia" w:ascii="仿宋_GB2312" w:eastAsia="仿宋_GB2312"/>
          <w:b w:val="0"/>
          <w:bCs/>
          <w:sz w:val="32"/>
          <w:szCs w:val="30"/>
        </w:rPr>
        <w:t>十、项目支出绩效目标表</w:t>
      </w:r>
    </w:p>
    <w:p>
      <w:pPr>
        <w:spacing w:line="220" w:lineRule="exact"/>
      </w:pPr>
    </w:p>
    <w:p>
      <w:pPr>
        <w:pStyle w:val="3"/>
        <w:spacing w:before="226" w:line="225" w:lineRule="auto"/>
        <w:ind w:right="16"/>
        <w:jc w:val="right"/>
      </w:pPr>
      <w:r>
        <w:rPr>
          <w:spacing w:val="12"/>
          <w14:textOutline w14:w="5793" w14:cap="sq" w14:cmpd="sng">
            <w14:solidFill>
              <w14:srgbClr w14:val="000000"/>
            </w14:solidFill>
            <w14:prstDash w14:val="solid"/>
            <w14:bevel/>
          </w14:textOutline>
        </w:rPr>
        <w:t>第三部分</w:t>
      </w:r>
      <w:r>
        <w:rPr>
          <w:spacing w:val="12"/>
        </w:rPr>
        <w:t xml:space="preserve">  </w:t>
      </w:r>
      <w:r>
        <w:rPr>
          <w:rFonts w:hint="eastAsia"/>
          <w:spacing w:val="12"/>
          <w:lang w:val="en-US" w:eastAsia="zh-CN"/>
          <w14:textOutline w14:w="5793" w14:cap="sq" w14:cmpd="sng">
            <w14:solidFill>
              <w14:srgbClr w14:val="000000"/>
            </w14:solidFill>
            <w14:prstDash w14:val="solid"/>
            <w14:bevel/>
          </w14:textOutline>
        </w:rPr>
        <w:t>浮梁县行政服务中心</w:t>
      </w:r>
      <w:r>
        <w:rPr>
          <w:spacing w:val="-49"/>
        </w:rPr>
        <w:t xml:space="preserve"> </w:t>
      </w:r>
      <w:r>
        <w:rPr>
          <w:spacing w:val="12"/>
          <w14:textOutline w14:w="5793" w14:cap="sq" w14:cmpd="sng">
            <w14:solidFill>
              <w14:srgbClr w14:val="000000"/>
            </w14:solidFill>
            <w14:prstDash w14:val="solid"/>
            <w14:bevel/>
          </w14:textOutline>
        </w:rPr>
        <w:t>2024</w:t>
      </w:r>
      <w:r>
        <w:rPr>
          <w:spacing w:val="-54"/>
        </w:rPr>
        <w:t xml:space="preserve"> </w:t>
      </w:r>
      <w:r>
        <w:rPr>
          <w:spacing w:val="12"/>
          <w14:textOutline w14:w="5793" w14:cap="sq" w14:cmpd="sng">
            <w14:solidFill>
              <w14:srgbClr w14:val="000000"/>
            </w14:solidFill>
            <w14:prstDash w14:val="solid"/>
            <w14:bevel/>
          </w14:textOutline>
        </w:rPr>
        <w:t>年单位预算</w:t>
      </w:r>
    </w:p>
    <w:p>
      <w:pPr>
        <w:pStyle w:val="3"/>
        <w:spacing w:before="222" w:line="225" w:lineRule="auto"/>
        <w:ind w:left="23"/>
      </w:pPr>
      <w:r>
        <w:rPr>
          <w:spacing w:val="8"/>
          <w14:textOutline w14:w="5793" w14:cap="sq" w14:cmpd="sng">
            <w14:solidFill>
              <w14:srgbClr w14:val="000000"/>
            </w14:solidFill>
            <w14:prstDash w14:val="solid"/>
            <w14:bevel/>
          </w14:textOutline>
        </w:rPr>
        <w:t>情况说明</w:t>
      </w:r>
    </w:p>
    <w:p>
      <w:pPr>
        <w:spacing w:before="223" w:line="221" w:lineRule="auto"/>
        <w:ind w:left="1325"/>
        <w:rPr>
          <w:rFonts w:ascii="仿宋" w:hAnsi="仿宋" w:eastAsia="仿宋" w:cs="仿宋"/>
          <w:sz w:val="31"/>
          <w:szCs w:val="31"/>
        </w:rPr>
      </w:pPr>
      <w:r>
        <w:rPr>
          <w:rFonts w:ascii="仿宋" w:hAnsi="仿宋" w:eastAsia="仿宋" w:cs="仿宋"/>
          <w:spacing w:val="5"/>
          <w:sz w:val="31"/>
          <w:szCs w:val="31"/>
        </w:rPr>
        <w:t>一、2024</w:t>
      </w:r>
      <w:r>
        <w:rPr>
          <w:rFonts w:ascii="仿宋" w:hAnsi="仿宋" w:eastAsia="仿宋" w:cs="仿宋"/>
          <w:spacing w:val="-45"/>
          <w:sz w:val="31"/>
          <w:szCs w:val="31"/>
        </w:rPr>
        <w:t xml:space="preserve"> </w:t>
      </w:r>
      <w:r>
        <w:rPr>
          <w:rFonts w:ascii="仿宋" w:hAnsi="仿宋" w:eastAsia="仿宋" w:cs="仿宋"/>
          <w:spacing w:val="5"/>
          <w:sz w:val="31"/>
          <w:szCs w:val="31"/>
        </w:rPr>
        <w:t>年单位预算收支情况说明</w:t>
      </w:r>
    </w:p>
    <w:p>
      <w:pPr>
        <w:spacing w:before="228" w:line="222" w:lineRule="auto"/>
        <w:ind w:left="1323"/>
        <w:rPr>
          <w:rFonts w:ascii="仿宋" w:hAnsi="仿宋" w:eastAsia="仿宋" w:cs="仿宋"/>
          <w:sz w:val="31"/>
          <w:szCs w:val="31"/>
        </w:rPr>
      </w:pPr>
      <w:r>
        <w:rPr>
          <w:rFonts w:ascii="仿宋" w:hAnsi="仿宋" w:eastAsia="仿宋" w:cs="仿宋"/>
          <w:spacing w:val="1"/>
          <w:sz w:val="31"/>
          <w:szCs w:val="31"/>
        </w:rPr>
        <w:t>二、2024</w:t>
      </w:r>
      <w:r>
        <w:rPr>
          <w:rFonts w:ascii="仿宋" w:hAnsi="仿宋" w:eastAsia="仿宋" w:cs="仿宋"/>
          <w:spacing w:val="-45"/>
          <w:sz w:val="31"/>
          <w:szCs w:val="31"/>
        </w:rPr>
        <w:t xml:space="preserve"> </w:t>
      </w:r>
      <w:r>
        <w:rPr>
          <w:rFonts w:ascii="仿宋" w:hAnsi="仿宋" w:eastAsia="仿宋" w:cs="仿宋"/>
          <w:spacing w:val="1"/>
          <w:sz w:val="31"/>
          <w:szCs w:val="31"/>
        </w:rPr>
        <w:t>年</w:t>
      </w:r>
      <w:r>
        <w:rPr>
          <w:rFonts w:ascii="仿宋" w:hAnsi="仿宋" w:eastAsia="仿宋" w:cs="仿宋"/>
          <w:spacing w:val="-104"/>
          <w:sz w:val="31"/>
          <w:szCs w:val="31"/>
        </w:rPr>
        <w:t xml:space="preserve"> </w:t>
      </w:r>
      <w:r>
        <w:rPr>
          <w:rFonts w:ascii="仿宋" w:hAnsi="仿宋" w:eastAsia="仿宋" w:cs="仿宋"/>
          <w:spacing w:val="1"/>
          <w:sz w:val="31"/>
          <w:szCs w:val="31"/>
        </w:rPr>
        <w:t>“</w:t>
      </w:r>
      <w:r>
        <w:rPr>
          <w:rFonts w:ascii="仿宋" w:hAnsi="仿宋" w:eastAsia="仿宋" w:cs="仿宋"/>
          <w:spacing w:val="-117"/>
          <w:sz w:val="31"/>
          <w:szCs w:val="31"/>
        </w:rPr>
        <w:t xml:space="preserve"> </w:t>
      </w:r>
      <w:r>
        <w:rPr>
          <w:rFonts w:ascii="仿宋" w:hAnsi="仿宋" w:eastAsia="仿宋" w:cs="仿宋"/>
          <w:spacing w:val="1"/>
          <w:sz w:val="31"/>
          <w:szCs w:val="31"/>
        </w:rPr>
        <w:t>三公”经费预算情况说明</w:t>
      </w:r>
    </w:p>
    <w:p>
      <w:pPr>
        <w:pStyle w:val="3"/>
        <w:spacing w:before="227" w:line="225" w:lineRule="auto"/>
        <w:ind w:left="667"/>
      </w:pPr>
      <w:r>
        <w:rPr>
          <w:spacing w:val="8"/>
          <w14:textOutline w14:w="5793" w14:cap="sq" w14:cmpd="sng">
            <w14:solidFill>
              <w14:srgbClr w14:val="000000"/>
            </w14:solidFill>
            <w14:prstDash w14:val="solid"/>
            <w14:bevel/>
          </w14:textOutline>
        </w:rPr>
        <w:t>第四部分</w:t>
      </w:r>
      <w:r>
        <w:rPr>
          <w:spacing w:val="8"/>
        </w:rPr>
        <w:t xml:space="preserve">  </w:t>
      </w:r>
      <w:r>
        <w:rPr>
          <w:spacing w:val="8"/>
          <w14:textOutline w14:w="5793" w14:cap="sq" w14:cmpd="sng">
            <w14:solidFill>
              <w14:srgbClr w14:val="000000"/>
            </w14:solidFill>
            <w14:prstDash w14:val="solid"/>
            <w14:bevel/>
          </w14:textOutline>
        </w:rPr>
        <w:t>名词解释</w:t>
      </w:r>
    </w:p>
    <w:p>
      <w:pPr>
        <w:spacing w:line="225" w:lineRule="auto"/>
        <w:sectPr>
          <w:pgSz w:w="11906" w:h="16839"/>
          <w:pgMar w:top="1431" w:right="1785" w:bottom="0" w:left="1785" w:header="0" w:footer="0" w:gutter="0"/>
          <w:cols w:space="720" w:num="1"/>
        </w:sectPr>
      </w:pPr>
    </w:p>
    <w:p>
      <w:pPr>
        <w:pStyle w:val="3"/>
        <w:spacing w:before="216" w:line="225" w:lineRule="auto"/>
        <w:ind w:left="1286"/>
      </w:pPr>
      <w:r>
        <w:rPr>
          <w:spacing w:val="9"/>
          <w14:textOutline w14:w="5793" w14:cap="sq" w14:cmpd="sng">
            <w14:solidFill>
              <w14:srgbClr w14:val="000000"/>
            </w14:solidFill>
            <w14:prstDash w14:val="solid"/>
            <w14:bevel/>
          </w14:textOutline>
        </w:rPr>
        <w:t>第一部分</w:t>
      </w:r>
      <w:r>
        <w:rPr>
          <w:spacing w:val="9"/>
        </w:rPr>
        <w:t xml:space="preserve">  </w:t>
      </w:r>
      <w:r>
        <w:rPr>
          <w:rFonts w:hint="eastAsia"/>
          <w:spacing w:val="9"/>
          <w:lang w:val="en-US" w:eastAsia="zh-CN"/>
          <w14:textOutline w14:w="5793" w14:cap="sq" w14:cmpd="sng">
            <w14:solidFill>
              <w14:srgbClr w14:val="000000"/>
            </w14:solidFill>
            <w14:prstDash w14:val="solid"/>
            <w14:bevel/>
          </w14:textOutline>
        </w:rPr>
        <w:t>浮梁县行政服务中心</w:t>
      </w:r>
      <w:r>
        <w:rPr>
          <w:spacing w:val="9"/>
          <w14:textOutline w14:w="5793" w14:cap="sq" w14:cmpd="sng">
            <w14:solidFill>
              <w14:srgbClr w14:val="000000"/>
            </w14:solidFill>
            <w14:prstDash w14:val="solid"/>
            <w14:bevel/>
          </w14:textOutline>
        </w:rPr>
        <w:t>概况</w:t>
      </w:r>
    </w:p>
    <w:p>
      <w:pPr>
        <w:spacing w:line="358" w:lineRule="auto"/>
        <w:rPr>
          <w:rFonts w:ascii="Arial"/>
          <w:sz w:val="21"/>
        </w:rPr>
      </w:pPr>
    </w:p>
    <w:p>
      <w:pPr>
        <w:spacing w:line="35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黑体" w:hAnsi="黑体" w:eastAsia="黑体"/>
          <w:b/>
          <w:bCs/>
          <w:sz w:val="32"/>
          <w:szCs w:val="32"/>
        </w:rPr>
      </w:pPr>
      <w:bookmarkStart w:id="0" w:name="YS060101"/>
      <w:r>
        <w:rPr>
          <w:rFonts w:hint="eastAsia" w:ascii="黑体" w:hAnsi="黑体" w:eastAsia="黑体"/>
          <w:b/>
          <w:bCs/>
          <w:sz w:val="32"/>
          <w:szCs w:val="32"/>
        </w:rPr>
        <w:t>一、单位情况</w:t>
      </w:r>
    </w:p>
    <w:bookmarkEnd w:id="0"/>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楷体_GB2312" w:hAnsi="仿宋" w:eastAsia="楷体_GB2312"/>
          <w:b/>
          <w:sz w:val="32"/>
          <w:szCs w:val="32"/>
        </w:rPr>
      </w:pPr>
      <w:r>
        <w:rPr>
          <w:rFonts w:hint="eastAsia" w:ascii="楷体_GB2312" w:hAnsi="仿宋" w:eastAsia="楷体_GB2312"/>
          <w:b/>
          <w:sz w:val="32"/>
          <w:szCs w:val="32"/>
        </w:rPr>
        <w:t>（一）基本情况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 w:eastAsia="仿宋_GB2312"/>
          <w:sz w:val="32"/>
          <w:szCs w:val="32"/>
        </w:rPr>
      </w:pPr>
      <w:r>
        <w:rPr>
          <w:rFonts w:hint="eastAsia" w:ascii="仿宋_GB2312" w:hAnsi="仿宋" w:eastAsia="仿宋_GB2312"/>
          <w:b/>
          <w:bCs/>
          <w:sz w:val="32"/>
          <w:szCs w:val="32"/>
        </w:rPr>
        <w:t>1．主要职能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一是贯彻执行国家和省、市、县有关行政服务中心管理方面的法律法规和方针政策，拟定并组织实施全县行政服务中心（窗口）的规范性文件和政策措施。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是对进驻或者退出中心的实施部门及其政务服务事项提出意见，报县人民政府决定；对重大产业项目审批等政务服务事项，提供帮办代办服务对进驻行政服务中心单位窗口及其工作人员进行日常管理、监督、培训和考核。</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三是负责对进驻行政服务中心的单位窗口进行业务协调，为行政服务中心提供后勤保障。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四是指导、考核乡（镇）便民服务中心政务服务工作。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五是负责行政服务中心信息化建设工作，负责中心网络安全 和机房（监控室）的管理和维护工作。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六是提供全县公共资源交易服务。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_GB2312" w:hAnsi="仿宋" w:eastAsia="仿宋_GB2312"/>
          <w:sz w:val="32"/>
          <w:szCs w:val="32"/>
        </w:rPr>
      </w:pPr>
      <w:r>
        <w:rPr>
          <w:rFonts w:hint="eastAsia" w:ascii="仿宋" w:hAnsi="仿宋" w:eastAsia="仿宋" w:cs="仿宋"/>
          <w:color w:val="auto"/>
          <w:sz w:val="32"/>
          <w:szCs w:val="32"/>
          <w:lang w:val="en-US" w:eastAsia="zh-CN"/>
        </w:rPr>
        <w:t>七是承办县委、县政府交办的其他事项。</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机构情况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根据浮编发〔2022〕16号《关于优化调整县政务服务数据管理体制机构的批复》的文件精神，将县政务信息中心、县12345政务服务热线职能划入县行政服务中心。2024 年浮梁县行政服务中心内设股室5个，包括：综合股、行政审批股、政务信息股、公共资源交易股、12345政务服务热线股。</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3" w:firstLineChars="200"/>
        <w:textAlignment w:val="baseline"/>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人员情况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编制人数共计</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人，其中：行政编制人数</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人、参照公务员管理的事业编制人数</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 xml:space="preserve">人、全部补助事业编制人数 </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人、部分补助事业编制人数</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人。本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年年末实有人数</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人，其中在职人员</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。包括行政在职人数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 xml:space="preserve">人、参照公务员管理的事业人员在职人数 </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人、全部补助事业人员在职人数</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lang w:eastAsia="zh-CN"/>
        </w:rPr>
        <w:t>人，部分补助事业人员在职人数</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人；离休人数小计 0 人；退休人数小计</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jc w:val="left"/>
        <w:textAlignment w:val="baseline"/>
        <w:rPr>
          <w:rFonts w:hint="eastAsia" w:ascii="仿宋_GB2312" w:hAnsi="仿宋" w:eastAsia="仿宋_GB2312" w:cs="Times New Roman"/>
          <w:b/>
          <w:bCs/>
          <w:sz w:val="32"/>
          <w:szCs w:val="32"/>
        </w:rPr>
      </w:pPr>
    </w:p>
    <w:p/>
    <w:p/>
    <w:p/>
    <w:p/>
    <w:p/>
    <w:p/>
    <w:p/>
    <w:p/>
    <w:p/>
    <w:p/>
    <w:p/>
    <w:p/>
    <w:p/>
    <w:p/>
    <w:p/>
    <w:p/>
    <w:p/>
    <w:p/>
    <w:p/>
    <w:p/>
    <w:p/>
    <w:p/>
    <w:p/>
    <w:p/>
    <w:p/>
    <w:p/>
    <w:p/>
    <w:p/>
    <w:p/>
    <w:p/>
    <w:p>
      <w:pPr>
        <w:pStyle w:val="3"/>
        <w:spacing w:before="216" w:line="225" w:lineRule="auto"/>
        <w:ind w:left="242"/>
        <w:jc w:val="center"/>
        <w:rPr>
          <w:spacing w:val="8"/>
          <w14:textOutline w14:w="5793" w14:cap="sq" w14:cmpd="sng">
            <w14:solidFill>
              <w14:srgbClr w14:val="000000"/>
            </w14:solidFill>
            <w14:prstDash w14:val="solid"/>
            <w14:bevel/>
          </w14:textOutline>
        </w:rPr>
      </w:pPr>
    </w:p>
    <w:p>
      <w:pPr>
        <w:pStyle w:val="3"/>
        <w:spacing w:before="216" w:line="225" w:lineRule="auto"/>
        <w:ind w:left="242"/>
        <w:jc w:val="center"/>
      </w:pPr>
      <w:r>
        <w:rPr>
          <w:spacing w:val="8"/>
          <w14:textOutline w14:w="5793" w14:cap="sq" w14:cmpd="sng">
            <w14:solidFill>
              <w14:srgbClr w14:val="000000"/>
            </w14:solidFill>
            <w14:prstDash w14:val="solid"/>
            <w14:bevel/>
          </w14:textOutline>
        </w:rPr>
        <w:t>第二部分</w:t>
      </w:r>
      <w:r>
        <w:rPr>
          <w:spacing w:val="8"/>
        </w:rPr>
        <w:t xml:space="preserve">  </w:t>
      </w:r>
      <w:r>
        <w:rPr>
          <w:rFonts w:hint="eastAsia"/>
          <w:spacing w:val="8"/>
          <w:lang w:val="en-US" w:eastAsia="zh-CN"/>
          <w14:textOutline w14:w="5793" w14:cap="sq" w14:cmpd="sng">
            <w14:solidFill>
              <w14:srgbClr w14:val="000000"/>
            </w14:solidFill>
            <w14:prstDash w14:val="solid"/>
            <w14:bevel/>
          </w14:textOutline>
        </w:rPr>
        <w:t>浮梁县行政服务中心</w:t>
      </w:r>
      <w:r>
        <w:rPr>
          <w:spacing w:val="-50"/>
        </w:rPr>
        <w:t xml:space="preserve"> </w:t>
      </w:r>
      <w:r>
        <w:rPr>
          <w:spacing w:val="8"/>
          <w14:textOutline w14:w="5793" w14:cap="sq" w14:cmpd="sng">
            <w14:solidFill>
              <w14:srgbClr w14:val="000000"/>
            </w14:solidFill>
            <w14:prstDash w14:val="solid"/>
            <w14:bevel/>
          </w14:textOutline>
        </w:rPr>
        <w:t>2024</w:t>
      </w:r>
      <w:r>
        <w:rPr>
          <w:spacing w:val="-61"/>
        </w:rPr>
        <w:t xml:space="preserve"> </w:t>
      </w:r>
      <w:r>
        <w:rPr>
          <w:spacing w:val="8"/>
          <w14:textOutline w14:w="5793" w14:cap="sq" w14:cmpd="sng">
            <w14:solidFill>
              <w14:srgbClr w14:val="000000"/>
            </w14:solidFill>
            <w14:prstDash w14:val="solid"/>
            <w14:bevel/>
          </w14:textOutline>
        </w:rPr>
        <w:t>年单位预算表</w:t>
      </w:r>
    </w:p>
    <w:p/>
    <w:p/>
    <w:p>
      <w:r>
        <w:drawing>
          <wp:inline distT="0" distB="0" distL="114300" distR="114300">
            <wp:extent cx="5269230" cy="5817235"/>
            <wp:effectExtent l="0" t="0" r="762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9230" cy="5817235"/>
                    </a:xfrm>
                    <a:prstGeom prst="rect">
                      <a:avLst/>
                    </a:prstGeom>
                    <a:noFill/>
                    <a:ln>
                      <a:noFill/>
                    </a:ln>
                  </pic:spPr>
                </pic:pic>
              </a:graphicData>
            </a:graphic>
          </wp:inline>
        </w:drawing>
      </w:r>
    </w:p>
    <w:p/>
    <w:p/>
    <w:p/>
    <w:p/>
    <w:p/>
    <w:p/>
    <w:p/>
    <w:p/>
    <w:p/>
    <w:p/>
    <w:p/>
    <w:p/>
    <w:p/>
    <w:p/>
    <w:p/>
    <w:p>
      <w:r>
        <w:drawing>
          <wp:inline distT="0" distB="0" distL="114300" distR="114300">
            <wp:extent cx="5264785" cy="2768600"/>
            <wp:effectExtent l="0" t="0" r="1206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4785" cy="2768600"/>
                    </a:xfrm>
                    <a:prstGeom prst="rect">
                      <a:avLst/>
                    </a:prstGeom>
                    <a:noFill/>
                    <a:ln>
                      <a:noFill/>
                    </a:ln>
                  </pic:spPr>
                </pic:pic>
              </a:graphicData>
            </a:graphic>
          </wp:inline>
        </w:drawing>
      </w:r>
    </w:p>
    <w:p/>
    <w:p/>
    <w:p/>
    <w:p>
      <w:r>
        <w:drawing>
          <wp:inline distT="0" distB="0" distL="114300" distR="114300">
            <wp:extent cx="5273675" cy="4396740"/>
            <wp:effectExtent l="0" t="0" r="317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3675" cy="4396740"/>
                    </a:xfrm>
                    <a:prstGeom prst="rect">
                      <a:avLst/>
                    </a:prstGeom>
                    <a:noFill/>
                    <a:ln>
                      <a:noFill/>
                    </a:ln>
                  </pic:spPr>
                </pic:pic>
              </a:graphicData>
            </a:graphic>
          </wp:inline>
        </w:drawing>
      </w:r>
    </w:p>
    <w:p/>
    <w:p/>
    <w:p/>
    <w:p/>
    <w:p/>
    <w:p/>
    <w:p/>
    <w:p/>
    <w:p>
      <w:r>
        <w:drawing>
          <wp:inline distT="0" distB="0" distL="114300" distR="114300">
            <wp:extent cx="5272405" cy="5354320"/>
            <wp:effectExtent l="0" t="0" r="444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2405" cy="5354320"/>
                    </a:xfrm>
                    <a:prstGeom prst="rect">
                      <a:avLst/>
                    </a:prstGeom>
                    <a:noFill/>
                    <a:ln>
                      <a:noFill/>
                    </a:ln>
                  </pic:spPr>
                </pic:pic>
              </a:graphicData>
            </a:graphic>
          </wp:inline>
        </w:drawing>
      </w:r>
    </w:p>
    <w:p/>
    <w:p>
      <w:r>
        <w:drawing>
          <wp:inline distT="0" distB="0" distL="114300" distR="114300">
            <wp:extent cx="5273675" cy="4799965"/>
            <wp:effectExtent l="0" t="0" r="317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3675" cy="4799965"/>
                    </a:xfrm>
                    <a:prstGeom prst="rect">
                      <a:avLst/>
                    </a:prstGeom>
                    <a:noFill/>
                    <a:ln>
                      <a:noFill/>
                    </a:ln>
                  </pic:spPr>
                </pic:pic>
              </a:graphicData>
            </a:graphic>
          </wp:inline>
        </w:drawing>
      </w:r>
    </w:p>
    <w:p/>
    <w:p>
      <w:r>
        <w:drawing>
          <wp:inline distT="0" distB="0" distL="114300" distR="114300">
            <wp:extent cx="5271135" cy="4305935"/>
            <wp:effectExtent l="0" t="0" r="5715"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271135" cy="4305935"/>
                    </a:xfrm>
                    <a:prstGeom prst="rect">
                      <a:avLst/>
                    </a:prstGeom>
                    <a:noFill/>
                    <a:ln>
                      <a:noFill/>
                    </a:ln>
                  </pic:spPr>
                </pic:pic>
              </a:graphicData>
            </a:graphic>
          </wp:inline>
        </w:drawing>
      </w:r>
    </w:p>
    <w:p/>
    <w:p/>
    <w:p/>
    <w:p>
      <w:r>
        <w:drawing>
          <wp:inline distT="0" distB="0" distL="114300" distR="114300">
            <wp:extent cx="5264150" cy="915670"/>
            <wp:effectExtent l="0" t="0" r="12700"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264150" cy="915670"/>
                    </a:xfrm>
                    <a:prstGeom prst="rect">
                      <a:avLst/>
                    </a:prstGeom>
                    <a:noFill/>
                    <a:ln>
                      <a:noFill/>
                    </a:ln>
                  </pic:spPr>
                </pic:pic>
              </a:graphicData>
            </a:graphic>
          </wp:inline>
        </w:drawing>
      </w:r>
    </w:p>
    <w:p/>
    <w:p/>
    <w:p/>
    <w:p>
      <w:r>
        <w:drawing>
          <wp:inline distT="0" distB="0" distL="114300" distR="114300">
            <wp:extent cx="5272405" cy="1065530"/>
            <wp:effectExtent l="0" t="0" r="444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272405" cy="1065530"/>
                    </a:xfrm>
                    <a:prstGeom prst="rect">
                      <a:avLst/>
                    </a:prstGeom>
                    <a:noFill/>
                    <a:ln>
                      <a:noFill/>
                    </a:ln>
                  </pic:spPr>
                </pic:pic>
              </a:graphicData>
            </a:graphic>
          </wp:inline>
        </w:drawing>
      </w:r>
    </w:p>
    <w:p/>
    <w:p/>
    <w:p/>
    <w:p>
      <w:r>
        <w:drawing>
          <wp:inline distT="0" distB="0" distL="114300" distR="114300">
            <wp:extent cx="5273040" cy="1020445"/>
            <wp:effectExtent l="0" t="0" r="381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273040" cy="1020445"/>
                    </a:xfrm>
                    <a:prstGeom prst="rect">
                      <a:avLst/>
                    </a:prstGeom>
                    <a:noFill/>
                    <a:ln>
                      <a:noFill/>
                    </a:ln>
                  </pic:spPr>
                </pic:pic>
              </a:graphicData>
            </a:graphic>
          </wp:inline>
        </w:drawing>
      </w:r>
    </w:p>
    <w:p>
      <w:pPr>
        <w:pStyle w:val="3"/>
        <w:spacing w:before="216" w:line="225" w:lineRule="auto"/>
        <w:ind w:left="81"/>
        <w:jc w:val="center"/>
      </w:pPr>
      <w:r>
        <w:rPr>
          <w:spacing w:val="8"/>
          <w14:textOutline w14:w="5793" w14:cap="sq" w14:cmpd="sng">
            <w14:solidFill>
              <w14:srgbClr w14:val="000000"/>
            </w14:solidFill>
            <w14:prstDash w14:val="solid"/>
            <w14:bevel/>
          </w14:textOutline>
        </w:rPr>
        <w:t>第三部分</w:t>
      </w:r>
      <w:r>
        <w:rPr>
          <w:spacing w:val="8"/>
        </w:rPr>
        <w:t xml:space="preserve">  </w:t>
      </w:r>
      <w:r>
        <w:rPr>
          <w:rFonts w:hint="eastAsia"/>
          <w:spacing w:val="8"/>
          <w:sz w:val="32"/>
          <w:szCs w:val="32"/>
          <w:lang w:val="en-US" w:eastAsia="zh-CN"/>
          <w14:textOutline w14:w="5793" w14:cap="sq" w14:cmpd="sng">
            <w14:solidFill>
              <w14:srgbClr w14:val="000000"/>
            </w14:solidFill>
            <w14:prstDash w14:val="solid"/>
            <w14:bevel/>
          </w14:textOutline>
        </w:rPr>
        <w:t>浮梁县行政服务中心</w:t>
      </w:r>
      <w:r>
        <w:rPr>
          <w:spacing w:val="-44"/>
          <w:sz w:val="32"/>
          <w:szCs w:val="32"/>
        </w:rPr>
        <w:t xml:space="preserve"> </w:t>
      </w:r>
      <w:r>
        <w:rPr>
          <w:spacing w:val="8"/>
          <w:sz w:val="32"/>
          <w:szCs w:val="32"/>
          <w14:textOutline w14:w="5793" w14:cap="sq" w14:cmpd="sng">
            <w14:solidFill>
              <w14:srgbClr w14:val="000000"/>
            </w14:solidFill>
            <w14:prstDash w14:val="solid"/>
            <w14:bevel/>
          </w14:textOutline>
        </w:rPr>
        <w:t>2024</w:t>
      </w:r>
      <w:r>
        <w:rPr>
          <w:spacing w:val="-61"/>
          <w:sz w:val="32"/>
          <w:szCs w:val="32"/>
        </w:rPr>
        <w:t xml:space="preserve"> </w:t>
      </w:r>
      <w:r>
        <w:rPr>
          <w:spacing w:val="8"/>
          <w:sz w:val="32"/>
          <w:szCs w:val="32"/>
          <w14:textOutline w14:w="5793" w14:cap="sq" w14:cmpd="sng">
            <w14:solidFill>
              <w14:srgbClr w14:val="000000"/>
            </w14:solidFill>
            <w14:prstDash w14:val="solid"/>
            <w14:bevel/>
          </w14:textOutline>
        </w:rPr>
        <w:t>年单位预算情况</w:t>
      </w:r>
      <w:r>
        <w:rPr>
          <w:spacing w:val="2"/>
          <w:sz w:val="32"/>
          <w:szCs w:val="32"/>
          <w14:textOutline w14:w="5793" w14:cap="sq" w14:cmpd="sng">
            <w14:solidFill>
              <w14:srgbClr w14:val="000000"/>
            </w14:solidFill>
            <w14:prstDash w14:val="solid"/>
            <w14:bevel/>
          </w14:textOutline>
        </w:rPr>
        <w:t>说明</w:t>
      </w:r>
    </w:p>
    <w:p>
      <w:pPr>
        <w:spacing w:line="358" w:lineRule="auto"/>
        <w:rPr>
          <w:rFonts w:ascii="Arial"/>
          <w:sz w:val="21"/>
        </w:rPr>
      </w:pPr>
    </w:p>
    <w:p>
      <w:pPr>
        <w:spacing w:line="358" w:lineRule="auto"/>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52" w:firstLineChars="200"/>
        <w:textAlignment w:val="baseline"/>
      </w:pPr>
      <w:r>
        <w:rPr>
          <w:spacing w:val="8"/>
          <w:position w:val="21"/>
          <w14:textOutline w14:w="5793" w14:cap="sq" w14:cmpd="sng">
            <w14:solidFill>
              <w14:srgbClr w14:val="000000"/>
            </w14:solidFill>
            <w14:prstDash w14:val="solid"/>
            <w14:bevel/>
          </w14:textOutline>
        </w:rPr>
        <w:t>一、2024</w:t>
      </w:r>
      <w:r>
        <w:rPr>
          <w:spacing w:val="-61"/>
          <w:position w:val="21"/>
        </w:rPr>
        <w:t xml:space="preserve"> </w:t>
      </w:r>
      <w:r>
        <w:rPr>
          <w:spacing w:val="8"/>
          <w:position w:val="21"/>
          <w14:textOutline w14:w="5793" w14:cap="sq" w14:cmpd="sng">
            <w14:solidFill>
              <w14:srgbClr w14:val="000000"/>
            </w14:solidFill>
            <w14:prstDash w14:val="solid"/>
            <w14:bevel/>
          </w14:textOutline>
        </w:rPr>
        <w:t>年单位预算收支情况说明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4" w:firstLineChars="200"/>
        <w:textAlignment w:val="baseline"/>
        <w:rPr>
          <w:rFonts w:ascii="楷体" w:hAnsi="楷体" w:eastAsia="楷体" w:cs="楷体"/>
          <w:sz w:val="31"/>
          <w:szCs w:val="31"/>
        </w:rPr>
      </w:pPr>
      <w:r>
        <w:rPr>
          <w:rFonts w:ascii="楷体" w:hAnsi="楷体" w:eastAsia="楷体" w:cs="楷体"/>
          <w:spacing w:val="6"/>
          <w:sz w:val="31"/>
          <w:szCs w:val="31"/>
          <w14:textOutline w14:w="5793" w14:cap="sq" w14:cmpd="sng">
            <w14:solidFill>
              <w14:srgbClr w14:val="000000"/>
            </w14:solidFill>
            <w14:prstDash w14:val="solid"/>
            <w14:bevel/>
          </w14:textOutline>
        </w:rPr>
        <w:t>（一）收入预算情况</w:t>
      </w:r>
    </w:p>
    <w:p>
      <w:pPr>
        <w:keepNext w:val="0"/>
        <w:keepLines w:val="0"/>
        <w:pageBreakBefore w:val="0"/>
        <w:wordWrap/>
        <w:overflowPunct/>
        <w:topLinePunct w:val="0"/>
        <w:bidi w:val="0"/>
        <w:spacing w:before="213" w:line="600" w:lineRule="exact"/>
        <w:ind w:left="21" w:right="13" w:firstLine="658"/>
        <w:rPr>
          <w:rFonts w:ascii="仿宋" w:hAnsi="仿宋" w:eastAsia="仿宋" w:cs="仿宋"/>
          <w:sz w:val="31"/>
          <w:szCs w:val="31"/>
        </w:rPr>
      </w:pPr>
      <w:r>
        <w:rPr>
          <w:rFonts w:ascii="仿宋" w:hAnsi="仿宋" w:eastAsia="仿宋" w:cs="仿宋"/>
          <w:spacing w:val="1"/>
          <w:sz w:val="32"/>
          <w:szCs w:val="32"/>
        </w:rPr>
        <w:t>2024 年</w:t>
      </w:r>
      <w:r>
        <w:rPr>
          <w:rFonts w:ascii="仿宋" w:hAnsi="仿宋" w:eastAsia="仿宋" w:cs="仿宋"/>
          <w:spacing w:val="-74"/>
          <w:sz w:val="32"/>
          <w:szCs w:val="32"/>
        </w:rPr>
        <w:t xml:space="preserve"> </w:t>
      </w:r>
      <w:r>
        <w:rPr>
          <w:rFonts w:hint="eastAsia" w:ascii="仿宋" w:hAnsi="仿宋" w:eastAsia="仿宋" w:cs="仿宋"/>
          <w:spacing w:val="1"/>
          <w:sz w:val="32"/>
          <w:szCs w:val="32"/>
          <w:lang w:val="en-US" w:eastAsia="zh-CN"/>
        </w:rPr>
        <w:t>浮梁县行政服务中心</w:t>
      </w:r>
      <w:r>
        <w:rPr>
          <w:rFonts w:ascii="仿宋" w:hAnsi="仿宋" w:eastAsia="仿宋" w:cs="仿宋"/>
          <w:spacing w:val="1"/>
          <w:sz w:val="32"/>
          <w:szCs w:val="32"/>
        </w:rPr>
        <w:t>收入</w:t>
      </w:r>
      <w:r>
        <w:rPr>
          <w:rFonts w:ascii="仿宋" w:hAnsi="仿宋" w:eastAsia="仿宋" w:cs="仿宋"/>
          <w:spacing w:val="-82"/>
          <w:sz w:val="32"/>
          <w:szCs w:val="32"/>
        </w:rPr>
        <w:t xml:space="preserve"> </w:t>
      </w:r>
      <w:r>
        <w:rPr>
          <w:rFonts w:ascii="仿宋" w:hAnsi="仿宋" w:eastAsia="仿宋" w:cs="仿宋"/>
          <w:spacing w:val="1"/>
          <w:sz w:val="32"/>
          <w:szCs w:val="32"/>
        </w:rPr>
        <w:t>预</w:t>
      </w:r>
      <w:r>
        <w:rPr>
          <w:rFonts w:ascii="仿宋" w:hAnsi="仿宋" w:eastAsia="仿宋" w:cs="仿宋"/>
          <w:spacing w:val="-87"/>
          <w:sz w:val="32"/>
          <w:szCs w:val="32"/>
        </w:rPr>
        <w:t xml:space="preserve"> </w:t>
      </w:r>
      <w:r>
        <w:rPr>
          <w:rFonts w:ascii="仿宋" w:hAnsi="仿宋" w:eastAsia="仿宋" w:cs="仿宋"/>
          <w:spacing w:val="1"/>
          <w:sz w:val="32"/>
          <w:szCs w:val="32"/>
        </w:rPr>
        <w:t>算</w:t>
      </w:r>
      <w:r>
        <w:rPr>
          <w:rFonts w:ascii="仿宋" w:hAnsi="仿宋" w:eastAsia="仿宋" w:cs="仿宋"/>
          <w:spacing w:val="-76"/>
          <w:sz w:val="32"/>
          <w:szCs w:val="32"/>
        </w:rPr>
        <w:t xml:space="preserve"> </w:t>
      </w:r>
      <w:r>
        <w:rPr>
          <w:rFonts w:ascii="仿宋" w:hAnsi="仿宋" w:eastAsia="仿宋" w:cs="仿宋"/>
          <w:spacing w:val="1"/>
          <w:sz w:val="32"/>
          <w:szCs w:val="32"/>
        </w:rPr>
        <w:t>总</w:t>
      </w:r>
      <w:r>
        <w:rPr>
          <w:rFonts w:ascii="仿宋" w:hAnsi="仿宋" w:eastAsia="仿宋" w:cs="仿宋"/>
          <w:spacing w:val="-87"/>
          <w:sz w:val="32"/>
          <w:szCs w:val="32"/>
        </w:rPr>
        <w:t xml:space="preserve"> </w:t>
      </w:r>
      <w:r>
        <w:rPr>
          <w:rFonts w:ascii="仿宋" w:hAnsi="仿宋" w:eastAsia="仿宋" w:cs="仿宋"/>
          <w:spacing w:val="1"/>
          <w:sz w:val="32"/>
          <w:szCs w:val="32"/>
        </w:rPr>
        <w:t>额</w:t>
      </w:r>
      <w:r>
        <w:rPr>
          <w:rFonts w:ascii="仿宋" w:hAnsi="仿宋" w:eastAsia="仿宋" w:cs="仿宋"/>
          <w:spacing w:val="-86"/>
          <w:sz w:val="32"/>
          <w:szCs w:val="32"/>
        </w:rPr>
        <w:t xml:space="preserve"> </w:t>
      </w:r>
      <w:r>
        <w:rPr>
          <w:rFonts w:ascii="仿宋" w:hAnsi="仿宋" w:eastAsia="仿宋" w:cs="仿宋"/>
          <w:spacing w:val="1"/>
          <w:sz w:val="32"/>
          <w:szCs w:val="32"/>
        </w:rPr>
        <w:t>为</w:t>
      </w:r>
      <w:r>
        <w:rPr>
          <w:rFonts w:ascii="仿宋" w:hAnsi="仿宋" w:eastAsia="仿宋" w:cs="仿宋"/>
          <w:sz w:val="32"/>
          <w:szCs w:val="32"/>
        </w:rPr>
        <w:t xml:space="preserve"> </w:t>
      </w:r>
      <w:r>
        <w:rPr>
          <w:rFonts w:hint="eastAsia" w:ascii="仿宋" w:hAnsi="仿宋" w:eastAsia="仿宋" w:cs="仿宋"/>
          <w:spacing w:val="6"/>
          <w:sz w:val="32"/>
          <w:szCs w:val="32"/>
          <w:lang w:val="en-US" w:eastAsia="zh-CN"/>
        </w:rPr>
        <w:t>587.56</w:t>
      </w:r>
      <w:r>
        <w:rPr>
          <w:rFonts w:ascii="仿宋" w:hAnsi="仿宋" w:eastAsia="仿宋" w:cs="仿宋"/>
          <w:spacing w:val="6"/>
          <w:sz w:val="32"/>
          <w:szCs w:val="32"/>
        </w:rPr>
        <w:t>万元，较上年预算安排</w:t>
      </w:r>
      <w:r>
        <w:rPr>
          <w:rFonts w:hint="eastAsia" w:ascii="仿宋" w:hAnsi="仿宋" w:eastAsia="仿宋" w:cs="仿宋"/>
          <w:spacing w:val="6"/>
          <w:sz w:val="32"/>
          <w:szCs w:val="32"/>
          <w:lang w:val="en-US" w:eastAsia="zh-CN"/>
        </w:rPr>
        <w:t>增加19.31</w:t>
      </w:r>
      <w:r>
        <w:rPr>
          <w:rFonts w:ascii="仿宋" w:hAnsi="仿宋" w:eastAsia="仿宋" w:cs="仿宋"/>
          <w:spacing w:val="6"/>
          <w:sz w:val="32"/>
          <w:szCs w:val="32"/>
        </w:rPr>
        <w:t>万元</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同比增加3.39%</w:t>
      </w:r>
      <w:r>
        <w:rPr>
          <w:rFonts w:ascii="仿宋" w:hAnsi="仿宋" w:eastAsia="仿宋" w:cs="仿宋"/>
          <w:spacing w:val="6"/>
          <w:sz w:val="32"/>
          <w:szCs w:val="32"/>
        </w:rPr>
        <w:t>；财政拨</w:t>
      </w:r>
      <w:r>
        <w:rPr>
          <w:rFonts w:ascii="仿宋" w:hAnsi="仿宋" w:eastAsia="仿宋" w:cs="仿宋"/>
          <w:spacing w:val="4"/>
          <w:sz w:val="32"/>
          <w:szCs w:val="32"/>
        </w:rPr>
        <w:t>款收入</w:t>
      </w:r>
      <w:r>
        <w:rPr>
          <w:rFonts w:ascii="仿宋" w:hAnsi="仿宋" w:eastAsia="仿宋" w:cs="仿宋"/>
          <w:spacing w:val="-52"/>
          <w:sz w:val="32"/>
          <w:szCs w:val="32"/>
        </w:rPr>
        <w:t xml:space="preserve"> </w:t>
      </w:r>
      <w:r>
        <w:rPr>
          <w:rFonts w:hint="eastAsia" w:ascii="仿宋" w:hAnsi="仿宋" w:eastAsia="仿宋" w:cs="仿宋"/>
          <w:spacing w:val="4"/>
          <w:sz w:val="32"/>
          <w:szCs w:val="32"/>
          <w:lang w:val="en-US" w:eastAsia="zh-CN"/>
        </w:rPr>
        <w:t>585.28</w:t>
      </w:r>
      <w:r>
        <w:rPr>
          <w:rFonts w:ascii="仿宋" w:hAnsi="仿宋" w:eastAsia="仿宋" w:cs="仿宋"/>
          <w:spacing w:val="4"/>
          <w:sz w:val="32"/>
          <w:szCs w:val="32"/>
        </w:rPr>
        <w:t>万元，较上年预算安排</w:t>
      </w:r>
      <w:r>
        <w:rPr>
          <w:rFonts w:hint="eastAsia" w:ascii="仿宋" w:hAnsi="仿宋" w:eastAsia="仿宋" w:cs="仿宋"/>
          <w:spacing w:val="4"/>
          <w:sz w:val="32"/>
          <w:szCs w:val="32"/>
          <w:lang w:val="en-US" w:eastAsia="zh-CN"/>
        </w:rPr>
        <w:t>增加</w:t>
      </w:r>
      <w:r>
        <w:rPr>
          <w:rFonts w:ascii="仿宋" w:hAnsi="仿宋" w:eastAsia="仿宋" w:cs="仿宋"/>
          <w:spacing w:val="-52"/>
          <w:sz w:val="32"/>
          <w:szCs w:val="32"/>
        </w:rPr>
        <w:t xml:space="preserve"> </w:t>
      </w:r>
      <w:r>
        <w:rPr>
          <w:rFonts w:hint="eastAsia" w:ascii="仿宋" w:hAnsi="仿宋" w:eastAsia="仿宋" w:cs="仿宋"/>
          <w:spacing w:val="4"/>
          <w:sz w:val="32"/>
          <w:szCs w:val="32"/>
          <w:lang w:val="en-US" w:eastAsia="zh-CN"/>
        </w:rPr>
        <w:t>17.03</w:t>
      </w:r>
      <w:r>
        <w:rPr>
          <w:rFonts w:ascii="仿宋" w:hAnsi="仿宋" w:eastAsia="仿宋" w:cs="仿宋"/>
          <w:spacing w:val="3"/>
          <w:sz w:val="32"/>
          <w:szCs w:val="32"/>
        </w:rPr>
        <w:t>万元</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同比增加2.99%</w:t>
      </w:r>
      <w:r>
        <w:rPr>
          <w:rFonts w:ascii="仿宋" w:hAnsi="仿宋" w:eastAsia="仿宋" w:cs="仿宋"/>
          <w:spacing w:val="3"/>
          <w:sz w:val="32"/>
          <w:szCs w:val="32"/>
        </w:rPr>
        <w:t>；其</w:t>
      </w:r>
      <w:r>
        <w:rPr>
          <w:rFonts w:ascii="仿宋" w:hAnsi="仿宋" w:eastAsia="仿宋" w:cs="仿宋"/>
          <w:sz w:val="32"/>
          <w:szCs w:val="32"/>
        </w:rPr>
        <w:t>他收入</w:t>
      </w:r>
      <w:r>
        <w:rPr>
          <w:rFonts w:ascii="仿宋" w:hAnsi="仿宋" w:eastAsia="仿宋" w:cs="仿宋"/>
          <w:spacing w:val="-24"/>
          <w:sz w:val="32"/>
          <w:szCs w:val="32"/>
        </w:rPr>
        <w:t xml:space="preserve"> </w:t>
      </w:r>
      <w:r>
        <w:rPr>
          <w:rFonts w:hint="eastAsia" w:ascii="仿宋" w:hAnsi="仿宋" w:eastAsia="仿宋" w:cs="仿宋"/>
          <w:sz w:val="32"/>
          <w:szCs w:val="32"/>
          <w:lang w:val="en-US" w:eastAsia="zh-CN"/>
        </w:rPr>
        <w:t>2.28</w:t>
      </w:r>
      <w:r>
        <w:rPr>
          <w:rFonts w:ascii="仿宋" w:hAnsi="仿宋" w:eastAsia="仿宋" w:cs="仿宋"/>
          <w:sz w:val="32"/>
          <w:szCs w:val="32"/>
        </w:rPr>
        <w:t>万元，较上年预算安排增加</w:t>
      </w:r>
      <w:r>
        <w:rPr>
          <w:rFonts w:hint="eastAsia" w:ascii="仿宋" w:hAnsi="仿宋" w:eastAsia="仿宋" w:cs="仿宋"/>
          <w:spacing w:val="-35"/>
          <w:sz w:val="32"/>
          <w:szCs w:val="32"/>
          <w:lang w:val="en-US" w:eastAsia="zh-CN"/>
        </w:rPr>
        <w:t>2.28</w:t>
      </w:r>
      <w:r>
        <w:rPr>
          <w:rFonts w:ascii="仿宋" w:hAnsi="仿宋" w:eastAsia="仿宋" w:cs="仿宋"/>
          <w:spacing w:val="-45"/>
          <w:sz w:val="32"/>
          <w:szCs w:val="32"/>
        </w:rPr>
        <w:t xml:space="preserve"> </w:t>
      </w:r>
      <w:r>
        <w:rPr>
          <w:rFonts w:ascii="仿宋" w:hAnsi="仿宋" w:eastAsia="仿宋" w:cs="仿宋"/>
          <w:sz w:val="32"/>
          <w:szCs w:val="32"/>
        </w:rPr>
        <w:t>万元；上年结转</w:t>
      </w:r>
      <w:r>
        <w:rPr>
          <w:rFonts w:ascii="仿宋" w:hAnsi="仿宋" w:eastAsia="仿宋" w:cs="仿宋"/>
          <w:spacing w:val="-27"/>
          <w:sz w:val="32"/>
          <w:szCs w:val="32"/>
        </w:rPr>
        <w:t xml:space="preserve"> </w:t>
      </w:r>
      <w:r>
        <w:rPr>
          <w:rFonts w:hint="eastAsia" w:ascii="仿宋" w:hAnsi="仿宋" w:eastAsia="仿宋" w:cs="仿宋"/>
          <w:sz w:val="32"/>
          <w:szCs w:val="32"/>
          <w:lang w:val="en-US" w:eastAsia="zh-CN"/>
        </w:rPr>
        <w:t>0</w:t>
      </w:r>
      <w:r>
        <w:rPr>
          <w:rFonts w:ascii="仿宋" w:hAnsi="仿宋" w:eastAsia="仿宋" w:cs="仿宋"/>
          <w:sz w:val="32"/>
          <w:szCs w:val="32"/>
        </w:rPr>
        <w:t>万元，较上年</w:t>
      </w:r>
      <w:r>
        <w:rPr>
          <w:rFonts w:hint="eastAsia" w:ascii="仿宋" w:hAnsi="仿宋" w:eastAsia="仿宋" w:cs="仿宋"/>
          <w:sz w:val="32"/>
          <w:szCs w:val="32"/>
          <w:lang w:val="en-US" w:eastAsia="zh-CN"/>
        </w:rPr>
        <w:t>减少244.23</w:t>
      </w:r>
      <w:r>
        <w:rPr>
          <w:rFonts w:ascii="仿宋" w:hAnsi="仿宋" w:eastAsia="仿宋" w:cs="仿宋"/>
          <w:spacing w:val="-36"/>
          <w:sz w:val="32"/>
          <w:szCs w:val="32"/>
        </w:rPr>
        <w:t xml:space="preserve"> </w:t>
      </w:r>
      <w:r>
        <w:rPr>
          <w:rFonts w:ascii="仿宋" w:hAnsi="仿宋" w:eastAsia="仿宋" w:cs="仿宋"/>
          <w:sz w:val="32"/>
          <w:szCs w:val="32"/>
        </w:rPr>
        <w:t>万元。</w:t>
      </w:r>
    </w:p>
    <w:p>
      <w:pPr>
        <w:keepNext w:val="0"/>
        <w:keepLines w:val="0"/>
        <w:pageBreakBefore w:val="0"/>
        <w:wordWrap/>
        <w:overflowPunct/>
        <w:topLinePunct w:val="0"/>
        <w:bidi w:val="0"/>
        <w:spacing w:line="600" w:lineRule="exact"/>
        <w:ind w:left="692"/>
        <w:rPr>
          <w:rFonts w:hint="eastAsia" w:ascii="楷体" w:hAnsi="楷体" w:eastAsia="楷体" w:cs="楷体"/>
          <w:spacing w:val="6"/>
          <w:sz w:val="31"/>
          <w:szCs w:val="31"/>
          <w14:textOutline w14:w="5793" w14:cap="sq" w14:cmpd="sng">
            <w14:solidFill>
              <w14:srgbClr w14:val="000000"/>
            </w14:solidFill>
            <w14:prstDash w14:val="solid"/>
            <w14:bevel/>
          </w14:textOutline>
        </w:rPr>
      </w:pPr>
      <w:r>
        <w:rPr>
          <w:rFonts w:hint="eastAsia" w:ascii="楷体" w:hAnsi="楷体" w:eastAsia="楷体" w:cs="楷体"/>
          <w:spacing w:val="6"/>
          <w:sz w:val="31"/>
          <w:szCs w:val="31"/>
          <w14:textOutline w14:w="5793" w14:cap="sq" w14:cmpd="sng">
            <w14:solidFill>
              <w14:srgbClr w14:val="000000"/>
            </w14:solidFill>
            <w14:prstDash w14:val="solid"/>
            <w14:bevel/>
          </w14:textOutline>
        </w:rPr>
        <w:t>（二）支出预算情况</w:t>
      </w:r>
    </w:p>
    <w:p>
      <w:pPr>
        <w:keepNext w:val="0"/>
        <w:keepLines w:val="0"/>
        <w:pageBreakBefore w:val="0"/>
        <w:widowControl w:val="0"/>
        <w:kinsoku/>
        <w:wordWrap/>
        <w:overflowPunct/>
        <w:topLinePunct w:val="0"/>
        <w:autoSpaceDE/>
        <w:autoSpaceDN/>
        <w:bidi w:val="0"/>
        <w:adjustRightInd/>
        <w:snapToGrid/>
        <w:spacing w:line="600" w:lineRule="exact"/>
        <w:ind w:firstLine="630"/>
        <w:jc w:val="left"/>
        <w:textAlignment w:val="auto"/>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2024 年浮梁县行政服务中心支出预算总额为587.56万元，较上年预算安排增加19.31万元，同比增加3.39%。</w:t>
      </w:r>
    </w:p>
    <w:p>
      <w:pPr>
        <w:keepNext w:val="0"/>
        <w:keepLines w:val="0"/>
        <w:pageBreakBefore w:val="0"/>
        <w:widowControl w:val="0"/>
        <w:kinsoku/>
        <w:wordWrap/>
        <w:overflowPunct/>
        <w:topLinePunct w:val="0"/>
        <w:autoSpaceDE/>
        <w:autoSpaceDN/>
        <w:bidi w:val="0"/>
        <w:adjustRightInd/>
        <w:snapToGrid/>
        <w:spacing w:line="600" w:lineRule="exact"/>
        <w:ind w:firstLine="630"/>
        <w:jc w:val="left"/>
        <w:textAlignment w:val="auto"/>
        <w:rPr>
          <w:rFonts w:hint="eastAsia" w:ascii="仿宋" w:hAnsi="仿宋" w:eastAsia="仿宋" w:cs="仿宋"/>
          <w:sz w:val="32"/>
          <w:szCs w:val="32"/>
        </w:rPr>
      </w:pPr>
      <w:r>
        <w:rPr>
          <w:rFonts w:hint="eastAsia" w:ascii="仿宋" w:hAnsi="仿宋" w:eastAsia="仿宋" w:cs="仿宋"/>
          <w:snapToGrid/>
          <w:color w:val="auto"/>
          <w:kern w:val="2"/>
          <w:sz w:val="32"/>
          <w:szCs w:val="32"/>
          <w:lang w:val="en-US" w:eastAsia="zh-CN"/>
        </w:rPr>
        <w:t>其中：按支出项目类别划分：基本支出239.7万元，较上年预算安排减少43.81万元；其中：工资福利支出 209.94万 元，商品和服务支出 29.77 万元，对个人和家庭的补助 0万元，资本性支出20万元。项目支出345.58万元，较</w:t>
      </w:r>
      <w:r>
        <w:rPr>
          <w:rFonts w:hint="eastAsia" w:ascii="仿宋" w:hAnsi="仿宋" w:eastAsia="仿宋" w:cs="仿宋"/>
          <w:sz w:val="32"/>
          <w:szCs w:val="32"/>
        </w:rPr>
        <w:t>上年预算安排增</w:t>
      </w:r>
      <w:r>
        <w:rPr>
          <w:rFonts w:hint="eastAsia" w:ascii="仿宋" w:hAnsi="仿宋" w:eastAsia="仿宋" w:cs="仿宋"/>
          <w:sz w:val="32"/>
          <w:szCs w:val="32"/>
          <w:lang w:val="en-US" w:eastAsia="zh-CN"/>
        </w:rPr>
        <w:t>减少26.78</w:t>
      </w:r>
      <w:r>
        <w:rPr>
          <w:rFonts w:hint="eastAsia" w:ascii="仿宋" w:hAnsi="仿宋" w:eastAsia="仿宋" w:cs="仿宋"/>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按支出功能科目划分：</w:t>
      </w:r>
      <w:r>
        <w:rPr>
          <w:rFonts w:hint="eastAsia" w:ascii="仿宋" w:hAnsi="仿宋" w:eastAsia="仿宋" w:cs="仿宋"/>
          <w:sz w:val="32"/>
          <w:szCs w:val="32"/>
          <w:lang w:val="en-US" w:eastAsia="zh-CN"/>
        </w:rPr>
        <w:t>一般公共服务</w:t>
      </w:r>
      <w:r>
        <w:rPr>
          <w:rFonts w:hint="eastAsia" w:ascii="仿宋" w:hAnsi="仿宋" w:eastAsia="仿宋" w:cs="仿宋"/>
          <w:sz w:val="32"/>
          <w:szCs w:val="32"/>
        </w:rPr>
        <w:t xml:space="preserve">支出 </w:t>
      </w:r>
      <w:r>
        <w:rPr>
          <w:rFonts w:hint="eastAsia" w:ascii="仿宋" w:hAnsi="仿宋" w:eastAsia="仿宋" w:cs="仿宋"/>
          <w:sz w:val="32"/>
          <w:szCs w:val="32"/>
          <w:lang w:val="en-US" w:eastAsia="zh-CN"/>
        </w:rPr>
        <w:t>533.12</w:t>
      </w:r>
      <w:r>
        <w:rPr>
          <w:rFonts w:hint="eastAsia" w:ascii="仿宋" w:hAnsi="仿宋" w:eastAsia="仿宋" w:cs="仿宋"/>
          <w:sz w:val="32"/>
          <w:szCs w:val="32"/>
        </w:rPr>
        <w:t>万元，较上年预算安排</w:t>
      </w:r>
      <w:r>
        <w:rPr>
          <w:rFonts w:hint="eastAsia" w:ascii="仿宋" w:hAnsi="仿宋" w:eastAsia="仿宋" w:cs="仿宋"/>
          <w:sz w:val="32"/>
          <w:szCs w:val="32"/>
          <w:lang w:val="en-US" w:eastAsia="zh-CN"/>
        </w:rPr>
        <w:t>减少232.01</w:t>
      </w:r>
      <w:r>
        <w:rPr>
          <w:rFonts w:hint="eastAsia" w:ascii="仿宋" w:hAnsi="仿宋" w:eastAsia="仿宋" w:cs="仿宋"/>
          <w:sz w:val="32"/>
          <w:szCs w:val="32"/>
        </w:rPr>
        <w:t xml:space="preserve">万元；社会保障和就业支出 </w:t>
      </w:r>
      <w:r>
        <w:rPr>
          <w:rFonts w:hint="eastAsia" w:ascii="仿宋" w:hAnsi="仿宋" w:eastAsia="仿宋" w:cs="仿宋"/>
          <w:sz w:val="32"/>
          <w:szCs w:val="32"/>
          <w:lang w:val="en-US" w:eastAsia="zh-CN"/>
        </w:rPr>
        <w:t>32.47</w:t>
      </w:r>
      <w:r>
        <w:rPr>
          <w:rFonts w:hint="eastAsia" w:ascii="仿宋" w:hAnsi="仿宋" w:eastAsia="仿宋" w:cs="仿宋"/>
          <w:sz w:val="32"/>
          <w:szCs w:val="32"/>
        </w:rPr>
        <w:t>万元，较上年预算安排</w:t>
      </w:r>
      <w:r>
        <w:rPr>
          <w:rFonts w:hint="eastAsia" w:ascii="仿宋" w:hAnsi="仿宋" w:eastAsia="仿宋" w:cs="仿宋"/>
          <w:sz w:val="32"/>
          <w:szCs w:val="32"/>
          <w:lang w:val="en-US" w:eastAsia="zh-CN"/>
        </w:rPr>
        <w:t>增加4.24</w:t>
      </w:r>
      <w:r>
        <w:rPr>
          <w:rFonts w:hint="eastAsia" w:ascii="仿宋" w:hAnsi="仿宋" w:eastAsia="仿宋" w:cs="仿宋"/>
          <w:sz w:val="32"/>
          <w:szCs w:val="32"/>
        </w:rPr>
        <w:t xml:space="preserve"> 万元；卫生健康支出 </w:t>
      </w:r>
      <w:r>
        <w:rPr>
          <w:rFonts w:hint="eastAsia" w:ascii="仿宋" w:hAnsi="仿宋" w:eastAsia="仿宋" w:cs="仿宋"/>
          <w:sz w:val="32"/>
          <w:szCs w:val="32"/>
          <w:lang w:val="en-US" w:eastAsia="zh-CN"/>
        </w:rPr>
        <w:t>5.74</w:t>
      </w:r>
      <w:r>
        <w:rPr>
          <w:rFonts w:hint="eastAsia" w:ascii="仿宋" w:hAnsi="仿宋" w:eastAsia="仿宋" w:cs="仿宋"/>
          <w:sz w:val="32"/>
          <w:szCs w:val="32"/>
        </w:rPr>
        <w:t>万元，较上年预算安排</w:t>
      </w:r>
      <w:r>
        <w:rPr>
          <w:rFonts w:hint="eastAsia" w:ascii="仿宋" w:hAnsi="仿宋" w:eastAsia="仿宋" w:cs="仿宋"/>
          <w:sz w:val="32"/>
          <w:szCs w:val="32"/>
          <w:lang w:val="en-US" w:eastAsia="zh-CN"/>
        </w:rPr>
        <w:t>增加1.13</w:t>
      </w:r>
      <w:r>
        <w:rPr>
          <w:rFonts w:hint="eastAsia" w:ascii="仿宋" w:hAnsi="仿宋" w:eastAsia="仿宋" w:cs="仿宋"/>
          <w:sz w:val="32"/>
          <w:szCs w:val="32"/>
        </w:rPr>
        <w:t xml:space="preserve">万元；住房保障支出 </w:t>
      </w:r>
      <w:r>
        <w:rPr>
          <w:rFonts w:hint="eastAsia" w:ascii="仿宋" w:hAnsi="仿宋" w:eastAsia="仿宋" w:cs="仿宋"/>
          <w:sz w:val="32"/>
          <w:szCs w:val="32"/>
          <w:lang w:val="en-US" w:eastAsia="zh-CN"/>
        </w:rPr>
        <w:t>16.23</w:t>
      </w:r>
      <w:r>
        <w:rPr>
          <w:rFonts w:hint="eastAsia" w:ascii="仿宋" w:hAnsi="仿宋" w:eastAsia="仿宋" w:cs="仿宋"/>
          <w:sz w:val="32"/>
          <w:szCs w:val="32"/>
        </w:rPr>
        <w:t>万元，较上年预算安排</w:t>
      </w:r>
      <w:r>
        <w:rPr>
          <w:rFonts w:hint="eastAsia" w:ascii="仿宋" w:hAnsi="仿宋" w:eastAsia="仿宋" w:cs="仿宋"/>
          <w:sz w:val="32"/>
          <w:szCs w:val="32"/>
          <w:lang w:val="en-US" w:eastAsia="zh-CN"/>
        </w:rPr>
        <w:t>增加1.72</w:t>
      </w:r>
      <w:r>
        <w:rPr>
          <w:rFonts w:hint="eastAsia" w:ascii="仿宋" w:hAnsi="仿宋" w:eastAsia="仿宋" w:cs="仿宋"/>
          <w:sz w:val="32"/>
          <w:szCs w:val="32"/>
        </w:rPr>
        <w:t>万元。</w:t>
      </w:r>
    </w:p>
    <w:p>
      <w:pPr>
        <w:keepNext w:val="0"/>
        <w:keepLines w:val="0"/>
        <w:pageBreakBefore w:val="0"/>
        <w:wordWrap/>
        <w:overflowPunct/>
        <w:topLinePunct w:val="0"/>
        <w:bidi w:val="0"/>
        <w:spacing w:line="600" w:lineRule="exact"/>
        <w:ind w:left="692"/>
        <w:rPr>
          <w:rFonts w:hint="eastAsia" w:ascii="楷体" w:hAnsi="楷体" w:eastAsia="楷体" w:cs="楷体"/>
          <w:spacing w:val="6"/>
          <w:sz w:val="31"/>
          <w:szCs w:val="31"/>
          <w14:textOutline w14:w="5793" w14:cap="sq" w14:cmpd="sng">
            <w14:solidFill>
              <w14:srgbClr w14:val="000000"/>
            </w14:solidFill>
            <w14:prstDash w14:val="solid"/>
            <w14:bevel/>
          </w14:textOutline>
        </w:rPr>
      </w:pPr>
      <w:r>
        <w:rPr>
          <w:rFonts w:hint="eastAsia" w:ascii="楷体" w:hAnsi="楷体" w:eastAsia="楷体" w:cs="楷体"/>
          <w:spacing w:val="6"/>
          <w:sz w:val="31"/>
          <w:szCs w:val="31"/>
          <w14:textOutline w14:w="5793" w14:cap="sq" w14:cmpd="sng">
            <w14:solidFill>
              <w14:srgbClr w14:val="000000"/>
            </w14:solidFill>
            <w14:prstDash w14:val="solid"/>
            <w14:bevel/>
          </w14:textOutline>
        </w:rPr>
        <w:t>（三）财政拨款支出情况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浮梁县行政服务中心</w:t>
      </w:r>
      <w:r>
        <w:rPr>
          <w:rFonts w:hint="eastAsia" w:ascii="仿宋" w:hAnsi="仿宋" w:eastAsia="仿宋" w:cs="仿宋"/>
          <w:sz w:val="32"/>
          <w:szCs w:val="32"/>
        </w:rPr>
        <w:t xml:space="preserve">财政拨款支出预算总额 </w:t>
      </w:r>
      <w:r>
        <w:rPr>
          <w:rFonts w:hint="eastAsia" w:ascii="仿宋" w:hAnsi="仿宋" w:eastAsia="仿宋" w:cs="仿宋"/>
          <w:sz w:val="32"/>
          <w:szCs w:val="32"/>
          <w:lang w:val="en-US" w:eastAsia="zh-CN"/>
        </w:rPr>
        <w:t>585.28</w:t>
      </w:r>
      <w:r>
        <w:rPr>
          <w:rFonts w:hint="eastAsia" w:ascii="仿宋" w:hAnsi="仿宋" w:eastAsia="仿宋" w:cs="仿宋"/>
          <w:sz w:val="32"/>
          <w:szCs w:val="32"/>
        </w:rPr>
        <w:t>万元，较上年预算安排减少</w:t>
      </w:r>
      <w:r>
        <w:rPr>
          <w:rFonts w:hint="eastAsia" w:ascii="仿宋" w:hAnsi="仿宋" w:eastAsia="仿宋" w:cs="仿宋"/>
          <w:sz w:val="32"/>
          <w:szCs w:val="32"/>
          <w:lang w:val="en-US" w:eastAsia="zh-CN"/>
        </w:rPr>
        <w:t>17.03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同比增加2.99%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0"/>
        <w:jc w:val="left"/>
        <w:textAlignment w:val="auto"/>
        <w:rPr>
          <w:rFonts w:hint="eastAsia" w:ascii="仿宋" w:hAnsi="仿宋" w:eastAsia="仿宋" w:cs="仿宋"/>
          <w:sz w:val="32"/>
          <w:szCs w:val="32"/>
        </w:rPr>
      </w:pPr>
      <w:r>
        <w:rPr>
          <w:rFonts w:hint="eastAsia" w:ascii="仿宋" w:hAnsi="仿宋" w:eastAsia="仿宋" w:cs="仿宋"/>
          <w:sz w:val="32"/>
          <w:szCs w:val="32"/>
        </w:rPr>
        <w:t>其中：按支出项目类别划分：基本支出 478.58 万元，较上年 预算安排减少 100.86 万元；其中：</w:t>
      </w:r>
      <w:r>
        <w:rPr>
          <w:rFonts w:hint="eastAsia" w:ascii="仿宋" w:hAnsi="仿宋" w:eastAsia="仿宋" w:cs="仿宋"/>
          <w:snapToGrid/>
          <w:color w:val="auto"/>
          <w:kern w:val="2"/>
          <w:sz w:val="32"/>
          <w:szCs w:val="32"/>
          <w:lang w:val="en-US" w:eastAsia="zh-CN"/>
        </w:rPr>
        <w:t>工资福利支出 209.94万 元，商品和服务支出 29.77 万元，对个人和家庭的补助 0万元，资本性支出 0万元。项目支出345.58万元，较</w:t>
      </w:r>
      <w:r>
        <w:rPr>
          <w:rFonts w:hint="eastAsia" w:ascii="仿宋" w:hAnsi="仿宋" w:eastAsia="仿宋" w:cs="仿宋"/>
          <w:sz w:val="32"/>
          <w:szCs w:val="32"/>
        </w:rPr>
        <w:t>上年预算安排增</w:t>
      </w:r>
      <w:r>
        <w:rPr>
          <w:rFonts w:hint="eastAsia" w:ascii="仿宋" w:hAnsi="仿宋" w:eastAsia="仿宋" w:cs="仿宋"/>
          <w:sz w:val="32"/>
          <w:szCs w:val="32"/>
          <w:lang w:val="en-US" w:eastAsia="zh-CN"/>
        </w:rPr>
        <w:t>减少26.78</w:t>
      </w:r>
      <w:r>
        <w:rPr>
          <w:rFonts w:hint="eastAsia" w:ascii="仿宋" w:hAnsi="仿宋" w:eastAsia="仿宋" w:cs="仿宋"/>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按支出功能科目划分：：</w:t>
      </w:r>
      <w:r>
        <w:rPr>
          <w:rFonts w:hint="eastAsia" w:ascii="仿宋" w:hAnsi="仿宋" w:eastAsia="仿宋" w:cs="仿宋"/>
          <w:sz w:val="32"/>
          <w:szCs w:val="32"/>
          <w:lang w:val="en-US" w:eastAsia="zh-CN"/>
        </w:rPr>
        <w:t>一般公共服务</w:t>
      </w:r>
      <w:r>
        <w:rPr>
          <w:rFonts w:hint="eastAsia" w:ascii="仿宋" w:hAnsi="仿宋" w:eastAsia="仿宋" w:cs="仿宋"/>
          <w:sz w:val="32"/>
          <w:szCs w:val="32"/>
        </w:rPr>
        <w:t xml:space="preserve">支出 </w:t>
      </w:r>
      <w:r>
        <w:rPr>
          <w:rFonts w:hint="eastAsia" w:ascii="仿宋" w:hAnsi="仿宋" w:eastAsia="仿宋" w:cs="仿宋"/>
          <w:sz w:val="32"/>
          <w:szCs w:val="32"/>
          <w:lang w:val="en-US" w:eastAsia="zh-CN"/>
        </w:rPr>
        <w:t>530.84</w:t>
      </w:r>
      <w:r>
        <w:rPr>
          <w:rFonts w:hint="eastAsia" w:ascii="仿宋" w:hAnsi="仿宋" w:eastAsia="仿宋" w:cs="仿宋"/>
          <w:sz w:val="32"/>
          <w:szCs w:val="32"/>
        </w:rPr>
        <w:t>万元，较上年预算安排</w:t>
      </w:r>
      <w:r>
        <w:rPr>
          <w:rFonts w:hint="eastAsia" w:ascii="仿宋" w:hAnsi="仿宋" w:eastAsia="仿宋" w:cs="仿宋"/>
          <w:sz w:val="32"/>
          <w:szCs w:val="32"/>
          <w:lang w:val="en-US" w:eastAsia="zh-CN"/>
        </w:rPr>
        <w:t>增加9.94</w:t>
      </w:r>
      <w:r>
        <w:rPr>
          <w:rFonts w:hint="eastAsia" w:ascii="仿宋" w:hAnsi="仿宋" w:eastAsia="仿宋" w:cs="仿宋"/>
          <w:sz w:val="32"/>
          <w:szCs w:val="32"/>
        </w:rPr>
        <w:t xml:space="preserve">万元；社会保障和就业支出 </w:t>
      </w:r>
      <w:r>
        <w:rPr>
          <w:rFonts w:hint="eastAsia" w:ascii="仿宋" w:hAnsi="仿宋" w:eastAsia="仿宋" w:cs="仿宋"/>
          <w:sz w:val="32"/>
          <w:szCs w:val="32"/>
          <w:lang w:val="en-US" w:eastAsia="zh-CN"/>
        </w:rPr>
        <w:t>32.47</w:t>
      </w:r>
      <w:r>
        <w:rPr>
          <w:rFonts w:hint="eastAsia" w:ascii="仿宋" w:hAnsi="仿宋" w:eastAsia="仿宋" w:cs="仿宋"/>
          <w:sz w:val="32"/>
          <w:szCs w:val="32"/>
        </w:rPr>
        <w:t>万元，较上年预算安排</w:t>
      </w:r>
      <w:r>
        <w:rPr>
          <w:rFonts w:hint="eastAsia" w:ascii="仿宋" w:hAnsi="仿宋" w:eastAsia="仿宋" w:cs="仿宋"/>
          <w:sz w:val="32"/>
          <w:szCs w:val="32"/>
          <w:lang w:val="en-US" w:eastAsia="zh-CN"/>
        </w:rPr>
        <w:t>增加4.24</w:t>
      </w:r>
      <w:r>
        <w:rPr>
          <w:rFonts w:hint="eastAsia" w:ascii="仿宋" w:hAnsi="仿宋" w:eastAsia="仿宋" w:cs="仿宋"/>
          <w:sz w:val="32"/>
          <w:szCs w:val="32"/>
        </w:rPr>
        <w:t xml:space="preserve"> 万元；卫生健康支出 </w:t>
      </w:r>
      <w:r>
        <w:rPr>
          <w:rFonts w:hint="eastAsia" w:ascii="仿宋" w:hAnsi="仿宋" w:eastAsia="仿宋" w:cs="仿宋"/>
          <w:sz w:val="32"/>
          <w:szCs w:val="32"/>
          <w:lang w:val="en-US" w:eastAsia="zh-CN"/>
        </w:rPr>
        <w:t>5.74</w:t>
      </w:r>
      <w:r>
        <w:rPr>
          <w:rFonts w:hint="eastAsia" w:ascii="仿宋" w:hAnsi="仿宋" w:eastAsia="仿宋" w:cs="仿宋"/>
          <w:sz w:val="32"/>
          <w:szCs w:val="32"/>
        </w:rPr>
        <w:t>万元，较上年预算安排</w:t>
      </w:r>
      <w:r>
        <w:rPr>
          <w:rFonts w:hint="eastAsia" w:ascii="仿宋" w:hAnsi="仿宋" w:eastAsia="仿宋" w:cs="仿宋"/>
          <w:sz w:val="32"/>
          <w:szCs w:val="32"/>
          <w:lang w:val="en-US" w:eastAsia="zh-CN"/>
        </w:rPr>
        <w:t>增加1.13</w:t>
      </w:r>
      <w:r>
        <w:rPr>
          <w:rFonts w:hint="eastAsia" w:ascii="仿宋" w:hAnsi="仿宋" w:eastAsia="仿宋" w:cs="仿宋"/>
          <w:sz w:val="32"/>
          <w:szCs w:val="32"/>
        </w:rPr>
        <w:t xml:space="preserve">万元；住房保障支出 </w:t>
      </w:r>
      <w:r>
        <w:rPr>
          <w:rFonts w:hint="eastAsia" w:ascii="仿宋" w:hAnsi="仿宋" w:eastAsia="仿宋" w:cs="仿宋"/>
          <w:sz w:val="32"/>
          <w:szCs w:val="32"/>
          <w:lang w:val="en-US" w:eastAsia="zh-CN"/>
        </w:rPr>
        <w:t>16.23</w:t>
      </w:r>
      <w:r>
        <w:rPr>
          <w:rFonts w:hint="eastAsia" w:ascii="仿宋" w:hAnsi="仿宋" w:eastAsia="仿宋" w:cs="仿宋"/>
          <w:sz w:val="32"/>
          <w:szCs w:val="32"/>
        </w:rPr>
        <w:t>万元，较上年预算安排</w:t>
      </w:r>
      <w:r>
        <w:rPr>
          <w:rFonts w:hint="eastAsia" w:ascii="仿宋" w:hAnsi="仿宋" w:eastAsia="仿宋" w:cs="仿宋"/>
          <w:sz w:val="32"/>
          <w:szCs w:val="32"/>
          <w:lang w:val="en-US" w:eastAsia="zh-CN"/>
        </w:rPr>
        <w:t>增加1.72</w:t>
      </w:r>
      <w:r>
        <w:rPr>
          <w:rFonts w:hint="eastAsia" w:ascii="仿宋" w:hAnsi="仿宋" w:eastAsia="仿宋" w:cs="仿宋"/>
          <w:sz w:val="32"/>
          <w:szCs w:val="32"/>
        </w:rPr>
        <w:t>万元。</w:t>
      </w:r>
    </w:p>
    <w:p>
      <w:pPr>
        <w:keepNext w:val="0"/>
        <w:keepLines w:val="0"/>
        <w:pageBreakBefore w:val="0"/>
        <w:wordWrap/>
        <w:overflowPunct/>
        <w:topLinePunct w:val="0"/>
        <w:bidi w:val="0"/>
        <w:spacing w:line="600" w:lineRule="exact"/>
        <w:ind w:left="692"/>
        <w:rPr>
          <w:rFonts w:hint="eastAsia" w:ascii="楷体" w:hAnsi="楷体" w:eastAsia="楷体" w:cs="楷体"/>
          <w:spacing w:val="6"/>
          <w:sz w:val="31"/>
          <w:szCs w:val="31"/>
          <w14:textOutline w14:w="5793" w14:cap="sq" w14:cmpd="sng">
            <w14:solidFill>
              <w14:srgbClr w14:val="000000"/>
            </w14:solidFill>
            <w14:prstDash w14:val="solid"/>
            <w14:bevel/>
          </w14:textOutline>
        </w:rPr>
      </w:pPr>
      <w:r>
        <w:rPr>
          <w:rFonts w:hint="eastAsia" w:ascii="楷体" w:hAnsi="楷体" w:eastAsia="楷体" w:cs="楷体"/>
          <w:spacing w:val="6"/>
          <w:sz w:val="31"/>
          <w:szCs w:val="31"/>
          <w14:textOutline w14:w="5793" w14:cap="sq" w14:cmpd="sng">
            <w14:solidFill>
              <w14:srgbClr w14:val="000000"/>
            </w14:solidFill>
            <w14:prstDash w14:val="solid"/>
            <w14:bevel/>
          </w14:textOutline>
        </w:rPr>
        <w:t>（四）政府性基金情况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2024 年</w:t>
      </w:r>
      <w:r>
        <w:rPr>
          <w:rFonts w:hint="eastAsia" w:ascii="仿宋" w:hAnsi="仿宋" w:eastAsia="仿宋" w:cs="仿宋"/>
          <w:sz w:val="32"/>
          <w:szCs w:val="32"/>
          <w:lang w:val="en-US" w:eastAsia="zh-CN"/>
        </w:rPr>
        <w:t>浮梁县行政服务中心</w:t>
      </w:r>
      <w:r>
        <w:rPr>
          <w:rFonts w:hint="eastAsia" w:ascii="仿宋" w:hAnsi="仿宋" w:eastAsia="仿宋" w:cs="仿宋"/>
          <w:sz w:val="32"/>
          <w:szCs w:val="32"/>
        </w:rPr>
        <w:t>没有使用政府性基金预算拨款安排的支出。</w:t>
      </w:r>
    </w:p>
    <w:p>
      <w:pPr>
        <w:keepNext w:val="0"/>
        <w:keepLines w:val="0"/>
        <w:pageBreakBefore w:val="0"/>
        <w:wordWrap/>
        <w:overflowPunct/>
        <w:topLinePunct w:val="0"/>
        <w:bidi w:val="0"/>
        <w:spacing w:line="600" w:lineRule="exact"/>
        <w:ind w:left="692"/>
        <w:rPr>
          <w:rFonts w:hint="eastAsia" w:ascii="楷体" w:hAnsi="楷体" w:eastAsia="楷体" w:cs="楷体"/>
          <w:spacing w:val="6"/>
          <w:sz w:val="31"/>
          <w:szCs w:val="31"/>
          <w14:textOutline w14:w="5793" w14:cap="sq" w14:cmpd="sng">
            <w14:solidFill>
              <w14:srgbClr w14:val="000000"/>
            </w14:solidFill>
            <w14:prstDash w14:val="solid"/>
            <w14:bevel/>
          </w14:textOutline>
        </w:rPr>
      </w:pPr>
      <w:r>
        <w:rPr>
          <w:rFonts w:hint="eastAsia" w:ascii="楷体" w:hAnsi="楷体" w:eastAsia="楷体" w:cs="楷体"/>
          <w:spacing w:val="6"/>
          <w:sz w:val="31"/>
          <w:szCs w:val="31"/>
          <w14:textOutline w14:w="5793" w14:cap="sq" w14:cmpd="sng">
            <w14:solidFill>
              <w14:srgbClr w14:val="000000"/>
            </w14:solidFill>
            <w14:prstDash w14:val="solid"/>
            <w14:bevel/>
          </w14:textOutline>
        </w:rPr>
        <w:t>（五）国有资本经营情况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2024 年</w:t>
      </w:r>
      <w:r>
        <w:rPr>
          <w:rFonts w:hint="eastAsia" w:ascii="仿宋" w:hAnsi="仿宋" w:eastAsia="仿宋" w:cs="仿宋"/>
          <w:sz w:val="32"/>
          <w:szCs w:val="32"/>
          <w:lang w:val="en-US" w:eastAsia="zh-CN"/>
        </w:rPr>
        <w:t>浮梁县行政服务中心</w:t>
      </w:r>
      <w:r>
        <w:rPr>
          <w:rFonts w:hint="eastAsia" w:ascii="仿宋" w:hAnsi="仿宋" w:eastAsia="仿宋" w:cs="仿宋"/>
          <w:sz w:val="32"/>
          <w:szCs w:val="32"/>
        </w:rPr>
        <w:t>没有使用国有资本经营预算拨款安排的支出。</w:t>
      </w:r>
    </w:p>
    <w:p>
      <w:pPr>
        <w:keepNext w:val="0"/>
        <w:keepLines w:val="0"/>
        <w:pageBreakBefore w:val="0"/>
        <w:wordWrap/>
        <w:overflowPunct/>
        <w:topLinePunct w:val="0"/>
        <w:bidi w:val="0"/>
        <w:spacing w:before="226" w:line="600" w:lineRule="exact"/>
        <w:ind w:left="692"/>
        <w:rPr>
          <w:rFonts w:ascii="楷体" w:hAnsi="楷体" w:eastAsia="楷体" w:cs="楷体"/>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（六）机关运行经费等重要事项的说明</w:t>
      </w:r>
    </w:p>
    <w:p>
      <w:pPr>
        <w:keepNext w:val="0"/>
        <w:keepLines w:val="0"/>
        <w:pageBreakBefore w:val="0"/>
        <w:wordWrap/>
        <w:overflowPunct/>
        <w:topLinePunct w:val="0"/>
        <w:bidi w:val="0"/>
        <w:spacing w:before="215" w:line="600" w:lineRule="exact"/>
        <w:ind w:right="16"/>
        <w:jc w:val="right"/>
        <w:rPr>
          <w:rFonts w:ascii="仿宋" w:hAnsi="仿宋" w:eastAsia="仿宋" w:cs="仿宋"/>
          <w:sz w:val="31"/>
          <w:szCs w:val="31"/>
        </w:rPr>
      </w:pPr>
      <w:r>
        <w:rPr>
          <w:rFonts w:ascii="仿宋" w:hAnsi="仿宋" w:eastAsia="仿宋" w:cs="仿宋"/>
          <w:spacing w:val="1"/>
          <w:position w:val="21"/>
          <w:sz w:val="31"/>
          <w:szCs w:val="31"/>
        </w:rPr>
        <w:t>2024</w:t>
      </w:r>
      <w:r>
        <w:rPr>
          <w:rFonts w:ascii="仿宋" w:hAnsi="仿宋" w:eastAsia="仿宋" w:cs="仿宋"/>
          <w:spacing w:val="-56"/>
          <w:position w:val="21"/>
          <w:sz w:val="31"/>
          <w:szCs w:val="31"/>
        </w:rPr>
        <w:t xml:space="preserve"> </w:t>
      </w:r>
      <w:r>
        <w:rPr>
          <w:rFonts w:ascii="仿宋" w:hAnsi="仿宋" w:eastAsia="仿宋" w:cs="仿宋"/>
          <w:spacing w:val="1"/>
          <w:position w:val="21"/>
          <w:sz w:val="31"/>
          <w:szCs w:val="31"/>
        </w:rPr>
        <w:t>年单位机关运行费预算</w:t>
      </w:r>
      <w:r>
        <w:rPr>
          <w:rFonts w:ascii="仿宋" w:hAnsi="仿宋" w:eastAsia="仿宋" w:cs="仿宋"/>
          <w:spacing w:val="-39"/>
          <w:position w:val="21"/>
          <w:sz w:val="31"/>
          <w:szCs w:val="31"/>
        </w:rPr>
        <w:t xml:space="preserve"> </w:t>
      </w:r>
      <w:r>
        <w:rPr>
          <w:rFonts w:hint="eastAsia" w:ascii="仿宋" w:hAnsi="仿宋" w:eastAsia="仿宋" w:cs="仿宋"/>
          <w:spacing w:val="1"/>
          <w:position w:val="21"/>
          <w:sz w:val="31"/>
          <w:szCs w:val="31"/>
          <w:lang w:val="en-US" w:eastAsia="zh-CN"/>
        </w:rPr>
        <w:t>29.77</w:t>
      </w:r>
      <w:r>
        <w:rPr>
          <w:rFonts w:ascii="仿宋" w:hAnsi="仿宋" w:eastAsia="仿宋" w:cs="仿宋"/>
          <w:spacing w:val="1"/>
          <w:position w:val="21"/>
          <w:sz w:val="31"/>
          <w:szCs w:val="31"/>
        </w:rPr>
        <w:t>万元，较上年预算减</w:t>
      </w:r>
    </w:p>
    <w:p>
      <w:pPr>
        <w:keepNext w:val="0"/>
        <w:keepLines w:val="0"/>
        <w:pageBreakBefore w:val="0"/>
        <w:wordWrap/>
        <w:overflowPunct/>
        <w:topLinePunct w:val="0"/>
        <w:bidi w:val="0"/>
        <w:spacing w:before="1" w:line="600" w:lineRule="exact"/>
        <w:ind w:left="26"/>
        <w:rPr>
          <w:rFonts w:ascii="仿宋" w:hAnsi="仿宋" w:eastAsia="仿宋" w:cs="仿宋"/>
          <w:sz w:val="31"/>
          <w:szCs w:val="31"/>
        </w:rPr>
      </w:pPr>
      <w:r>
        <w:rPr>
          <w:rFonts w:ascii="仿宋" w:hAnsi="仿宋" w:eastAsia="仿宋" w:cs="仿宋"/>
          <w:sz w:val="31"/>
          <w:szCs w:val="31"/>
        </w:rPr>
        <w:t>少</w:t>
      </w:r>
      <w:r>
        <w:rPr>
          <w:rFonts w:ascii="仿宋" w:hAnsi="仿宋" w:eastAsia="仿宋" w:cs="仿宋"/>
          <w:spacing w:val="-32"/>
          <w:sz w:val="31"/>
          <w:szCs w:val="31"/>
        </w:rPr>
        <w:t xml:space="preserve"> </w:t>
      </w:r>
      <w:r>
        <w:rPr>
          <w:rFonts w:hint="eastAsia" w:ascii="仿宋" w:hAnsi="仿宋" w:eastAsia="仿宋" w:cs="仿宋"/>
          <w:sz w:val="31"/>
          <w:szCs w:val="31"/>
          <w:lang w:val="en-US" w:eastAsia="zh-CN"/>
        </w:rPr>
        <w:t>16.54</w:t>
      </w:r>
      <w:r>
        <w:rPr>
          <w:rFonts w:ascii="仿宋" w:hAnsi="仿宋" w:eastAsia="仿宋" w:cs="仿宋"/>
          <w:sz w:val="31"/>
          <w:szCs w:val="31"/>
        </w:rPr>
        <w:t>万元，</w:t>
      </w:r>
      <w:r>
        <w:rPr>
          <w:rFonts w:hint="eastAsia" w:ascii="仿宋" w:hAnsi="仿宋" w:eastAsia="仿宋" w:cs="仿宋"/>
          <w:sz w:val="31"/>
          <w:szCs w:val="31"/>
          <w:lang w:val="en-US" w:eastAsia="zh-CN"/>
        </w:rPr>
        <w:t>增加125%</w:t>
      </w:r>
      <w:r>
        <w:rPr>
          <w:rFonts w:ascii="仿宋" w:hAnsi="仿宋" w:eastAsia="仿宋" w:cs="仿宋"/>
          <w:sz w:val="31"/>
          <w:szCs w:val="31"/>
        </w:rPr>
        <w:t>。</w:t>
      </w:r>
    </w:p>
    <w:p>
      <w:pPr>
        <w:keepNext w:val="0"/>
        <w:keepLines w:val="0"/>
        <w:pageBreakBefore w:val="0"/>
        <w:wordWrap/>
        <w:overflowPunct/>
        <w:topLinePunct w:val="0"/>
        <w:bidi w:val="0"/>
        <w:spacing w:before="226" w:line="600" w:lineRule="exact"/>
        <w:ind w:left="692"/>
        <w:rPr>
          <w:rFonts w:hint="eastAsia" w:ascii="楷体" w:hAnsi="楷体" w:eastAsia="楷体" w:cs="楷体"/>
          <w:spacing w:val="8"/>
          <w:sz w:val="31"/>
          <w:szCs w:val="31"/>
          <w14:textOutline w14:w="5793" w14:cap="sq" w14:cmpd="sng">
            <w14:solidFill>
              <w14:srgbClr w14:val="000000"/>
            </w14:solidFill>
            <w14:prstDash w14:val="solid"/>
            <w14:bevel/>
          </w14:textOutline>
        </w:rPr>
      </w:pPr>
      <w:r>
        <w:rPr>
          <w:rFonts w:hint="eastAsia" w:ascii="楷体" w:hAnsi="楷体" w:eastAsia="楷体" w:cs="楷体"/>
          <w:spacing w:val="8"/>
          <w:sz w:val="31"/>
          <w:szCs w:val="31"/>
          <w14:textOutline w14:w="5793" w14:cap="sq" w14:cmpd="sng">
            <w14:solidFill>
              <w14:srgbClr w14:val="000000"/>
            </w14:solidFill>
            <w14:prstDash w14:val="solid"/>
            <w14:bevel/>
          </w14:textOutline>
        </w:rPr>
        <w:t>（七）政府采购情况</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left="28"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2024 年政府采购总额</w:t>
      </w:r>
      <w:r>
        <w:rPr>
          <w:rFonts w:hint="eastAsia" w:ascii="仿宋" w:hAnsi="仿宋" w:eastAsia="仿宋" w:cs="仿宋"/>
          <w:sz w:val="32"/>
          <w:szCs w:val="32"/>
          <w:lang w:val="en-US" w:eastAsia="zh-CN"/>
        </w:rPr>
        <w:t>20</w:t>
      </w:r>
      <w:r>
        <w:rPr>
          <w:rFonts w:hint="eastAsia" w:ascii="仿宋" w:hAnsi="仿宋" w:eastAsia="仿宋" w:cs="仿宋"/>
          <w:sz w:val="32"/>
          <w:szCs w:val="32"/>
        </w:rPr>
        <w:t>万元，其中：集中采购</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万元，分散采购 </w:t>
      </w:r>
      <w:r>
        <w:rPr>
          <w:rFonts w:hint="eastAsia" w:ascii="仿宋" w:hAnsi="仿宋" w:eastAsia="仿宋" w:cs="仿宋"/>
          <w:sz w:val="32"/>
          <w:szCs w:val="32"/>
          <w:lang w:val="en-US" w:eastAsia="zh-CN"/>
        </w:rPr>
        <w:t>20</w:t>
      </w:r>
      <w:r>
        <w:rPr>
          <w:rFonts w:hint="eastAsia" w:ascii="仿宋" w:hAnsi="仿宋" w:eastAsia="仿宋" w:cs="仿宋"/>
          <w:sz w:val="32"/>
          <w:szCs w:val="32"/>
        </w:rPr>
        <w:t>万元，政府购买服务 0 万元。</w:t>
      </w:r>
    </w:p>
    <w:p>
      <w:pPr>
        <w:keepNext w:val="0"/>
        <w:keepLines w:val="0"/>
        <w:pageBreakBefore w:val="0"/>
        <w:wordWrap/>
        <w:overflowPunct/>
        <w:topLinePunct w:val="0"/>
        <w:bidi w:val="0"/>
        <w:spacing w:before="214" w:line="600" w:lineRule="exact"/>
        <w:ind w:left="692"/>
        <w:rPr>
          <w:rFonts w:ascii="楷体" w:hAnsi="楷体" w:eastAsia="楷体" w:cs="楷体"/>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（八）国有资产占有使用情况</w:t>
      </w:r>
    </w:p>
    <w:p>
      <w:pPr>
        <w:keepNext w:val="0"/>
        <w:keepLines w:val="0"/>
        <w:pageBreakBefore w:val="0"/>
        <w:widowControl/>
        <w:kinsoku w:val="0"/>
        <w:wordWrap/>
        <w:overflowPunct/>
        <w:topLinePunct w:val="0"/>
        <w:autoSpaceDE w:val="0"/>
        <w:autoSpaceDN w:val="0"/>
        <w:bidi w:val="0"/>
        <w:adjustRightInd w:val="0"/>
        <w:snapToGrid w:val="0"/>
        <w:spacing w:before="218" w:line="600" w:lineRule="exact"/>
        <w:ind w:left="30" w:right="13" w:firstLine="642"/>
        <w:jc w:val="both"/>
        <w:textAlignment w:val="baseline"/>
        <w:rPr>
          <w:rFonts w:ascii="仿宋" w:hAnsi="仿宋" w:eastAsia="仿宋" w:cs="仿宋"/>
          <w:sz w:val="31"/>
          <w:szCs w:val="31"/>
        </w:rPr>
      </w:pPr>
      <w:r>
        <w:rPr>
          <w:rFonts w:ascii="仿宋" w:hAnsi="仿宋" w:eastAsia="仿宋" w:cs="仿宋"/>
          <w:spacing w:val="-3"/>
          <w:sz w:val="31"/>
          <w:szCs w:val="31"/>
        </w:rPr>
        <w:t>截至</w:t>
      </w:r>
      <w:r>
        <w:rPr>
          <w:rFonts w:ascii="仿宋" w:hAnsi="仿宋" w:eastAsia="仿宋" w:cs="仿宋"/>
          <w:spacing w:val="-39"/>
          <w:sz w:val="31"/>
          <w:szCs w:val="31"/>
        </w:rPr>
        <w:t xml:space="preserve"> </w:t>
      </w:r>
      <w:r>
        <w:rPr>
          <w:rFonts w:ascii="仿宋" w:hAnsi="仿宋" w:eastAsia="仿宋" w:cs="仿宋"/>
          <w:spacing w:val="-3"/>
          <w:sz w:val="31"/>
          <w:szCs w:val="31"/>
        </w:rPr>
        <w:t>2023</w:t>
      </w:r>
      <w:r>
        <w:rPr>
          <w:rFonts w:ascii="仿宋" w:hAnsi="仿宋" w:eastAsia="仿宋" w:cs="仿宋"/>
          <w:spacing w:val="-58"/>
          <w:sz w:val="31"/>
          <w:szCs w:val="31"/>
        </w:rPr>
        <w:t xml:space="preserve"> </w:t>
      </w:r>
      <w:r>
        <w:rPr>
          <w:rFonts w:ascii="仿宋" w:hAnsi="仿宋" w:eastAsia="仿宋" w:cs="仿宋"/>
          <w:spacing w:val="-3"/>
          <w:sz w:val="31"/>
          <w:szCs w:val="31"/>
        </w:rPr>
        <w:t>年</w:t>
      </w:r>
      <w:r>
        <w:rPr>
          <w:rFonts w:ascii="仿宋" w:hAnsi="仿宋" w:eastAsia="仿宋" w:cs="仿宋"/>
          <w:spacing w:val="-49"/>
          <w:sz w:val="31"/>
          <w:szCs w:val="31"/>
        </w:rPr>
        <w:t xml:space="preserve"> </w:t>
      </w:r>
      <w:r>
        <w:rPr>
          <w:rFonts w:hint="eastAsia" w:ascii="仿宋" w:hAnsi="仿宋" w:eastAsia="仿宋" w:cs="仿宋"/>
          <w:spacing w:val="-3"/>
          <w:sz w:val="31"/>
          <w:szCs w:val="31"/>
          <w:lang w:val="en-US" w:eastAsia="zh-CN"/>
        </w:rPr>
        <w:t>12</w:t>
      </w:r>
      <w:r>
        <w:rPr>
          <w:rFonts w:ascii="仿宋" w:hAnsi="仿宋" w:eastAsia="仿宋" w:cs="仿宋"/>
          <w:spacing w:val="-45"/>
          <w:sz w:val="31"/>
          <w:szCs w:val="31"/>
        </w:rPr>
        <w:t xml:space="preserve"> </w:t>
      </w:r>
      <w:r>
        <w:rPr>
          <w:rFonts w:ascii="仿宋" w:hAnsi="仿宋" w:eastAsia="仿宋" w:cs="仿宋"/>
          <w:spacing w:val="-3"/>
          <w:sz w:val="31"/>
          <w:szCs w:val="31"/>
        </w:rPr>
        <w:t>月</w:t>
      </w:r>
      <w:r>
        <w:rPr>
          <w:rFonts w:ascii="仿宋" w:hAnsi="仿宋" w:eastAsia="仿宋" w:cs="仿宋"/>
          <w:spacing w:val="-36"/>
          <w:sz w:val="31"/>
          <w:szCs w:val="31"/>
        </w:rPr>
        <w:t xml:space="preserve"> </w:t>
      </w:r>
      <w:r>
        <w:rPr>
          <w:rFonts w:ascii="仿宋" w:hAnsi="仿宋" w:eastAsia="仿宋" w:cs="仿宋"/>
          <w:spacing w:val="-3"/>
          <w:sz w:val="31"/>
          <w:szCs w:val="31"/>
        </w:rPr>
        <w:t>31 日，单位共有车辆</w:t>
      </w:r>
      <w:r>
        <w:rPr>
          <w:rFonts w:ascii="仿宋" w:hAnsi="仿宋" w:eastAsia="仿宋" w:cs="仿宋"/>
          <w:spacing w:val="-46"/>
          <w:sz w:val="31"/>
          <w:szCs w:val="31"/>
        </w:rPr>
        <w:t xml:space="preserve"> </w:t>
      </w:r>
      <w:r>
        <w:rPr>
          <w:rFonts w:hint="eastAsia" w:ascii="仿宋" w:hAnsi="仿宋" w:eastAsia="仿宋" w:cs="仿宋"/>
          <w:spacing w:val="-3"/>
          <w:sz w:val="31"/>
          <w:szCs w:val="31"/>
          <w:lang w:val="en-US" w:eastAsia="zh-CN"/>
        </w:rPr>
        <w:t>0</w:t>
      </w:r>
      <w:r>
        <w:rPr>
          <w:rFonts w:ascii="仿宋" w:hAnsi="仿宋" w:eastAsia="仿宋" w:cs="仿宋"/>
          <w:spacing w:val="-3"/>
          <w:sz w:val="31"/>
          <w:szCs w:val="31"/>
        </w:rPr>
        <w:t>辆；其中：一</w:t>
      </w:r>
      <w:r>
        <w:rPr>
          <w:rFonts w:ascii="仿宋" w:hAnsi="仿宋" w:eastAsia="仿宋" w:cs="仿宋"/>
          <w:sz w:val="31"/>
          <w:szCs w:val="31"/>
        </w:rPr>
        <w:t xml:space="preserve"> </w:t>
      </w:r>
      <w:r>
        <w:rPr>
          <w:rFonts w:ascii="仿宋" w:hAnsi="仿宋" w:eastAsia="仿宋" w:cs="仿宋"/>
          <w:spacing w:val="5"/>
          <w:sz w:val="31"/>
          <w:szCs w:val="31"/>
        </w:rPr>
        <w:t>般业务用车实有数</w:t>
      </w:r>
      <w:r>
        <w:rPr>
          <w:rFonts w:hint="eastAsia" w:ascii="仿宋" w:hAnsi="仿宋" w:eastAsia="仿宋" w:cs="仿宋"/>
          <w:spacing w:val="-46"/>
          <w:sz w:val="31"/>
          <w:szCs w:val="31"/>
          <w:lang w:val="en-US" w:eastAsia="zh-CN"/>
        </w:rPr>
        <w:t>0</w:t>
      </w:r>
      <w:r>
        <w:rPr>
          <w:rFonts w:ascii="仿宋" w:hAnsi="仿宋" w:eastAsia="仿宋" w:cs="仿宋"/>
          <w:spacing w:val="5"/>
          <w:sz w:val="31"/>
          <w:szCs w:val="31"/>
        </w:rPr>
        <w:t>辆，特殊业务用车实有数</w:t>
      </w:r>
      <w:r>
        <w:rPr>
          <w:rFonts w:ascii="仿宋" w:hAnsi="仿宋" w:eastAsia="仿宋" w:cs="仿宋"/>
          <w:spacing w:val="-41"/>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辆，执法执</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left="36"/>
        <w:textAlignment w:val="baseline"/>
        <w:rPr>
          <w:rFonts w:ascii="仿宋" w:hAnsi="仿宋" w:eastAsia="仿宋" w:cs="仿宋"/>
          <w:sz w:val="31"/>
          <w:szCs w:val="31"/>
        </w:rPr>
      </w:pPr>
      <w:r>
        <w:rPr>
          <w:rFonts w:ascii="仿宋" w:hAnsi="仿宋" w:eastAsia="仿宋" w:cs="仿宋"/>
          <w:sz w:val="31"/>
          <w:szCs w:val="31"/>
        </w:rPr>
        <w:t>勤用车实有数</w:t>
      </w:r>
      <w:r>
        <w:rPr>
          <w:rFonts w:ascii="仿宋" w:hAnsi="仿宋" w:eastAsia="仿宋" w:cs="仿宋"/>
          <w:spacing w:val="-39"/>
          <w:sz w:val="31"/>
          <w:szCs w:val="31"/>
        </w:rPr>
        <w:t xml:space="preserve"> </w:t>
      </w:r>
      <w:r>
        <w:rPr>
          <w:rFonts w:ascii="仿宋" w:hAnsi="仿宋" w:eastAsia="仿宋" w:cs="仿宋"/>
          <w:sz w:val="31"/>
          <w:szCs w:val="31"/>
        </w:rPr>
        <w:t>0</w:t>
      </w:r>
      <w:r>
        <w:rPr>
          <w:rFonts w:ascii="仿宋" w:hAnsi="仿宋" w:eastAsia="仿宋" w:cs="仿宋"/>
          <w:spacing w:val="-62"/>
          <w:sz w:val="31"/>
          <w:szCs w:val="31"/>
        </w:rPr>
        <w:t xml:space="preserve"> </w:t>
      </w:r>
      <w:r>
        <w:rPr>
          <w:rFonts w:ascii="仿宋" w:hAnsi="仿宋" w:eastAsia="仿宋" w:cs="仿宋"/>
          <w:sz w:val="31"/>
          <w:szCs w:val="31"/>
        </w:rPr>
        <w:t>辆。</w:t>
      </w:r>
    </w:p>
    <w:p>
      <w:pPr>
        <w:keepNext w:val="0"/>
        <w:keepLines w:val="0"/>
        <w:pageBreakBefore w:val="0"/>
        <w:wordWrap/>
        <w:overflowPunct/>
        <w:topLinePunct w:val="0"/>
        <w:bidi w:val="0"/>
        <w:spacing w:before="231" w:line="600" w:lineRule="exact"/>
        <w:ind w:right="16"/>
        <w:jc w:val="right"/>
        <w:rPr>
          <w:rFonts w:ascii="仿宋" w:hAnsi="仿宋" w:eastAsia="仿宋" w:cs="仿宋"/>
          <w:sz w:val="31"/>
          <w:szCs w:val="31"/>
        </w:rPr>
      </w:pPr>
      <w:r>
        <w:rPr>
          <w:rFonts w:ascii="仿宋" w:hAnsi="仿宋" w:eastAsia="仿宋" w:cs="仿宋"/>
          <w:spacing w:val="2"/>
          <w:position w:val="21"/>
          <w:sz w:val="31"/>
          <w:szCs w:val="31"/>
        </w:rPr>
        <w:t>2024</w:t>
      </w:r>
      <w:r>
        <w:rPr>
          <w:rFonts w:ascii="仿宋" w:hAnsi="仿宋" w:eastAsia="仿宋" w:cs="仿宋"/>
          <w:spacing w:val="-58"/>
          <w:position w:val="21"/>
          <w:sz w:val="31"/>
          <w:szCs w:val="31"/>
        </w:rPr>
        <w:t xml:space="preserve"> </w:t>
      </w:r>
      <w:r>
        <w:rPr>
          <w:rFonts w:ascii="仿宋" w:hAnsi="仿宋" w:eastAsia="仿宋" w:cs="仿宋"/>
          <w:spacing w:val="2"/>
          <w:position w:val="21"/>
          <w:sz w:val="31"/>
          <w:szCs w:val="31"/>
        </w:rPr>
        <w:t>年单位预算安排购置车辆</w:t>
      </w:r>
      <w:r>
        <w:rPr>
          <w:rFonts w:ascii="仿宋" w:hAnsi="仿宋" w:eastAsia="仿宋" w:cs="仿宋"/>
          <w:spacing w:val="-38"/>
          <w:position w:val="21"/>
          <w:sz w:val="31"/>
          <w:szCs w:val="31"/>
        </w:rPr>
        <w:t xml:space="preserve"> </w:t>
      </w:r>
      <w:r>
        <w:rPr>
          <w:rFonts w:ascii="仿宋" w:hAnsi="仿宋" w:eastAsia="仿宋" w:cs="仿宋"/>
          <w:spacing w:val="2"/>
          <w:position w:val="21"/>
          <w:sz w:val="31"/>
          <w:szCs w:val="31"/>
        </w:rPr>
        <w:t>0</w:t>
      </w:r>
      <w:r>
        <w:rPr>
          <w:rFonts w:ascii="仿宋" w:hAnsi="仿宋" w:eastAsia="仿宋" w:cs="仿宋"/>
          <w:spacing w:val="-62"/>
          <w:position w:val="21"/>
          <w:sz w:val="31"/>
          <w:szCs w:val="31"/>
        </w:rPr>
        <w:t xml:space="preserve"> </w:t>
      </w:r>
      <w:r>
        <w:rPr>
          <w:rFonts w:ascii="仿宋" w:hAnsi="仿宋" w:eastAsia="仿宋" w:cs="仿宋"/>
          <w:spacing w:val="2"/>
          <w:position w:val="21"/>
          <w:sz w:val="31"/>
          <w:szCs w:val="31"/>
        </w:rPr>
        <w:t>辆，未</w:t>
      </w:r>
      <w:r>
        <w:rPr>
          <w:rFonts w:ascii="仿宋" w:hAnsi="仿宋" w:eastAsia="仿宋" w:cs="仿宋"/>
          <w:spacing w:val="1"/>
          <w:position w:val="21"/>
          <w:sz w:val="31"/>
          <w:szCs w:val="31"/>
        </w:rPr>
        <w:t>安排购置单位价</w:t>
      </w:r>
    </w:p>
    <w:p>
      <w:pPr>
        <w:keepNext w:val="0"/>
        <w:keepLines w:val="0"/>
        <w:pageBreakBefore w:val="0"/>
        <w:wordWrap/>
        <w:overflowPunct/>
        <w:topLinePunct w:val="0"/>
        <w:bidi w:val="0"/>
        <w:spacing w:line="600" w:lineRule="exact"/>
        <w:ind w:left="26"/>
        <w:rPr>
          <w:rFonts w:ascii="仿宋" w:hAnsi="仿宋" w:eastAsia="仿宋" w:cs="仿宋"/>
          <w:spacing w:val="2"/>
          <w:sz w:val="31"/>
          <w:szCs w:val="31"/>
        </w:rPr>
      </w:pPr>
      <w:r>
        <w:rPr>
          <w:rFonts w:ascii="仿宋" w:hAnsi="仿宋" w:eastAsia="仿宋" w:cs="仿宋"/>
          <w:spacing w:val="2"/>
          <w:sz w:val="31"/>
          <w:szCs w:val="31"/>
        </w:rPr>
        <w:t>值</w:t>
      </w:r>
      <w:r>
        <w:rPr>
          <w:rFonts w:ascii="仿宋" w:hAnsi="仿宋" w:eastAsia="仿宋" w:cs="仿宋"/>
          <w:spacing w:val="-49"/>
          <w:sz w:val="31"/>
          <w:szCs w:val="31"/>
        </w:rPr>
        <w:t xml:space="preserve"> </w:t>
      </w:r>
      <w:r>
        <w:rPr>
          <w:rFonts w:ascii="仿宋" w:hAnsi="仿宋" w:eastAsia="仿宋" w:cs="仿宋"/>
          <w:spacing w:val="2"/>
          <w:sz w:val="31"/>
          <w:szCs w:val="31"/>
        </w:rPr>
        <w:t>200</w:t>
      </w:r>
      <w:r>
        <w:rPr>
          <w:rFonts w:ascii="仿宋" w:hAnsi="仿宋" w:eastAsia="仿宋" w:cs="仿宋"/>
          <w:spacing w:val="-45"/>
          <w:sz w:val="31"/>
          <w:szCs w:val="31"/>
        </w:rPr>
        <w:t xml:space="preserve"> </w:t>
      </w:r>
      <w:r>
        <w:rPr>
          <w:rFonts w:ascii="仿宋" w:hAnsi="仿宋" w:eastAsia="仿宋" w:cs="仿宋"/>
          <w:spacing w:val="2"/>
          <w:sz w:val="31"/>
          <w:szCs w:val="31"/>
        </w:rPr>
        <w:t>万以上大型设备。</w:t>
      </w:r>
    </w:p>
    <w:p>
      <w:pPr>
        <w:keepNext w:val="0"/>
        <w:keepLines w:val="0"/>
        <w:pageBreakBefore w:val="0"/>
        <w:wordWrap/>
        <w:overflowPunct/>
        <w:topLinePunct w:val="0"/>
        <w:bidi w:val="0"/>
        <w:spacing w:line="600" w:lineRule="exact"/>
        <w:rPr>
          <w:rFonts w:ascii="仿宋" w:hAnsi="仿宋" w:eastAsia="仿宋" w:cs="仿宋"/>
          <w:spacing w:val="2"/>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left="28" w:firstLine="652" w:firstLineChars="200"/>
        <w:textAlignment w:val="baseline"/>
        <w:rPr>
          <w:rFonts w:hint="eastAsia" w:ascii="宋体" w:hAnsi="宋体" w:eastAsia="宋体" w:cs="宋体"/>
          <w:snapToGrid w:val="0"/>
          <w:color w:val="000000"/>
          <w:spacing w:val="8"/>
          <w:kern w:val="0"/>
          <w:position w:val="21"/>
          <w:sz w:val="31"/>
          <w:szCs w:val="31"/>
          <w:lang w:val="en-US" w:eastAsia="en-US" w:bidi="ar-SA"/>
          <w14:textOutline w14:w="5793" w14:cap="sq" w14:cmpd="sng">
            <w14:solidFill>
              <w14:srgbClr w14:val="000000"/>
            </w14:solidFill>
            <w14:prstDash w14:val="solid"/>
            <w14:bevel/>
          </w14:textOutline>
        </w:rPr>
      </w:pPr>
      <w:r>
        <w:rPr>
          <w:rFonts w:hint="eastAsia" w:ascii="宋体" w:hAnsi="宋体" w:eastAsia="宋体" w:cs="宋体"/>
          <w:snapToGrid w:val="0"/>
          <w:color w:val="000000"/>
          <w:spacing w:val="8"/>
          <w:kern w:val="0"/>
          <w:position w:val="21"/>
          <w:sz w:val="31"/>
          <w:szCs w:val="31"/>
          <w:lang w:val="en-US" w:eastAsia="en-US" w:bidi="ar-SA"/>
          <w14:textOutline w14:w="5793" w14:cap="sq" w14:cmpd="sng">
            <w14:solidFill>
              <w14:srgbClr w14:val="000000"/>
            </w14:solidFill>
            <w14:prstDash w14:val="solid"/>
            <w14:bevel/>
          </w14:textOutline>
        </w:rPr>
        <w:t>二、2024 年“三公 ”经费预算情况说明</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left="28"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2024 年</w:t>
      </w:r>
      <w:r>
        <w:rPr>
          <w:rFonts w:hint="eastAsia" w:ascii="仿宋" w:hAnsi="仿宋" w:eastAsia="仿宋" w:cs="仿宋"/>
          <w:sz w:val="32"/>
          <w:szCs w:val="32"/>
          <w:lang w:val="en-US" w:eastAsia="zh-CN"/>
        </w:rPr>
        <w:t>浮梁县行政服务中心</w:t>
      </w:r>
      <w:r>
        <w:rPr>
          <w:rFonts w:hint="eastAsia" w:ascii="仿宋" w:hAnsi="仿宋" w:eastAsia="仿宋" w:cs="仿宋"/>
          <w:sz w:val="32"/>
          <w:szCs w:val="32"/>
        </w:rPr>
        <w:t xml:space="preserve">“ 三公”经费财政拨款安排 </w:t>
      </w:r>
      <w:r>
        <w:rPr>
          <w:rFonts w:hint="eastAsia" w:ascii="仿宋" w:hAnsi="仿宋" w:eastAsia="仿宋" w:cs="仿宋"/>
          <w:sz w:val="32"/>
          <w:szCs w:val="32"/>
          <w:lang w:val="en-US" w:eastAsia="zh-CN"/>
        </w:rPr>
        <w:t>1.8</w:t>
      </w:r>
      <w:r>
        <w:rPr>
          <w:rFonts w:hint="eastAsia" w:ascii="仿宋" w:hAnsi="仿宋" w:eastAsia="仿宋" w:cs="仿宋"/>
          <w:sz w:val="32"/>
          <w:szCs w:val="32"/>
        </w:rPr>
        <w:t>万元，其中：因公出国（境）费用 0 万元， 比上年增加（减少）0 万元，主要原因是：</w:t>
      </w:r>
      <w:r>
        <w:rPr>
          <w:rFonts w:hint="eastAsia" w:ascii="仿宋" w:hAnsi="仿宋" w:eastAsia="仿宋" w:cs="仿宋"/>
          <w:sz w:val="32"/>
          <w:szCs w:val="32"/>
          <w:lang w:val="en-US" w:eastAsia="zh-CN"/>
        </w:rPr>
        <w:t>没有此项支出。</w:t>
      </w:r>
      <w:r>
        <w:rPr>
          <w:rFonts w:hint="eastAsia" w:ascii="仿宋" w:hAnsi="仿宋" w:eastAsia="仿宋" w:cs="仿宋"/>
          <w:sz w:val="32"/>
          <w:szCs w:val="32"/>
        </w:rPr>
        <w:t xml:space="preserve">公务接待费 </w:t>
      </w:r>
      <w:r>
        <w:rPr>
          <w:rFonts w:hint="eastAsia" w:ascii="仿宋" w:hAnsi="仿宋" w:eastAsia="仿宋" w:cs="仿宋"/>
          <w:sz w:val="32"/>
          <w:szCs w:val="32"/>
          <w:lang w:val="en-US" w:eastAsia="zh-CN"/>
        </w:rPr>
        <w:t>1.8</w:t>
      </w:r>
      <w:r>
        <w:rPr>
          <w:rFonts w:hint="eastAsia" w:ascii="仿宋" w:hAnsi="仿宋" w:eastAsia="仿宋" w:cs="仿宋"/>
          <w:sz w:val="32"/>
          <w:szCs w:val="32"/>
        </w:rPr>
        <w:t>万元， 比上年减少</w:t>
      </w:r>
      <w:r>
        <w:rPr>
          <w:rFonts w:hint="eastAsia" w:ascii="仿宋" w:hAnsi="仿宋" w:eastAsia="仿宋" w:cs="仿宋"/>
          <w:sz w:val="32"/>
          <w:szCs w:val="32"/>
          <w:lang w:val="en-US" w:eastAsia="zh-CN"/>
        </w:rPr>
        <w:t>0.2</w:t>
      </w:r>
      <w:r>
        <w:rPr>
          <w:rFonts w:hint="eastAsia" w:ascii="仿宋" w:hAnsi="仿宋" w:eastAsia="仿宋" w:cs="仿宋"/>
          <w:sz w:val="32"/>
          <w:szCs w:val="32"/>
        </w:rPr>
        <w:t xml:space="preserve">万元，主要原因是：预算安排减少。公务用车运行维护费 </w:t>
      </w:r>
      <w:r>
        <w:rPr>
          <w:rFonts w:hint="eastAsia" w:ascii="仿宋" w:hAnsi="仿宋" w:eastAsia="仿宋" w:cs="仿宋"/>
          <w:sz w:val="32"/>
          <w:szCs w:val="32"/>
          <w:lang w:val="en-US" w:eastAsia="zh-CN"/>
        </w:rPr>
        <w:t>0</w:t>
      </w:r>
      <w:r>
        <w:rPr>
          <w:rFonts w:hint="eastAsia" w:ascii="仿宋" w:hAnsi="仿宋" w:eastAsia="仿宋" w:cs="仿宋"/>
          <w:sz w:val="32"/>
          <w:szCs w:val="32"/>
        </w:rPr>
        <w:t>万元， 比上年增加（减少）0 万元，主要原因是：</w:t>
      </w:r>
      <w:r>
        <w:rPr>
          <w:rFonts w:hint="eastAsia" w:ascii="仿宋" w:hAnsi="仿宋" w:eastAsia="仿宋" w:cs="仿宋"/>
          <w:sz w:val="32"/>
          <w:szCs w:val="32"/>
          <w:lang w:val="en-US" w:eastAsia="zh-CN"/>
        </w:rPr>
        <w:t>没有此项支出</w:t>
      </w:r>
      <w:r>
        <w:rPr>
          <w:rFonts w:hint="eastAsia" w:ascii="仿宋" w:hAnsi="仿宋" w:eastAsia="仿宋" w:cs="仿宋"/>
          <w:sz w:val="32"/>
          <w:szCs w:val="32"/>
        </w:rPr>
        <w:t>。公务用车购置费 0 万元， 比上年增加（减少）0 万元，主要原因是：</w:t>
      </w:r>
      <w:r>
        <w:rPr>
          <w:rFonts w:hint="eastAsia" w:ascii="仿宋" w:hAnsi="仿宋" w:eastAsia="仿宋" w:cs="仿宋"/>
          <w:sz w:val="32"/>
          <w:szCs w:val="32"/>
          <w:lang w:val="en-US" w:eastAsia="zh-CN"/>
        </w:rPr>
        <w:t>没有此项支出</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textAlignment w:val="baseline"/>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napToGrid/>
          <w:kern w:val="2"/>
          <w:sz w:val="44"/>
          <w:szCs w:val="44"/>
          <w:lang w:eastAsia="zh-CN"/>
        </w:rPr>
      </w:pPr>
      <w:r>
        <w:rPr>
          <w:rFonts w:hint="eastAsia" w:ascii="宋体" w:hAnsi="宋体" w:eastAsia="宋体" w:cs="宋体"/>
          <w:b/>
          <w:bCs/>
          <w:snapToGrid/>
          <w:kern w:val="2"/>
          <w:sz w:val="44"/>
          <w:szCs w:val="44"/>
          <w:lang w:eastAsia="zh-CN"/>
        </w:rPr>
        <w:t>第四部分  名词解释</w:t>
      </w:r>
    </w:p>
    <w:p>
      <w:pPr>
        <w:widowControl/>
        <w:spacing w:line="600" w:lineRule="atLeast"/>
        <w:ind w:firstLine="600"/>
        <w:jc w:val="both"/>
        <w:rPr>
          <w:rFonts w:hint="eastAsia" w:ascii="仿宋_GB2312" w:hAnsi="仿宋_GB2312" w:eastAsia="仿宋_GB2312" w:cs="Times New Roman"/>
          <w:kern w:val="0"/>
          <w:sz w:val="30"/>
          <w:szCs w:val="30"/>
          <w:lang w:val="en-US" w:eastAsia="zh-CN" w:bidi="ar-SA"/>
        </w:rPr>
      </w:pPr>
    </w:p>
    <w:p>
      <w:pPr>
        <w:widowControl w:val="0"/>
        <w:kinsoku/>
        <w:autoSpaceDE/>
        <w:autoSpaceDN/>
        <w:adjustRightInd/>
        <w:snapToGrid/>
        <w:spacing w:line="240" w:lineRule="auto"/>
        <w:ind w:firstLine="630"/>
        <w:jc w:val="left"/>
        <w:textAlignment w:val="auto"/>
        <w:outlineLvl w:val="1"/>
        <w:rPr>
          <w:rFonts w:hint="eastAsia" w:ascii="黑体" w:hAnsi="黑体" w:eastAsia="黑体" w:cs="Times New Roman"/>
          <w:snapToGrid/>
          <w:kern w:val="2"/>
          <w:sz w:val="32"/>
          <w:szCs w:val="32"/>
          <w:lang w:eastAsia="zh-CN"/>
        </w:rPr>
      </w:pPr>
      <w:r>
        <w:rPr>
          <w:rFonts w:hint="eastAsia" w:ascii="黑体" w:hAnsi="黑体" w:eastAsia="黑体" w:cs="Times New Roman"/>
          <w:snapToGrid/>
          <w:kern w:val="2"/>
          <w:sz w:val="32"/>
          <w:szCs w:val="32"/>
          <w:lang w:eastAsia="zh-CN"/>
        </w:rPr>
        <w:t>一、收入科目</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150" w:beforeAutospacing="0" w:after="150" w:afterAutospacing="0" w:line="240" w:lineRule="auto"/>
        <w:ind w:left="0" w:right="0" w:firstLine="420"/>
        <w:jc w:val="left"/>
        <w:textAlignment w:val="auto"/>
        <w:rPr>
          <w:rFonts w:hint="eastAsia" w:ascii="仿宋_GB2312" w:hAnsi="仿宋_GB2312" w:eastAsia="仿宋_GB2312" w:cs="Times New Roman"/>
          <w:snapToGrid/>
          <w:kern w:val="0"/>
          <w:sz w:val="32"/>
          <w:szCs w:val="32"/>
          <w:lang w:val="en-US" w:eastAsia="zh-CN" w:bidi="ar-SA"/>
        </w:rPr>
      </w:pPr>
      <w:r>
        <w:rPr>
          <w:rFonts w:hint="eastAsia" w:ascii="仿宋_GB2312" w:hAnsi="仿宋_GB2312" w:eastAsia="仿宋_GB2312" w:cs="Times New Roman"/>
          <w:snapToGrid/>
          <w:kern w:val="0"/>
          <w:sz w:val="32"/>
          <w:szCs w:val="32"/>
          <w:lang w:val="en-US" w:eastAsia="zh-CN" w:bidi="ar-SA"/>
        </w:rPr>
        <w:t>(一)财政拨款:指省级财政当年拨付的资金。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150" w:beforeAutospacing="0" w:after="150" w:afterAutospacing="0" w:line="240" w:lineRule="auto"/>
        <w:ind w:left="0" w:right="0" w:firstLine="420"/>
        <w:jc w:val="left"/>
        <w:textAlignment w:val="auto"/>
        <w:rPr>
          <w:rFonts w:hint="eastAsia" w:ascii="仿宋_GB2312" w:hAnsi="仿宋_GB2312" w:eastAsia="仿宋_GB2312" w:cs="Times New Roman"/>
          <w:snapToGrid/>
          <w:kern w:val="0"/>
          <w:sz w:val="32"/>
          <w:szCs w:val="32"/>
          <w:lang w:val="en-US" w:eastAsia="zh-CN" w:bidi="ar-SA"/>
        </w:rPr>
      </w:pPr>
      <w:r>
        <w:rPr>
          <w:rFonts w:hint="eastAsia" w:ascii="仿宋_GB2312" w:hAnsi="仿宋_GB2312" w:eastAsia="仿宋_GB2312" w:cs="Times New Roman"/>
          <w:snapToGrid/>
          <w:kern w:val="0"/>
          <w:sz w:val="32"/>
          <w:szCs w:val="32"/>
          <w:lang w:val="en-US" w:eastAsia="zh-CN" w:bidi="ar-SA"/>
        </w:rPr>
        <w:t>(二)教育收费资金收入:反映实行专项管理的高中以上学费、住宿费,高校委托培养费,函大、电大、夜大及短训班培训费等教育收费取得的收入。</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150" w:beforeAutospacing="0" w:after="150" w:afterAutospacing="0" w:line="240" w:lineRule="auto"/>
        <w:ind w:left="0" w:right="0" w:firstLine="420"/>
        <w:jc w:val="left"/>
        <w:textAlignment w:val="auto"/>
        <w:rPr>
          <w:rFonts w:hint="eastAsia" w:ascii="仿宋_GB2312" w:hAnsi="仿宋_GB2312" w:eastAsia="仿宋_GB2312" w:cs="Times New Roman"/>
          <w:snapToGrid/>
          <w:kern w:val="0"/>
          <w:sz w:val="32"/>
          <w:szCs w:val="32"/>
          <w:lang w:val="en-US" w:eastAsia="zh-CN" w:bidi="ar-SA"/>
        </w:rPr>
      </w:pPr>
      <w:r>
        <w:rPr>
          <w:rFonts w:hint="eastAsia" w:ascii="仿宋_GB2312" w:hAnsi="仿宋_GB2312" w:eastAsia="仿宋_GB2312" w:cs="Times New Roman"/>
          <w:snapToGrid/>
          <w:kern w:val="0"/>
          <w:sz w:val="32"/>
          <w:szCs w:val="32"/>
          <w:lang w:val="en-US" w:eastAsia="zh-CN" w:bidi="ar-SA"/>
        </w:rPr>
        <w:t>(三)事业收入:指事业单位开展专业业务活动及辅助活动取得的收入。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150" w:beforeAutospacing="0" w:after="150" w:afterAutospacing="0" w:line="240" w:lineRule="auto"/>
        <w:ind w:left="0" w:right="0" w:firstLine="420"/>
        <w:jc w:val="left"/>
        <w:textAlignment w:val="auto"/>
        <w:rPr>
          <w:rFonts w:hint="eastAsia" w:ascii="仿宋_GB2312" w:hAnsi="仿宋_GB2312" w:eastAsia="仿宋_GB2312" w:cs="Times New Roman"/>
          <w:snapToGrid/>
          <w:kern w:val="0"/>
          <w:sz w:val="32"/>
          <w:szCs w:val="32"/>
          <w:lang w:val="en-US" w:eastAsia="zh-CN" w:bidi="ar-SA"/>
        </w:rPr>
      </w:pPr>
      <w:r>
        <w:rPr>
          <w:rFonts w:hint="eastAsia" w:ascii="仿宋_GB2312" w:hAnsi="仿宋_GB2312" w:eastAsia="仿宋_GB2312" w:cs="Times New Roman"/>
          <w:snapToGrid/>
          <w:kern w:val="0"/>
          <w:sz w:val="32"/>
          <w:szCs w:val="32"/>
          <w:lang w:val="en-US" w:eastAsia="zh-CN" w:bidi="ar-SA"/>
        </w:rPr>
        <w:t>(四)事业单位经营收入:指事业单位在专业业务活动及辅助活动之外开展非独立核算经营活动取得的收入。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150" w:beforeAutospacing="0" w:after="150" w:afterAutospacing="0" w:line="240" w:lineRule="auto"/>
        <w:ind w:left="0" w:right="0" w:firstLine="420"/>
        <w:jc w:val="left"/>
        <w:textAlignment w:val="auto"/>
        <w:rPr>
          <w:rFonts w:hint="eastAsia" w:ascii="仿宋_GB2312" w:hAnsi="仿宋_GB2312" w:eastAsia="仿宋_GB2312" w:cs="Times New Roman"/>
          <w:snapToGrid/>
          <w:kern w:val="0"/>
          <w:sz w:val="32"/>
          <w:szCs w:val="32"/>
          <w:lang w:val="en-US" w:eastAsia="zh-CN" w:bidi="ar-SA"/>
        </w:rPr>
      </w:pPr>
      <w:r>
        <w:rPr>
          <w:rFonts w:hint="eastAsia" w:ascii="仿宋_GB2312" w:hAnsi="仿宋_GB2312" w:eastAsia="仿宋_GB2312" w:cs="Times New Roman"/>
          <w:snapToGrid/>
          <w:kern w:val="0"/>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150" w:beforeAutospacing="0" w:after="150" w:afterAutospacing="0" w:line="240" w:lineRule="auto"/>
        <w:ind w:left="0" w:right="0" w:firstLine="420"/>
        <w:jc w:val="left"/>
        <w:textAlignment w:val="auto"/>
        <w:rPr>
          <w:rFonts w:hint="eastAsia" w:ascii="仿宋_GB2312" w:hAnsi="仿宋_GB2312" w:eastAsia="仿宋_GB2312" w:cs="Times New Roman"/>
          <w:snapToGrid/>
          <w:kern w:val="0"/>
          <w:sz w:val="32"/>
          <w:szCs w:val="32"/>
          <w:lang w:val="en-US" w:eastAsia="zh-CN" w:bidi="ar-SA"/>
        </w:rPr>
      </w:pPr>
      <w:r>
        <w:rPr>
          <w:rFonts w:hint="eastAsia" w:ascii="仿宋_GB2312" w:hAnsi="仿宋_GB2312" w:eastAsia="仿宋_GB2312" w:cs="Times New Roman"/>
          <w:snapToGrid/>
          <w:kern w:val="0"/>
          <w:sz w:val="32"/>
          <w:szCs w:val="32"/>
          <w:lang w:val="en-US" w:eastAsia="zh-CN" w:bidi="ar-SA"/>
        </w:rPr>
        <w:t>(六)上级补助收入:反映事业单位从主管部门和上级单位取得的非财政补助收入。</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150" w:beforeAutospacing="0" w:after="150" w:afterAutospacing="0" w:line="240" w:lineRule="auto"/>
        <w:ind w:left="0" w:right="0" w:firstLine="420"/>
        <w:jc w:val="left"/>
        <w:textAlignment w:val="auto"/>
        <w:rPr>
          <w:rFonts w:hint="eastAsia" w:ascii="仿宋_GB2312" w:hAnsi="仿宋_GB2312" w:eastAsia="仿宋_GB2312" w:cs="Times New Roman"/>
          <w:snapToGrid/>
          <w:kern w:val="0"/>
          <w:sz w:val="32"/>
          <w:szCs w:val="32"/>
          <w:lang w:val="en-US" w:eastAsia="zh-CN" w:bidi="ar-SA"/>
        </w:rPr>
      </w:pPr>
      <w:r>
        <w:rPr>
          <w:rFonts w:hint="eastAsia" w:ascii="仿宋_GB2312" w:hAnsi="仿宋_GB2312" w:eastAsia="仿宋_GB2312" w:cs="Times New Roman"/>
          <w:snapToGrid/>
          <w:kern w:val="0"/>
          <w:sz w:val="32"/>
          <w:szCs w:val="32"/>
          <w:lang w:val="en-US" w:eastAsia="zh-CN" w:bidi="ar-SA"/>
        </w:rPr>
        <w:t>(七)其他收入:指除财政拨款、事业收入、事业单位经营收入等以外的各项收入。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150" w:beforeAutospacing="0" w:after="150" w:afterAutospacing="0" w:line="240" w:lineRule="auto"/>
        <w:ind w:left="0" w:right="0" w:firstLine="420"/>
        <w:jc w:val="left"/>
        <w:textAlignment w:val="auto"/>
        <w:rPr>
          <w:rFonts w:hint="eastAsia" w:ascii="仿宋_GB2312" w:hAnsi="仿宋_GB2312" w:eastAsia="仿宋_GB2312" w:cs="Times New Roman"/>
          <w:snapToGrid/>
          <w:kern w:val="0"/>
          <w:sz w:val="32"/>
          <w:szCs w:val="32"/>
          <w:lang w:val="en-US" w:eastAsia="zh-CN" w:bidi="ar-SA"/>
        </w:rPr>
      </w:pPr>
      <w:r>
        <w:rPr>
          <w:rFonts w:hint="eastAsia" w:ascii="仿宋_GB2312" w:hAnsi="仿宋_GB2312" w:eastAsia="仿宋_GB2312" w:cs="Times New Roman"/>
          <w:snapToGrid/>
          <w:kern w:val="0"/>
          <w:sz w:val="32"/>
          <w:szCs w:val="32"/>
          <w:lang w:val="en-US" w:eastAsia="zh-CN" w:bidi="ar-SA"/>
        </w:rPr>
        <w:t>(八)使用非财政拨款结余:填列历年滚存的非限定用途的非统计财政拨款结余弥补2023年收支差额的数额。</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150" w:beforeAutospacing="0" w:after="150" w:afterAutospacing="0" w:line="240" w:lineRule="auto"/>
        <w:ind w:left="0" w:right="0" w:firstLine="420"/>
        <w:jc w:val="left"/>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Times New Roman"/>
          <w:snapToGrid/>
          <w:kern w:val="0"/>
          <w:sz w:val="32"/>
          <w:szCs w:val="32"/>
          <w:lang w:val="en-US" w:eastAsia="zh-CN" w:bidi="ar-SA"/>
        </w:rPr>
        <w:t>(九)上年结转和结余:填列2022年全部结转和结余的资金数,包括当年结转结余资金和历年滚存结转结余资金。</w:t>
      </w:r>
    </w:p>
    <w:p>
      <w:pPr>
        <w:widowControl w:val="0"/>
        <w:kinsoku/>
        <w:autoSpaceDE/>
        <w:autoSpaceDN/>
        <w:adjustRightInd/>
        <w:snapToGrid/>
        <w:spacing w:line="240" w:lineRule="auto"/>
        <w:ind w:firstLine="630"/>
        <w:jc w:val="left"/>
        <w:textAlignment w:val="auto"/>
        <w:outlineLvl w:val="1"/>
        <w:rPr>
          <w:rFonts w:hint="eastAsia" w:ascii="黑体" w:hAnsi="黑体" w:eastAsia="黑体" w:cs="Times New Roman"/>
          <w:snapToGrid/>
          <w:kern w:val="2"/>
          <w:sz w:val="32"/>
          <w:szCs w:val="32"/>
          <w:lang w:eastAsia="zh-CN"/>
        </w:rPr>
      </w:pPr>
      <w:r>
        <w:rPr>
          <w:rFonts w:hint="eastAsia" w:ascii="黑体" w:hAnsi="黑体" w:eastAsia="黑体" w:cs="Times New Roman"/>
          <w:snapToGrid/>
          <w:kern w:val="2"/>
          <w:sz w:val="32"/>
          <w:szCs w:val="32"/>
          <w:lang w:eastAsia="zh-CN"/>
        </w:rPr>
        <w:t>二、支出科目</w:t>
      </w:r>
    </w:p>
    <w:p>
      <w:pPr>
        <w:widowControl w:val="0"/>
        <w:kinsoku/>
        <w:autoSpaceDE/>
        <w:autoSpaceDN/>
        <w:adjustRightInd/>
        <w:snapToGrid/>
        <w:spacing w:line="240" w:lineRule="auto"/>
        <w:ind w:firstLine="630"/>
        <w:jc w:val="left"/>
        <w:textAlignment w:val="auto"/>
        <w:outlineLvl w:val="1"/>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对部门预算中涉及的支出功能分类科目(明细到项级),结合部门实际,参照《2023年政府收支分类科目》的规范说明进行解释。</w:t>
      </w:r>
    </w:p>
    <w:p>
      <w:pPr>
        <w:widowControl w:val="0"/>
        <w:kinsoku/>
        <w:autoSpaceDE/>
        <w:autoSpaceDN/>
        <w:adjustRightInd/>
        <w:snapToGrid/>
        <w:spacing w:line="240" w:lineRule="auto"/>
        <w:ind w:firstLine="630"/>
        <w:jc w:val="left"/>
        <w:textAlignment w:val="auto"/>
        <w:outlineLvl w:val="1"/>
        <w:rPr>
          <w:rFonts w:hint="eastAsia" w:ascii="黑体" w:hAnsi="黑体" w:eastAsia="黑体" w:cs="Times New Roman"/>
          <w:snapToGrid/>
          <w:kern w:val="2"/>
          <w:sz w:val="32"/>
          <w:szCs w:val="32"/>
          <w:lang w:eastAsia="zh-CN"/>
        </w:rPr>
      </w:pPr>
      <w:r>
        <w:rPr>
          <w:rFonts w:hint="eastAsia" w:ascii="黑体" w:hAnsi="黑体" w:eastAsia="黑体" w:cs="Times New Roman"/>
          <w:snapToGrid/>
          <w:kern w:val="2"/>
          <w:sz w:val="32"/>
          <w:szCs w:val="32"/>
          <w:lang w:eastAsia="zh-CN"/>
        </w:rPr>
        <w:t>三、相关专业名词</w:t>
      </w:r>
    </w:p>
    <w:p>
      <w:pPr>
        <w:widowControl w:val="0"/>
        <w:kinsoku/>
        <w:autoSpaceDE/>
        <w:autoSpaceDN/>
        <w:adjustRightInd/>
        <w:snapToGrid/>
        <w:spacing w:line="240" w:lineRule="auto"/>
        <w:ind w:firstLine="600"/>
        <w:jc w:val="both"/>
        <w:textAlignment w:val="auto"/>
        <w:rPr>
          <w:rFonts w:hint="eastAsia" w:ascii="仿宋_GB2312" w:hAnsi="仿宋_GB2312" w:eastAsia="仿宋_GB2312" w:cs="Times New Roman"/>
          <w:snapToGrid/>
          <w:kern w:val="0"/>
          <w:sz w:val="32"/>
          <w:szCs w:val="32"/>
          <w:lang w:eastAsia="zh-CN"/>
        </w:rPr>
      </w:pPr>
      <w:r>
        <w:rPr>
          <w:rFonts w:hint="eastAsia" w:ascii="仿宋_GB2312" w:hAnsi="仿宋_GB2312" w:eastAsia="仿宋_GB2312" w:cs="Times New Roman"/>
          <w:snapToGrid/>
          <w:kern w:val="0"/>
          <w:sz w:val="32"/>
          <w:szCs w:val="32"/>
          <w:lang w:eastAsia="zh-CN"/>
        </w:rPr>
        <w:t xml:space="preserve"> </w:t>
      </w:r>
      <w:r>
        <w:rPr>
          <w:rFonts w:hint="eastAsia" w:ascii="仿宋_GB2312" w:hAnsi="仿宋_GB2312" w:eastAsia="仿宋_GB2312" w:cs="仿宋_GB2312"/>
          <w:b/>
          <w:bCs/>
          <w:snapToGrid/>
          <w:kern w:val="0"/>
          <w:sz w:val="32"/>
          <w:szCs w:val="32"/>
          <w:lang w:eastAsia="zh-CN"/>
        </w:rPr>
        <w:t>（一）</w:t>
      </w:r>
      <w:r>
        <w:rPr>
          <w:rFonts w:hint="eastAsia" w:ascii="仿宋_GB2312" w:hAnsi="仿宋_GB2312" w:eastAsia="仿宋_GB2312" w:cs="Times New Roman"/>
          <w:b/>
          <w:bCs/>
          <w:snapToGrid/>
          <w:kern w:val="0"/>
          <w:sz w:val="32"/>
          <w:szCs w:val="32"/>
          <w:lang w:eastAsia="zh-CN"/>
        </w:rPr>
        <w:t>“三公”经费：</w:t>
      </w:r>
      <w:r>
        <w:rPr>
          <w:rFonts w:hint="eastAsia" w:ascii="仿宋_GB2312" w:hAnsi="仿宋_GB2312" w:eastAsia="仿宋_GB2312" w:cs="Times New Roman"/>
          <w:snapToGrid/>
          <w:kern w:val="0"/>
          <w:sz w:val="32"/>
          <w:szCs w:val="32"/>
          <w:lang w:eastAsia="zh-CN"/>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firstLine="643" w:firstLineChars="200"/>
        <w:textAlignment w:val="baseline"/>
        <w:rPr>
          <w:rFonts w:hint="eastAsia" w:ascii="仿宋" w:hAnsi="仿宋" w:eastAsia="仿宋" w:cs="仿宋"/>
          <w:sz w:val="32"/>
          <w:szCs w:val="32"/>
        </w:rPr>
      </w:pPr>
      <w:bookmarkStart w:id="1" w:name="_GoBack"/>
      <w:bookmarkEnd w:id="1"/>
      <w:r>
        <w:rPr>
          <w:rFonts w:hint="eastAsia" w:ascii="仿宋_GB2312" w:hAnsi="仿宋_GB2312" w:eastAsia="仿宋_GB2312" w:cs="仿宋_GB2312"/>
          <w:b/>
          <w:bCs/>
          <w:snapToGrid/>
          <w:kern w:val="0"/>
          <w:sz w:val="32"/>
          <w:szCs w:val="32"/>
          <w:lang w:eastAsia="zh-CN"/>
        </w:rPr>
        <w:t>（二）</w:t>
      </w:r>
      <w:r>
        <w:rPr>
          <w:rFonts w:hint="eastAsia" w:ascii="仿宋_GB2312" w:hAnsi="仿宋_GB2312" w:eastAsia="仿宋_GB2312" w:cs="Times New Roman"/>
          <w:b/>
          <w:bCs/>
          <w:snapToGrid/>
          <w:kern w:val="0"/>
          <w:sz w:val="32"/>
          <w:szCs w:val="32"/>
          <w:lang w:eastAsia="zh-CN"/>
        </w:rPr>
        <w:t>机关运行经费：</w:t>
      </w:r>
      <w:r>
        <w:rPr>
          <w:rFonts w:hint="eastAsia" w:ascii="仿宋_GB2312" w:hAnsi="仿宋_GB2312" w:eastAsia="仿宋_GB2312" w:cs="Times New Roman"/>
          <w:snapToGrid/>
          <w:kern w:val="0"/>
          <w:sz w:val="32"/>
          <w:szCs w:val="32"/>
          <w:lang w:eastAsia="zh-CN"/>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F4B489-19E7-42F4-8731-B246716689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161D2609-2475-4FA9-A049-9B791FE5CA50}"/>
  </w:font>
  <w:font w:name="仿宋">
    <w:panose1 w:val="02010609060101010101"/>
    <w:charset w:val="86"/>
    <w:family w:val="auto"/>
    <w:pitch w:val="default"/>
    <w:sig w:usb0="800002BF" w:usb1="38CF7CFA" w:usb2="00000016" w:usb3="00000000" w:csb0="00040001" w:csb1="00000000"/>
    <w:embedRegular r:id="rId3" w:fontKey="{29889CA2-55C6-408D-8C97-453C59255E8B}"/>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C8077392-2D43-430F-B3EF-11912FC0A27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183A2"/>
    <w:multiLevelType w:val="singleLevel"/>
    <w:tmpl w:val="EEB183A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MTRkOTdmMGY2NDA4NDZlZGM5MTcyMTQ1Y2E1M2IifQ=="/>
  </w:docVars>
  <w:rsids>
    <w:rsidRoot w:val="3EB52625"/>
    <w:rsid w:val="143D2AC1"/>
    <w:rsid w:val="14710A67"/>
    <w:rsid w:val="15044A88"/>
    <w:rsid w:val="155B33AF"/>
    <w:rsid w:val="189C686D"/>
    <w:rsid w:val="2033565F"/>
    <w:rsid w:val="261E5C5C"/>
    <w:rsid w:val="2C7A4785"/>
    <w:rsid w:val="2D171295"/>
    <w:rsid w:val="2EF51616"/>
    <w:rsid w:val="2FF31539"/>
    <w:rsid w:val="31432160"/>
    <w:rsid w:val="31586882"/>
    <w:rsid w:val="33552E44"/>
    <w:rsid w:val="385357F5"/>
    <w:rsid w:val="3EB52625"/>
    <w:rsid w:val="41AE2C4F"/>
    <w:rsid w:val="42993C6F"/>
    <w:rsid w:val="437B3930"/>
    <w:rsid w:val="4B8662E5"/>
    <w:rsid w:val="558C0B67"/>
    <w:rsid w:val="58044A73"/>
    <w:rsid w:val="5B1F6FAC"/>
    <w:rsid w:val="672C3C51"/>
    <w:rsid w:val="6BF306A7"/>
    <w:rsid w:val="6C5C4853"/>
    <w:rsid w:val="739C3AEB"/>
    <w:rsid w:val="772C0914"/>
    <w:rsid w:val="7FE4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after="0"/>
      <w:ind w:left="0" w:leftChars="0" w:firstLine="420" w:firstLineChars="200"/>
    </w:pPr>
    <w:rPr>
      <w:rFonts w:ascii="仿宋_GB2312" w:hAnsi="Calibri"/>
    </w:r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2024-03-15T01:11:00Z</dcterms:created>
  <dc:creator>桃了</dc:creator>
  <cp:lastModifiedBy>Administrator</cp:lastModifiedBy>
  <cp:lastPrinted>2024-03-15T03:00:00Z</cp:lastPrinted>
  <dcterms:modified xsi:type="dcterms:W3CDTF">2025-08-07T00:46:46Z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79E7DB6BA36C4EFF8F57DC95959D5CDD</vt:lpwstr>
  </property>
</Properties>
</file>