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/>
        <w:textAlignment w:val="auto"/>
        <w:rPr>
          <w:rFonts w:hint="eastAsia"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/>
        <w:textAlignment w:val="auto"/>
        <w:rPr>
          <w:rFonts w:hint="eastAsia" w:ascii="黑体" w:hAnsi="黑体" w:eastAsia="黑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/>
          <w:b w:val="0"/>
          <w:bCs w:val="0"/>
          <w:sz w:val="44"/>
          <w:szCs w:val="32"/>
        </w:rPr>
      </w:pP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32"/>
        </w:rPr>
        <w:t>部门整体支出绩效自评报告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/>
        <w:jc w:val="center"/>
        <w:textAlignment w:val="auto"/>
        <w:rPr>
          <w:rFonts w:hint="eastAsia" w:ascii="楷体_GB2312" w:hAnsi="楷体_GB2312" w:eastAsia="楷体_GB2312"/>
          <w:sz w:val="32"/>
        </w:rPr>
      </w:pPr>
      <w:r>
        <w:rPr>
          <w:rFonts w:hint="eastAsia" w:ascii="楷体_GB2312" w:hAnsi="楷体_GB2312" w:eastAsia="楷体_GB2312"/>
          <w:sz w:val="32"/>
          <w:szCs w:val="32"/>
        </w:rPr>
        <w:t>（</w:t>
      </w:r>
      <w:r>
        <w:rPr>
          <w:rFonts w:hint="eastAsia" w:ascii="楷体_GB2312" w:hAnsi="楷体_GB2312" w:eastAsia="楷体_GB2312"/>
          <w:sz w:val="32"/>
          <w:szCs w:val="32"/>
          <w:lang w:val="en-US" w:eastAsia="zh-CN"/>
        </w:rPr>
        <w:t>2021</w:t>
      </w:r>
      <w:r>
        <w:rPr>
          <w:rFonts w:hint="eastAsia" w:ascii="楷体_GB2312" w:hAnsi="楷体_GB2312" w:eastAsia="楷体_GB2312"/>
          <w:sz w:val="32"/>
          <w:szCs w:val="32"/>
        </w:rPr>
        <w:t>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部门概况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/>
          <w:b/>
          <w:bCs/>
          <w:sz w:val="32"/>
        </w:rPr>
      </w:pPr>
      <w:r>
        <w:rPr>
          <w:rFonts w:hint="eastAsia"/>
          <w:b/>
          <w:bCs/>
          <w:sz w:val="32"/>
          <w:lang w:eastAsia="zh-CN"/>
        </w:rPr>
        <w:t>（</w:t>
      </w:r>
      <w:r>
        <w:rPr>
          <w:rFonts w:hint="eastAsia"/>
          <w:b/>
          <w:bCs/>
          <w:sz w:val="32"/>
          <w:lang w:val="en-US" w:eastAsia="zh-CN"/>
        </w:rPr>
        <w:t>一</w:t>
      </w:r>
      <w:r>
        <w:rPr>
          <w:rFonts w:hint="eastAsia"/>
          <w:b/>
          <w:bCs/>
          <w:sz w:val="32"/>
          <w:lang w:eastAsia="zh-CN"/>
        </w:rPr>
        <w:t>）</w:t>
      </w:r>
      <w:r>
        <w:rPr>
          <w:rFonts w:hint="eastAsia" w:ascii="仿宋_GB2312" w:hAnsi="仿宋_GB2312" w:eastAsia="仿宋_GB2312"/>
          <w:b/>
          <w:bCs/>
          <w:sz w:val="32"/>
        </w:rPr>
        <w:t>部门主要职责职能，组织架构、人员及资产等基本情况。</w:t>
      </w:r>
    </w:p>
    <w:p>
      <w:pPr>
        <w:numPr>
          <w:ilvl w:val="0"/>
          <w:numId w:val="0"/>
        </w:numPr>
        <w:ind w:left="630" w:leftChars="0" w:right="0" w:rightChars="0"/>
        <w:jc w:val="lef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1、部门职责职能</w:t>
      </w:r>
    </w:p>
    <w:p>
      <w:pPr>
        <w:ind w:firstLine="63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①．管理、指导全县公共资源交易工作；</w:t>
      </w:r>
    </w:p>
    <w:p>
      <w:pPr>
        <w:ind w:firstLine="63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②．制定行政服务中心的管理制度并监督检查；</w:t>
      </w:r>
    </w:p>
    <w:p>
      <w:pPr>
        <w:widowControl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③．为办理行政服务事项提供服务；</w:t>
      </w:r>
    </w:p>
    <w:p>
      <w:pPr>
        <w:widowControl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④．为联合办理、统一办理行政服务事项进行组织与协调；</w:t>
      </w:r>
    </w:p>
    <w:p>
      <w:pPr>
        <w:widowControl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⑤．对办理行政服务事项的质量、效率及涉及的收费进行监督；</w:t>
      </w:r>
    </w:p>
    <w:p>
      <w:pPr>
        <w:widowControl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⑥．对窗口工作人员进行管理、培训和考核；</w:t>
      </w:r>
    </w:p>
    <w:p>
      <w:pPr>
        <w:widowControl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⑦．对下级人民政府便民服务中心建设进行指导；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⑧．承办县政府交办的其他工作。</w:t>
      </w:r>
    </w:p>
    <w:p>
      <w:pPr>
        <w:ind w:firstLine="630"/>
        <w:jc w:val="left"/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2、部门机构设置及人员情况</w:t>
      </w:r>
    </w:p>
    <w:p>
      <w:pPr>
        <w:ind w:firstLine="630"/>
        <w:jc w:val="left"/>
        <w:rPr>
          <w:rFonts w:hint="default" w:ascii="仿宋" w:hAnsi="仿宋" w:eastAsia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本单位为事业单位，内设行政审批股和公共资源交易中心。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本部门20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/>
          <w:sz w:val="30"/>
          <w:szCs w:val="30"/>
        </w:rPr>
        <w:t xml:space="preserve">年年末编制人数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/>
          <w:sz w:val="30"/>
          <w:szCs w:val="30"/>
        </w:rPr>
        <w:t xml:space="preserve">人，其中行政编制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 xml:space="preserve">人，事业编制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 xml:space="preserve">人；年末实有人数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/>
          <w:sz w:val="30"/>
          <w:szCs w:val="30"/>
        </w:rPr>
        <w:t xml:space="preserve"> 人，其中在职人员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11</w:t>
      </w:r>
      <w:r>
        <w:rPr>
          <w:rFonts w:hint="eastAsia" w:ascii="仿宋" w:hAnsi="仿宋" w:eastAsia="仿宋"/>
          <w:sz w:val="30"/>
          <w:szCs w:val="30"/>
        </w:rPr>
        <w:t xml:space="preserve"> 人，退休人员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</w:rPr>
        <w:t xml:space="preserve"> 人。</w:t>
      </w:r>
    </w:p>
    <w:p>
      <w:pPr>
        <w:ind w:firstLine="630"/>
        <w:jc w:val="left"/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3、部门资产情况</w:t>
      </w:r>
    </w:p>
    <w:p>
      <w:pPr>
        <w:ind w:firstLine="630"/>
        <w:jc w:val="left"/>
        <w:rPr>
          <w:rFonts w:hint="default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2021年年末，我单位资产合计93.49万元，其中流动资34.5万元，占比36.9%；固定资产58.99万元，占比63.1%，资产运行情况较好。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/>
          <w:b/>
          <w:bCs/>
          <w:sz w:val="32"/>
        </w:rPr>
      </w:pPr>
      <w:r>
        <w:rPr>
          <w:rFonts w:hint="eastAsia" w:ascii="仿宋_GB2312" w:hAnsi="仿宋_GB2312" w:eastAsia="仿宋_GB2312"/>
          <w:b/>
          <w:bCs/>
          <w:sz w:val="32"/>
        </w:rPr>
        <w:t>当年部门履职总体目标、工作任务。</w:t>
      </w:r>
    </w:p>
    <w:p>
      <w:pPr>
        <w:numPr>
          <w:ilvl w:val="0"/>
          <w:numId w:val="3"/>
        </w:numPr>
        <w:ind w:firstLine="630"/>
        <w:jc w:val="left"/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总体目标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不断深化“放管服”改革，团结和带领中心全体干部职工开拓创新，务实求进，扎实做好政务服务工作，不断提升政务服务效能，为新时代浮梁实现跨越式发展贡献力量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ind w:firstLine="630"/>
        <w:jc w:val="left"/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工作任务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）继续开展延时错时预约服务。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2021年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，中心大厅在周末和节假日累计为企业和群众延时错时预约服务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337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left="669" w:leftChars="304" w:firstLine="0" w:firstLineChars="0"/>
        <w:textAlignment w:val="auto"/>
        <w:rPr>
          <w:rFonts w:hint="eastAsia" w:ascii="仿宋_GB2312" w:hAnsi="仿宋_GB2312" w:eastAsia="仿宋_GB2312" w:cs="仿宋_GB2312"/>
          <w:sz w:val="30"/>
          <w:szCs w:val="30"/>
          <w:lang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eastAsia="zh-CN" w:bidi="ar-SA"/>
        </w:rPr>
        <w:t>2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）积极兑现惠企政策。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全县共受理惠企办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1594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件，惠及企业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1691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家，涉及金额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3.37亿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eastAsia="zh-CN" w:bidi="ar-SA"/>
        </w:rPr>
        <w:t>3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）推动县“不动产登记平台”与“省政务服务一窗式服务平台”对接。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 w:bidi="ar-SA"/>
        </w:rPr>
        <w:t>2021年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6月30日实现平台完全对接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 w:bidi="ar-SA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现已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正常使用。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eastAsia="zh-CN" w:bidi="ar-SA"/>
        </w:rPr>
        <w:t>4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）开通了我县新开办企业免费刻制首套印章服务。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 w:bidi="ar-SA"/>
        </w:rPr>
        <w:t>2021年5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月1日顺利开始执行为企业免费刻制首套印章服务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收到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545家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新注册开办企业完成免费印章雕刻相关资料，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为企业减免费用达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108680元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val="en-US" w:eastAsia="zh-CN" w:bidi="ar-SA"/>
        </w:rPr>
        <w:t>5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）完成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网上中介服务超市建设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并投入使用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，我县网上中介服务超市共入驻项目业主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49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中介事项59项，入驻中介机构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已有83个项目在中介超市抽取服务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继续做好政务服务“好差评”工作。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努力实现服务接入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和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评价服务全覆盖。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2021年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，全县政务服务“好差评”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bidi="ar-SA"/>
        </w:rPr>
        <w:t>系统共接收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 w:bidi="ar-SA"/>
        </w:rPr>
        <w:t>5134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bidi="ar-SA"/>
        </w:rPr>
        <w:t>条评价信息，其中非常满意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 w:bidi="ar-SA"/>
        </w:rPr>
        <w:t>5131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bidi="ar-SA"/>
        </w:rPr>
        <w:t>条，满意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bidi="ar-SA"/>
        </w:rPr>
        <w:t>条，满意率100%。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公共资源交易积极推行保证金银行电子保函。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为优化营商环境，减轻市场主体交易成本，自5月1日起在我县建设、交通、水利工程项目招投标活动中，逐步推行使用保证金线上电子保函。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val="en-US" w:eastAsia="zh-CN" w:bidi="ar-SA"/>
        </w:rPr>
        <w:t>8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）完成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eastAsia="zh-CN" w:bidi="ar-SA"/>
        </w:rPr>
        <w:t>浮梁县工程初步审计中介机构入库工作。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确定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了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73家中介机构入选中介超市。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2021年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，我县共有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 w:bidi="ar-SA"/>
        </w:rPr>
        <w:t>108</w:t>
      </w:r>
      <w:r>
        <w:rPr>
          <w:rFonts w:hint="eastAsia" w:ascii="仿宋_GB2312" w:hAnsi="仿宋_GB2312" w:eastAsia="仿宋_GB2312" w:cs="仿宋_GB2312"/>
          <w:sz w:val="30"/>
          <w:szCs w:val="30"/>
          <w:lang w:bidi="ar-SA"/>
        </w:rPr>
        <w:t>个工程项目通过摇号选取了中介机构，进行初步审计。</w:t>
      </w:r>
    </w:p>
    <w:p>
      <w:pPr>
        <w:spacing w:line="560" w:lineRule="exact"/>
        <w:ind w:firstLine="602" w:firstLineChars="200"/>
        <w:jc w:val="both"/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val="en-US" w:eastAsia="zh-CN" w:bidi="ar-SA"/>
        </w:rPr>
        <w:t>9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）建立帮代办服务队伍。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 w:bidi="ar-SA"/>
        </w:rPr>
        <w:t>按照县政府《关于印发&lt;浮梁县推行政务服务帮办代办工作实施办法&gt;的通知》要求，梳理汇总各部门报送的帮代办服务人员和帮办代办服务事项，建立中心24人帮办代办服务队伍，帮办代办事项71项。</w:t>
      </w:r>
    </w:p>
    <w:p>
      <w:pPr>
        <w:ind w:firstLine="602" w:firstLineChars="200"/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）积极开展“六减一增”专项活动。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 w:bidi="ar-SA"/>
        </w:rPr>
        <w:t>根据国家、省、市、县“放管服”改革、优化营商环境工作要求，在全县范围内开展政务服务“六减一增”(减环节、减材料、减证明、减跑动、减时限、减费用、增加政务服务透明度)专项提升行动，要求各部门按照文件精神做好自查自减工作。目前，11个单位报送了“六减一增”专项活动成效表，涉及68个事项，累计减环节117个、减材料51项、减证明10项、减跑动73次、减时限279.5天。</w:t>
      </w:r>
    </w:p>
    <w:p>
      <w:pPr>
        <w:ind w:firstLine="602" w:firstLineChars="200"/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val="en-US" w:eastAsia="zh-CN" w:bidi="ar-SA"/>
        </w:rPr>
        <w:t>11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）开展“服务怎样我体验，发现问题我整改”活动。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 w:bidi="ar-SA"/>
        </w:rPr>
        <w:t>中心始终坚持从群众角度出发，积极推进各部门负责同志以办理人、帮办人和窗口工作人员等三种身份，“线上+线下”相结合的去体验本单位事项办理流程等环节，从而精准发现问题，对症下药，闭环整改。如：浮梁县税务局主要领导以“税务体验官”身份办理15种高频办理事项，把自己彻底摆进去，切身查找办税缴费流程中存在的肠梗阻，不断提升纳税人缴费人满意度和获得感；县公安局分管领导以工作人员身份“坐窗口”，直接受理审批服务事项，为办事群众提供全流程面对面服务，从中发现流程不优、运转不畅等问题，促进本部门审批服务提速增效。</w:t>
      </w:r>
    </w:p>
    <w:p>
      <w:pPr>
        <w:ind w:firstLine="602" w:firstLineChars="200"/>
        <w:textAlignment w:val="baseline"/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（</w:t>
      </w:r>
      <w:r>
        <w:rPr>
          <w:rFonts w:hint="eastAsia" w:cs="仿宋_GB2312"/>
          <w:b/>
          <w:bCs w:val="0"/>
          <w:sz w:val="30"/>
          <w:szCs w:val="30"/>
          <w:lang w:val="en-US" w:eastAsia="zh-CN" w:bidi="ar-SA"/>
        </w:rPr>
        <w:t>12</w:t>
      </w: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lang w:val="en-US" w:eastAsia="zh-CN" w:bidi="ar-SA"/>
        </w:rPr>
        <w:t>）加强窗口作风建设。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 w:bidi="ar-SA"/>
        </w:rPr>
        <w:t>中心采用常态化巡查和不定期督查方式，安排专人进行政务大厅日常纪律监督巡查，积极开展“窗口腐败”专项整治活动。通过设立“窗口腐败”专项整治投诉举报箱、投诉电话和投诉接待办公室，畅通举报投诉渠道，通过“办不成事”反映窗口、线上线下政务服务“好差评”系统等渠道深挖问题线索，将针对反映投诉的问题，及时有效开展调查处理。杜绝“门难进、脸难看、不作为、乱作为、慢作为”的情况发生。</w:t>
      </w:r>
    </w:p>
    <w:p>
      <w:pPr>
        <w:ind w:firstLine="600" w:firstLineChars="200"/>
        <w:textAlignment w:val="baseline"/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 w:eastAsia="zh-CN" w:bidi="ar-SA"/>
        </w:rPr>
      </w:pPr>
    </w:p>
    <w:p>
      <w:pPr>
        <w:numPr>
          <w:ilvl w:val="0"/>
          <w:numId w:val="2"/>
        </w:numPr>
        <w:spacing w:beforeLines="0" w:afterLines="0" w:line="400" w:lineRule="exact"/>
        <w:ind w:left="0" w:leftChars="0" w:firstLine="643" w:firstLineChars="200"/>
        <w:rPr>
          <w:rFonts w:hint="default" w:ascii="仿宋_GB2312" w:hAnsi="仿宋_GB2312" w:eastAsia="仿宋_GB2312"/>
          <w:b/>
          <w:bCs/>
          <w:sz w:val="32"/>
          <w:lang w:val="zh-CN"/>
        </w:rPr>
      </w:pPr>
      <w:r>
        <w:rPr>
          <w:rFonts w:hint="default" w:ascii="仿宋_GB2312" w:hAnsi="仿宋_GB2312" w:eastAsia="仿宋_GB2312"/>
          <w:b/>
          <w:bCs/>
          <w:sz w:val="32"/>
          <w:lang w:val="zh-CN"/>
        </w:rPr>
        <w:t>部门预算绩效管理开展情况</w:t>
      </w:r>
    </w:p>
    <w:p>
      <w:pPr>
        <w:numPr>
          <w:ilvl w:val="0"/>
          <w:numId w:val="0"/>
        </w:numPr>
        <w:spacing w:beforeLines="0" w:afterLines="0" w:line="400" w:lineRule="exact"/>
        <w:ind w:leftChars="200" w:right="0" w:rightChars="0"/>
        <w:rPr>
          <w:rFonts w:hint="default" w:ascii="仿宋_GB2312" w:hAnsi="仿宋_GB2312" w:eastAsia="仿宋_GB2312"/>
          <w:b/>
          <w:bCs/>
          <w:sz w:val="32"/>
          <w:lang w:val="zh-CN"/>
        </w:rPr>
      </w:pPr>
    </w:p>
    <w:p>
      <w:pPr>
        <w:ind w:firstLine="630"/>
        <w:jc w:val="left"/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</w:pPr>
      <w:r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  <w:t>1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zh-CN" w:eastAsia="zh-CN"/>
        </w:rPr>
        <w:t>、</w:t>
      </w:r>
      <w:r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  <w:t>合理设置预算绩效管理目标。我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单位</w:t>
      </w:r>
      <w:r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  <w:t>按照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县</w:t>
      </w:r>
      <w:r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  <w:t>财政绩效相关管理要求，结合部门职责和当年工作任务，确定当年部门预算绩效管理目标，优化绩效指标体系和设置绩效评价标</w:t>
      </w:r>
    </w:p>
    <w:p>
      <w:pPr>
        <w:ind w:firstLine="630"/>
        <w:jc w:val="left"/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</w:pPr>
      <w:r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  <w:t>2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zh-CN" w:eastAsia="zh-CN"/>
        </w:rPr>
        <w:t>、</w:t>
      </w:r>
      <w:r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  <w:t>定期开展预算绩效执行分析。结合设定的绩效管理目标，加强对预算绩效执行日常管理和监控，并定期对执行信息进行收集、审核、分析；分析偏离绩效目标的原因，并及时采取纠偏措施。</w:t>
      </w:r>
    </w:p>
    <w:p>
      <w:pPr>
        <w:ind w:firstLine="630"/>
        <w:jc w:val="left"/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</w:pPr>
      <w:r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  <w:t>3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zh-CN" w:eastAsia="zh-CN"/>
        </w:rPr>
        <w:t>、</w:t>
      </w:r>
      <w:r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  <w:t>高度重视预算绩效管理自评工作。在年度终了或项目完成时，按照“查问题、找原因”的思路，开展预算绩效管理自评工作，对照设定的绩效管理目标和评价标准，找出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我单位</w:t>
      </w:r>
      <w:r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  <w:t>在当前预算绩效管理工作中存在的不足和问题。</w:t>
      </w:r>
    </w:p>
    <w:p>
      <w:pPr>
        <w:ind w:firstLine="630"/>
        <w:jc w:val="left"/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</w:pPr>
      <w:r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  <w:t>4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zh-CN" w:eastAsia="zh-CN"/>
        </w:rPr>
        <w:t>、</w:t>
      </w:r>
      <w:r>
        <w:rPr>
          <w:rFonts w:hint="default" w:ascii="仿宋" w:hAnsi="仿宋" w:eastAsia="仿宋"/>
          <w:b w:val="0"/>
          <w:bCs w:val="0"/>
          <w:sz w:val="30"/>
          <w:szCs w:val="30"/>
          <w:lang w:val="zh-CN" w:eastAsia="zh-CN"/>
        </w:rPr>
        <w:t>充分利用预算绩效管理评价结果。根据预算绩效评价中找出的问题和原因，进行整改，同时，将评价结果作为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Chars="200" w:right="0" w:rightChars="0" w:firstLine="321" w:firstLineChars="100"/>
        <w:jc w:val="both"/>
        <w:textAlignment w:val="auto"/>
        <w:outlineLvl w:val="9"/>
        <w:rPr>
          <w:rFonts w:hint="eastAsia" w:ascii="仿宋_GB2312" w:hAnsi="仿宋_GB2312" w:eastAsia="仿宋_GB2312"/>
          <w:b/>
          <w:bCs/>
          <w:sz w:val="32"/>
          <w:szCs w:val="30"/>
        </w:rPr>
      </w:pPr>
      <w:r>
        <w:rPr>
          <w:rFonts w:hint="eastAsia"/>
          <w:b/>
          <w:bCs/>
          <w:sz w:val="32"/>
          <w:lang w:eastAsia="zh-CN"/>
        </w:rPr>
        <w:t>（</w:t>
      </w:r>
      <w:r>
        <w:rPr>
          <w:rFonts w:hint="eastAsia"/>
          <w:b/>
          <w:bCs/>
          <w:sz w:val="32"/>
          <w:lang w:val="en-US" w:eastAsia="zh-CN"/>
        </w:rPr>
        <w:t>四</w:t>
      </w:r>
      <w:r>
        <w:rPr>
          <w:rFonts w:hint="eastAsia"/>
          <w:b/>
          <w:bCs/>
          <w:sz w:val="32"/>
          <w:lang w:eastAsia="zh-CN"/>
        </w:rPr>
        <w:t>）</w:t>
      </w:r>
      <w:r>
        <w:rPr>
          <w:rFonts w:hint="eastAsia" w:ascii="仿宋_GB2312" w:hAnsi="仿宋_GB2312" w:eastAsia="仿宋_GB2312"/>
          <w:b/>
          <w:bCs/>
          <w:sz w:val="32"/>
        </w:rPr>
        <w:t>当年部门</w:t>
      </w:r>
      <w:r>
        <w:rPr>
          <w:rFonts w:hint="eastAsia" w:ascii="仿宋_GB2312" w:hAnsi="仿宋_GB2312" w:eastAsia="仿宋_GB2312"/>
          <w:b/>
          <w:bCs/>
          <w:sz w:val="32"/>
          <w:szCs w:val="30"/>
        </w:rPr>
        <w:t>预算及执行情况。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1082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32"/>
          <w:szCs w:val="30"/>
          <w:lang w:val="en-US" w:eastAsia="zh-CN"/>
        </w:rPr>
      </w:pPr>
      <w:r>
        <w:rPr>
          <w:rFonts w:hint="eastAsia"/>
          <w:b/>
          <w:bCs/>
          <w:sz w:val="32"/>
          <w:szCs w:val="30"/>
          <w:lang w:val="en-US" w:eastAsia="zh-CN"/>
        </w:rPr>
        <w:t>部门预算情况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960" w:firstLineChars="300"/>
        <w:jc w:val="both"/>
        <w:textAlignment w:val="auto"/>
        <w:outlineLvl w:val="9"/>
        <w:rPr>
          <w:rFonts w:hint="default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202</w:t>
      </w:r>
      <w:r>
        <w:rPr>
          <w:rFonts w:hint="eastAsia"/>
          <w:sz w:val="32"/>
          <w:lang w:val="en-US" w:eastAsia="zh-CN"/>
        </w:rPr>
        <w:t>1</w:t>
      </w:r>
      <w:r>
        <w:rPr>
          <w:rFonts w:hint="eastAsia" w:ascii="仿宋_GB2312" w:hAnsi="仿宋_GB2312" w:eastAsia="仿宋_GB2312"/>
          <w:sz w:val="32"/>
          <w:lang w:val="en-US" w:eastAsia="zh-CN"/>
        </w:rPr>
        <w:t>年全年收入预算为</w:t>
      </w:r>
      <w:r>
        <w:rPr>
          <w:rFonts w:hint="eastAsia"/>
          <w:sz w:val="32"/>
          <w:lang w:val="en-US" w:eastAsia="zh-CN"/>
        </w:rPr>
        <w:t>441.11</w:t>
      </w:r>
      <w:r>
        <w:rPr>
          <w:rFonts w:hint="eastAsia" w:ascii="仿宋_GB2312" w:hAnsi="仿宋_GB2312" w:eastAsia="仿宋_GB2312"/>
          <w:sz w:val="32"/>
          <w:lang w:val="en-US" w:eastAsia="zh-CN"/>
        </w:rPr>
        <w:t>万元，资金来源</w:t>
      </w:r>
      <w:r>
        <w:rPr>
          <w:rFonts w:hint="eastAsia"/>
          <w:sz w:val="32"/>
          <w:lang w:val="en-US" w:eastAsia="zh-CN"/>
        </w:rPr>
        <w:t>全</w:t>
      </w:r>
      <w:r>
        <w:rPr>
          <w:rFonts w:hint="eastAsia" w:ascii="仿宋_GB2312" w:hAnsi="仿宋_GB2312" w:eastAsia="仿宋_GB2312"/>
          <w:sz w:val="32"/>
          <w:lang w:val="en-US" w:eastAsia="zh-CN"/>
        </w:rPr>
        <w:t>为财政拨款</w:t>
      </w:r>
      <w:r>
        <w:rPr>
          <w:rFonts w:hint="eastAsia"/>
          <w:sz w:val="32"/>
          <w:lang w:val="en-US" w:eastAsia="zh-CN"/>
        </w:rPr>
        <w:t>439.76</w:t>
      </w:r>
      <w:r>
        <w:rPr>
          <w:rFonts w:hint="eastAsia" w:ascii="仿宋_GB2312" w:hAnsi="仿宋_GB2312" w:eastAsia="仿宋_GB2312"/>
          <w:sz w:val="32"/>
          <w:lang w:val="en-US" w:eastAsia="zh-CN"/>
        </w:rPr>
        <w:t>万元</w:t>
      </w:r>
      <w:r>
        <w:rPr>
          <w:rFonts w:hint="eastAsia"/>
          <w:sz w:val="32"/>
          <w:lang w:val="en-US" w:eastAsia="zh-CN"/>
        </w:rPr>
        <w:t>，上年结转和结余为1.35万元：其中基本支出为178.71万元，项目支出为262.4万元。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1082" w:leftChars="0" w:right="0" w:rightChars="0" w:firstLine="0" w:firstLineChars="0"/>
        <w:jc w:val="both"/>
        <w:textAlignment w:val="auto"/>
        <w:outlineLvl w:val="9"/>
        <w:rPr>
          <w:rFonts w:hint="default"/>
          <w:b/>
          <w:bCs/>
          <w:sz w:val="32"/>
          <w:szCs w:val="30"/>
          <w:lang w:val="en-US" w:eastAsia="zh-CN"/>
        </w:rPr>
      </w:pPr>
      <w:r>
        <w:rPr>
          <w:rFonts w:hint="eastAsia"/>
          <w:b/>
          <w:bCs/>
          <w:sz w:val="32"/>
          <w:szCs w:val="30"/>
          <w:lang w:val="en-US" w:eastAsia="zh-CN"/>
        </w:rPr>
        <w:t>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960" w:firstLineChars="300"/>
        <w:jc w:val="both"/>
        <w:textAlignment w:val="auto"/>
        <w:outlineLvl w:val="9"/>
        <w:rPr>
          <w:rFonts w:hint="default" w:ascii="仿宋_GB2312" w:hAnsi="仿宋_GB2312" w:eastAsia="仿宋_GB2312"/>
          <w:b/>
          <w:bCs/>
          <w:sz w:val="32"/>
          <w:szCs w:val="30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202</w:t>
      </w:r>
      <w:r>
        <w:rPr>
          <w:rFonts w:hint="eastAsia"/>
          <w:sz w:val="32"/>
          <w:lang w:val="en-US" w:eastAsia="zh-CN"/>
        </w:rPr>
        <w:t>1</w:t>
      </w:r>
      <w:r>
        <w:rPr>
          <w:rFonts w:hint="eastAsia" w:ascii="仿宋_GB2312" w:hAnsi="仿宋_GB2312" w:eastAsia="仿宋_GB2312"/>
          <w:sz w:val="32"/>
          <w:lang w:val="en-US" w:eastAsia="zh-CN"/>
        </w:rPr>
        <w:t>年全年支出执行数为</w:t>
      </w:r>
      <w:r>
        <w:rPr>
          <w:rFonts w:hint="eastAsia"/>
          <w:sz w:val="32"/>
          <w:lang w:val="en-US" w:eastAsia="zh-CN"/>
        </w:rPr>
        <w:t>442.45</w:t>
      </w:r>
      <w:r>
        <w:rPr>
          <w:rFonts w:hint="eastAsia" w:ascii="仿宋_GB2312" w:hAnsi="仿宋_GB2312" w:eastAsia="仿宋_GB2312"/>
          <w:sz w:val="32"/>
          <w:lang w:val="en-US" w:eastAsia="zh-CN"/>
        </w:rPr>
        <w:t>万元，预算执行率为100%</w:t>
      </w:r>
      <w:r>
        <w:rPr>
          <w:rFonts w:hint="eastAsia"/>
          <w:sz w:val="32"/>
          <w:lang w:val="en-US" w:eastAsia="zh-CN"/>
        </w:rPr>
        <w:t>，预算执行总体较好。其中，基本支出180.05万元，预算执行率为100%；项目支出262.4万元，预算执行率为100%。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二、部门整体支出绩效实现情况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/>
          <w:b/>
          <w:bCs/>
          <w:sz w:val="32"/>
        </w:rPr>
      </w:pPr>
      <w:r>
        <w:rPr>
          <w:rFonts w:hint="eastAsia" w:ascii="仿宋_GB2312" w:hAnsi="仿宋_GB2312" w:eastAsia="仿宋_GB2312"/>
          <w:b/>
          <w:bCs/>
          <w:sz w:val="32"/>
        </w:rPr>
        <w:t>（一）履职完成情况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1、数量指标（指标分值5分，实际得分5分）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b w:val="0"/>
          <w:bCs w:val="0"/>
          <w:sz w:val="32"/>
          <w:lang w:val="en-US" w:eastAsia="zh-CN"/>
        </w:rPr>
      </w:pPr>
      <w:r>
        <w:rPr>
          <w:rFonts w:hint="eastAsia"/>
          <w:b w:val="0"/>
          <w:bCs w:val="0"/>
          <w:sz w:val="32"/>
          <w:lang w:val="en-US" w:eastAsia="zh-CN"/>
        </w:rPr>
        <w:t>办证大厅每日办件量要求大于或等于为150件，基本达标。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2、质量指标（指标分值20分，实际得分20分）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b w:val="0"/>
          <w:bCs w:val="0"/>
          <w:sz w:val="32"/>
          <w:lang w:val="en-US" w:eastAsia="zh-CN"/>
        </w:rPr>
      </w:pPr>
      <w:r>
        <w:rPr>
          <w:rFonts w:hint="eastAsia"/>
          <w:b w:val="0"/>
          <w:bCs w:val="0"/>
          <w:sz w:val="32"/>
          <w:lang w:val="en-US" w:eastAsia="zh-CN"/>
        </w:rPr>
        <w:t>办证大厅办事办理事项准确度大于等于95%，基本达标；开标现场保证公平公正，基本达标。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/>
          <w:b/>
          <w:bCs/>
          <w:sz w:val="32"/>
        </w:rPr>
      </w:pPr>
      <w:r>
        <w:rPr>
          <w:rFonts w:hint="eastAsia" w:ascii="仿宋_GB2312" w:hAnsi="仿宋_GB2312" w:eastAsia="仿宋_GB2312"/>
          <w:b/>
          <w:bCs/>
          <w:sz w:val="32"/>
        </w:rPr>
        <w:t>履职效果情况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Chars="200" w:right="0" w:rightChars="0" w:firstLine="321" w:firstLineChars="100"/>
        <w:jc w:val="both"/>
        <w:textAlignment w:val="auto"/>
        <w:outlineLvl w:val="9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经济效益指标（指标分值15分，实际得分14分）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b w:val="0"/>
          <w:bCs w:val="0"/>
          <w:sz w:val="32"/>
          <w:lang w:val="en-US" w:eastAsia="zh-CN"/>
        </w:rPr>
      </w:pPr>
      <w:r>
        <w:rPr>
          <w:rFonts w:hint="eastAsia"/>
          <w:b w:val="0"/>
          <w:bCs w:val="0"/>
          <w:sz w:val="32"/>
          <w:lang w:val="en-US" w:eastAsia="zh-CN"/>
        </w:rPr>
        <w:t>开标现场对公共资源交易中心的投诉率控制在小于等于5%，偶尔出现开标质疑，但是基本都及时在开边现场得到解决。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Chars="200" w:right="0" w:rightChars="0" w:firstLine="321" w:firstLineChars="100"/>
        <w:jc w:val="both"/>
        <w:textAlignment w:val="auto"/>
        <w:outlineLvl w:val="9"/>
        <w:rPr>
          <w:rFonts w:hint="default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社会小于指标（指标分值20分，实际得分18分）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Chars="300" w:right="0" w:rightChars="0"/>
        <w:jc w:val="both"/>
        <w:textAlignment w:val="auto"/>
        <w:outlineLvl w:val="9"/>
        <w:rPr>
          <w:rFonts w:hint="default"/>
          <w:b w:val="0"/>
          <w:bCs w:val="0"/>
          <w:sz w:val="32"/>
          <w:lang w:val="en-US" w:eastAsia="zh-CN"/>
        </w:rPr>
      </w:pPr>
      <w:r>
        <w:rPr>
          <w:rFonts w:hint="eastAsia"/>
          <w:b w:val="0"/>
          <w:bCs w:val="0"/>
          <w:sz w:val="32"/>
          <w:lang w:val="en-US" w:eastAsia="zh-CN"/>
        </w:rPr>
        <w:t>办事群众对办证大厅投诉率控制小于等于5%，基本达标。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/>
          <w:b/>
          <w:bCs/>
          <w:sz w:val="32"/>
        </w:rPr>
      </w:pPr>
      <w:r>
        <w:rPr>
          <w:rFonts w:hint="eastAsia" w:ascii="仿宋_GB2312" w:hAnsi="仿宋_GB2312" w:eastAsia="仿宋_GB2312"/>
          <w:b/>
          <w:bCs/>
          <w:sz w:val="32"/>
        </w:rPr>
        <w:t>社会满意度及可持续性影响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1、满意度指标（指标分值10分，实际得分9分）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b w:val="0"/>
          <w:bCs w:val="0"/>
          <w:sz w:val="32"/>
          <w:lang w:val="en-US" w:eastAsia="zh-CN"/>
        </w:rPr>
      </w:pPr>
      <w:r>
        <w:rPr>
          <w:rFonts w:hint="eastAsia"/>
          <w:b w:val="0"/>
          <w:bCs w:val="0"/>
          <w:sz w:val="32"/>
          <w:lang w:val="en-US" w:eastAsia="zh-CN"/>
        </w:rPr>
        <w:t>办事群众对办证大厅服务质量满意度评分较高，基本完成指标任务。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三、部门整体支出绩效中存在问题及改进措施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（一）主要问题及原因分析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b w:val="0"/>
          <w:bCs w:val="0"/>
          <w:sz w:val="32"/>
          <w:lang w:val="zh-CN" w:eastAsia="zh-CN"/>
        </w:rPr>
      </w:pPr>
      <w:r>
        <w:rPr>
          <w:rFonts w:hint="eastAsia"/>
          <w:b w:val="0"/>
          <w:bCs w:val="0"/>
          <w:sz w:val="32"/>
          <w:lang w:val="en-US" w:eastAsia="zh-CN"/>
        </w:rPr>
        <w:t>存在的问题有（1）</w:t>
      </w:r>
      <w:r>
        <w:rPr>
          <w:rFonts w:hint="default"/>
          <w:b w:val="0"/>
          <w:bCs w:val="0"/>
          <w:sz w:val="32"/>
          <w:lang w:val="zh-CN" w:eastAsia="zh-CN"/>
        </w:rPr>
        <w:t>对预算绩效管理认识不足</w:t>
      </w:r>
      <w:r>
        <w:rPr>
          <w:rFonts w:hint="eastAsia"/>
          <w:b w:val="0"/>
          <w:bCs w:val="0"/>
          <w:sz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32"/>
        </w:rPr>
      </w:pPr>
      <w:r>
        <w:rPr>
          <w:rFonts w:hint="default"/>
          <w:b w:val="0"/>
          <w:bCs w:val="0"/>
          <w:sz w:val="32"/>
          <w:lang w:val="zh-CN" w:eastAsia="zh-CN"/>
        </w:rPr>
        <w:t>当前我单位预算绩效管理还处在探索阶段，还没有形成较为深刻的预算绩效管理理念，对加强预算绩效管理的认识不足，缺乏创新和科学的改革观念</w:t>
      </w:r>
      <w:r>
        <w:rPr>
          <w:rFonts w:hint="eastAsia"/>
          <w:b w:val="0"/>
          <w:bCs w:val="0"/>
          <w:sz w:val="32"/>
          <w:lang w:val="zh-CN" w:eastAsia="zh-CN"/>
        </w:rPr>
        <w:t>。（</w:t>
      </w:r>
      <w:r>
        <w:rPr>
          <w:rFonts w:hint="eastAsia"/>
          <w:b w:val="0"/>
          <w:bCs w:val="0"/>
          <w:sz w:val="32"/>
          <w:lang w:val="en-US" w:eastAsia="zh-CN"/>
        </w:rPr>
        <w:t>2</w:t>
      </w:r>
      <w:r>
        <w:rPr>
          <w:rFonts w:hint="eastAsia"/>
          <w:b w:val="0"/>
          <w:bCs w:val="0"/>
          <w:sz w:val="32"/>
          <w:lang w:val="zh-CN" w:eastAsia="zh-CN"/>
        </w:rPr>
        <w:t>）</w:t>
      </w:r>
      <w:r>
        <w:rPr>
          <w:rFonts w:hint="eastAsia"/>
          <w:b w:val="0"/>
          <w:bCs w:val="0"/>
          <w:sz w:val="32"/>
          <w:lang w:val="en-US" w:eastAsia="zh-CN"/>
        </w:rPr>
        <w:t>对预算绩效管理缺乏完整的规范管理制度。制度是行动的方向牌，只有完整的制度才能将预算绩效管理工作做好做精。才能提高预算管理的准确性、合理性、合法性。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改进的方向和具体措施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b w:val="0"/>
          <w:bCs w:val="0"/>
          <w:sz w:val="32"/>
          <w:lang w:val="zh-CN" w:eastAsia="zh-CN"/>
        </w:rPr>
      </w:pPr>
      <w:r>
        <w:rPr>
          <w:rFonts w:hint="default"/>
          <w:b w:val="0"/>
          <w:bCs w:val="0"/>
          <w:sz w:val="32"/>
          <w:lang w:val="zh-CN" w:eastAsia="zh-CN"/>
        </w:rPr>
        <w:t>对本次绩效自评发现的问题，我</w:t>
      </w:r>
      <w:r>
        <w:rPr>
          <w:rFonts w:hint="eastAsia"/>
          <w:b w:val="0"/>
          <w:bCs w:val="0"/>
          <w:sz w:val="32"/>
          <w:lang w:val="en-US" w:eastAsia="zh-CN"/>
        </w:rPr>
        <w:t>单位</w:t>
      </w:r>
      <w:r>
        <w:rPr>
          <w:rFonts w:hint="default"/>
          <w:b w:val="0"/>
          <w:bCs w:val="0"/>
          <w:sz w:val="32"/>
          <w:lang w:val="zh-CN" w:eastAsia="zh-CN"/>
        </w:rPr>
        <w:t>将从提高预算编制准确性、规范预算执行、加快项目执行推进力度等方面加以改进。（1）提高预算编制的准确性。在预算编制阶段将加强业财融合，全面梳理部门业务需求，做好基础数据测算，量力而出，统筹平衡，提高预算编制的准确性。（2）规范预算执行。在预算执行阶段将强化预算执行刚性约束力，杜绝预算串科目使用。（3）加快项目执行推进力度。要求项目围绕绩效目标，制定项目实施计划，明确实际进度。应根据相关合同完成规定程序尽快形成实际支出，加快项目支出进度，降低项目结余结转率，防范超期结转风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Chars="200" w:right="0" w:right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</w:rPr>
      </w:pPr>
    </w:p>
    <w:p>
      <w:pPr>
        <w:pStyle w:val="2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b w:val="0"/>
          <w:bCs w:val="0"/>
          <w:sz w:val="32"/>
          <w:lang w:val="zh-CN" w:eastAsia="zh-CN"/>
        </w:rPr>
      </w:pPr>
      <w:r>
        <w:rPr>
          <w:rFonts w:hint="eastAsia"/>
          <w:b w:val="0"/>
          <w:bCs w:val="0"/>
          <w:sz w:val="32"/>
          <w:lang w:val="zh-CN" w:eastAsia="zh-CN"/>
        </w:rPr>
        <w:t>针对整体支出绩效评价过程中发现的问题和情况，我单位将以评价结果为导向，落实改进举措，及时</w:t>
      </w:r>
      <w:bookmarkStart w:id="0" w:name="_GoBack"/>
      <w:bookmarkEnd w:id="0"/>
      <w:r>
        <w:rPr>
          <w:rFonts w:hint="eastAsia"/>
          <w:b w:val="0"/>
          <w:bCs w:val="0"/>
          <w:sz w:val="32"/>
          <w:lang w:val="zh-CN" w:eastAsia="zh-CN"/>
        </w:rPr>
        <w:t>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b w:val="0"/>
          <w:bCs w:val="0"/>
          <w:sz w:val="32"/>
          <w:lang w:val="zh-CN" w:eastAsia="zh-CN"/>
        </w:rPr>
      </w:pPr>
    </w:p>
    <w:p>
      <w:pPr>
        <w:pStyle w:val="2"/>
        <w:ind w:firstLine="640" w:firstLineChars="200"/>
        <w:rPr>
          <w:rFonts w:hint="eastAsia" w:ascii="黑体" w:hAnsi="黑体" w:eastAsia="黑体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50FBED"/>
    <w:multiLevelType w:val="singleLevel"/>
    <w:tmpl w:val="8950FBE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0C91EF5"/>
    <w:multiLevelType w:val="singleLevel"/>
    <w:tmpl w:val="D0C91EF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BC81804"/>
    <w:multiLevelType w:val="singleLevel"/>
    <w:tmpl w:val="DBC8180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374A2AE"/>
    <w:multiLevelType w:val="singleLevel"/>
    <w:tmpl w:val="0374A2AE"/>
    <w:lvl w:ilvl="0" w:tentative="0">
      <w:start w:val="1"/>
      <w:numFmt w:val="decimal"/>
      <w:suff w:val="nothing"/>
      <w:lvlText w:val="%1、"/>
      <w:lvlJc w:val="left"/>
      <w:pPr>
        <w:ind w:left="1082" w:leftChars="0" w:firstLine="0" w:firstLineChars="0"/>
      </w:pPr>
    </w:lvl>
  </w:abstractNum>
  <w:abstractNum w:abstractNumId="4">
    <w:nsid w:val="2BF19C2C"/>
    <w:multiLevelType w:val="singleLevel"/>
    <w:tmpl w:val="2BF19C2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B006312"/>
    <w:multiLevelType w:val="singleLevel"/>
    <w:tmpl w:val="5B00631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616F1989"/>
    <w:multiLevelType w:val="singleLevel"/>
    <w:tmpl w:val="616F198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6C88C078"/>
    <w:multiLevelType w:val="singleLevel"/>
    <w:tmpl w:val="6C88C07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yZjU1YzlhYzk5OThmYTY1ZGZjOTYzZDEwMzRlODUifQ=="/>
  </w:docVars>
  <w:rsids>
    <w:rsidRoot w:val="00172A27"/>
    <w:rsid w:val="004B04F6"/>
    <w:rsid w:val="23B64B7E"/>
    <w:rsid w:val="28FE3DFA"/>
    <w:rsid w:val="2D55446E"/>
    <w:rsid w:val="74F8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3122</Words>
  <Characters>3282</Characters>
  <Lines>0</Lines>
  <Paragraphs>0</Paragraphs>
  <TotalTime>0</TotalTime>
  <ScaleCrop>false</ScaleCrop>
  <LinksUpToDate>false</LinksUpToDate>
  <CharactersWithSpaces>3292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2021-06-21T01:37:00Z</dcterms:created>
  <dc:creator>大栗旬</dc:creator>
  <cp:lastModifiedBy>大栗旬</cp:lastModifiedBy>
  <dcterms:modified xsi:type="dcterms:W3CDTF">2022-06-07T07:06:08Z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C03D659465A44545A14C5F7B4394C6CA</vt:lpwstr>
  </property>
</Properties>
</file>