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浮梁县行政服务中心 2022年部门预算</w:t>
      </w:r>
    </w:p>
    <w:p>
      <w:pPr>
        <w:spacing w:line="334" w:lineRule="auto"/>
        <w:rPr>
          <w:rFonts w:ascii="Arial"/>
          <w:sz w:val="21"/>
        </w:rPr>
      </w:pPr>
    </w:p>
    <w:p>
      <w:pPr>
        <w:spacing w:line="334" w:lineRule="auto"/>
        <w:rPr>
          <w:rFonts w:hint="eastAsia" w:ascii="Arial" w:eastAsia="宋体"/>
          <w:sz w:val="21"/>
          <w:lang w:eastAsia="zh-CN"/>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pPr>
        <w:spacing w:line="347" w:lineRule="auto"/>
        <w:rPr>
          <w:rFonts w:ascii="Arial"/>
          <w:sz w:val="21"/>
        </w:rPr>
      </w:pPr>
    </w:p>
    <w:p>
      <w:pPr>
        <w:spacing w:line="347" w:lineRule="auto"/>
        <w:rPr>
          <w:rFonts w:ascii="Arial"/>
          <w:sz w:val="21"/>
        </w:rPr>
      </w:pP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第一部分 浮梁县行政服务中心概况</w:t>
      </w:r>
    </w:p>
    <w:p>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2" w:firstLineChars="200"/>
        <w:textAlignment w:val="baseline"/>
        <w:rPr>
          <w:rFonts w:ascii="楷体" w:hAnsi="楷体" w:eastAsia="楷体" w:cs="楷体"/>
          <w:sz w:val="32"/>
          <w:szCs w:val="32"/>
        </w:rPr>
      </w:pPr>
      <w:r>
        <w:rPr>
          <w:rFonts w:ascii="楷体" w:hAnsi="楷体" w:eastAsia="楷体" w:cs="楷体"/>
          <w:spacing w:val="-2"/>
          <w:sz w:val="32"/>
          <w:szCs w:val="32"/>
        </w:rPr>
        <w:t>一、部门主要职责</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z w:val="32"/>
          <w:szCs w:val="32"/>
        </w:rPr>
      </w:pPr>
      <w:r>
        <w:rPr>
          <w:rFonts w:ascii="楷体" w:hAnsi="楷体" w:eastAsia="楷体" w:cs="楷体"/>
          <w:spacing w:val="1"/>
          <w:sz w:val="32"/>
          <w:szCs w:val="32"/>
        </w:rPr>
        <w:t>二、机构设置及人员情况</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浮梁县行政服务中心2022年部门预算表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一、《收支预算总表》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二、《部门收入总表》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三、《部门支出总表》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四、《财政拨款收支总表》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五、《一般公共预算支出表》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pacing w:val="1"/>
          <w:sz w:val="32"/>
          <w:szCs w:val="32"/>
        </w:rPr>
      </w:pPr>
      <w:r>
        <w:rPr>
          <w:rFonts w:hint="eastAsia" w:ascii="楷体" w:hAnsi="楷体" w:eastAsia="楷体" w:cs="楷体"/>
          <w:spacing w:val="1"/>
          <w:sz w:val="32"/>
          <w:szCs w:val="32"/>
        </w:rPr>
        <w:t>十一、《重点项目绩效目标表》</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第三部分 浮梁县行政服务中心2022年部门预算情况说明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一、2022年部门预算收支情况说明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二、2022年"三公”经费预算情况说明</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第一部分 浮梁县行政服务中心概况</w:t>
      </w:r>
    </w:p>
    <w:p>
      <w:pPr>
        <w:keepNext w:val="0"/>
        <w:keepLines w:val="0"/>
        <w:pageBreakBefore w:val="0"/>
        <w:widowControl/>
        <w:kinsoku w:val="0"/>
        <w:wordWrap/>
        <w:overflowPunct/>
        <w:topLinePunct w:val="0"/>
        <w:autoSpaceDE w:val="0"/>
        <w:autoSpaceDN w:val="0"/>
        <w:bidi w:val="0"/>
        <w:adjustRightInd w:val="0"/>
        <w:snapToGrid w:val="0"/>
        <w:spacing w:before="214" w:line="36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一、部门主要职责</w:t>
      </w:r>
    </w:p>
    <w:p>
      <w:pPr>
        <w:keepNext w:val="0"/>
        <w:keepLines w:val="0"/>
        <w:pageBreakBefore w:val="0"/>
        <w:wordWrap/>
        <w:overflowPunct/>
        <w:topLinePunct w:val="0"/>
        <w:bidi w:val="0"/>
        <w:spacing w:line="360" w:lineRule="auto"/>
        <w:ind w:firstLine="630"/>
        <w:jc w:val="left"/>
        <w:rPr>
          <w:rFonts w:hint="eastAsia" w:ascii="仿宋" w:hAnsi="仿宋" w:eastAsia="仿宋"/>
          <w:sz w:val="30"/>
          <w:szCs w:val="30"/>
        </w:rPr>
      </w:pPr>
      <w:r>
        <w:rPr>
          <w:rFonts w:hint="eastAsia" w:ascii="仿宋" w:hAnsi="仿宋" w:eastAsia="仿宋"/>
          <w:sz w:val="30"/>
          <w:szCs w:val="30"/>
          <w:lang w:val="en-US" w:eastAsia="zh-CN"/>
        </w:rPr>
        <w:t>①．管理、指导全县公共资源交易工作；</w:t>
      </w:r>
    </w:p>
    <w:p>
      <w:pPr>
        <w:keepNext w:val="0"/>
        <w:keepLines w:val="0"/>
        <w:pageBreakBefore w:val="0"/>
        <w:wordWrap/>
        <w:overflowPunct/>
        <w:topLinePunct w:val="0"/>
        <w:bidi w:val="0"/>
        <w:spacing w:line="360" w:lineRule="auto"/>
        <w:ind w:firstLine="630"/>
        <w:jc w:val="left"/>
        <w:rPr>
          <w:rFonts w:hint="eastAsia" w:ascii="仿宋" w:hAnsi="仿宋" w:eastAsia="仿宋"/>
          <w:sz w:val="30"/>
          <w:szCs w:val="30"/>
        </w:rPr>
      </w:pPr>
      <w:r>
        <w:rPr>
          <w:rFonts w:hint="eastAsia" w:ascii="仿宋" w:hAnsi="仿宋" w:eastAsia="仿宋"/>
          <w:sz w:val="30"/>
          <w:szCs w:val="30"/>
          <w:lang w:val="en-US" w:eastAsia="zh-CN"/>
        </w:rPr>
        <w:t>②．制定行政服务中心的管理制度并监督检查；</w:t>
      </w:r>
    </w:p>
    <w:p>
      <w:pPr>
        <w:keepNext w:val="0"/>
        <w:keepLines w:val="0"/>
        <w:pageBreakBefore w:val="0"/>
        <w:wordWrap/>
        <w:overflowPunct/>
        <w:topLinePunct w:val="0"/>
        <w:bidi w:val="0"/>
        <w:spacing w:line="360" w:lineRule="auto"/>
        <w:ind w:firstLine="630"/>
        <w:jc w:val="left"/>
        <w:rPr>
          <w:rFonts w:hint="eastAsia" w:ascii="仿宋" w:hAnsi="仿宋" w:eastAsia="仿宋"/>
          <w:sz w:val="30"/>
          <w:szCs w:val="30"/>
        </w:rPr>
      </w:pPr>
      <w:r>
        <w:rPr>
          <w:rFonts w:hint="eastAsia" w:ascii="仿宋" w:hAnsi="仿宋" w:eastAsia="仿宋"/>
          <w:sz w:val="30"/>
          <w:szCs w:val="30"/>
          <w:lang w:val="en-US" w:eastAsia="zh-CN"/>
        </w:rPr>
        <w:t>③．为办理行政服务事项提供服务；</w:t>
      </w:r>
    </w:p>
    <w:p>
      <w:pPr>
        <w:keepNext w:val="0"/>
        <w:keepLines w:val="0"/>
        <w:pageBreakBefore w:val="0"/>
        <w:wordWrap/>
        <w:overflowPunct/>
        <w:topLinePunct w:val="0"/>
        <w:bidi w:val="0"/>
        <w:spacing w:line="360" w:lineRule="auto"/>
        <w:ind w:firstLine="630"/>
        <w:jc w:val="left"/>
        <w:rPr>
          <w:rFonts w:hint="eastAsia" w:ascii="仿宋" w:hAnsi="仿宋" w:eastAsia="仿宋"/>
          <w:sz w:val="30"/>
          <w:szCs w:val="30"/>
        </w:rPr>
      </w:pPr>
      <w:r>
        <w:rPr>
          <w:rFonts w:hint="eastAsia" w:ascii="仿宋" w:hAnsi="仿宋" w:eastAsia="仿宋"/>
          <w:sz w:val="30"/>
          <w:szCs w:val="30"/>
          <w:lang w:val="en-US" w:eastAsia="zh-CN"/>
        </w:rPr>
        <w:t>④．为联合办理、统一办理行政服务事项进行组织与协调；</w:t>
      </w:r>
    </w:p>
    <w:p>
      <w:pPr>
        <w:keepNext w:val="0"/>
        <w:keepLines w:val="0"/>
        <w:pageBreakBefore w:val="0"/>
        <w:wordWrap/>
        <w:overflowPunct/>
        <w:topLinePunct w:val="0"/>
        <w:bidi w:val="0"/>
        <w:spacing w:line="360" w:lineRule="auto"/>
        <w:ind w:firstLine="630"/>
        <w:jc w:val="left"/>
        <w:rPr>
          <w:rFonts w:hint="eastAsia" w:ascii="仿宋" w:hAnsi="仿宋" w:eastAsia="仿宋"/>
          <w:sz w:val="30"/>
          <w:szCs w:val="30"/>
        </w:rPr>
      </w:pPr>
      <w:r>
        <w:rPr>
          <w:rFonts w:hint="eastAsia" w:ascii="仿宋" w:hAnsi="仿宋" w:eastAsia="仿宋"/>
          <w:sz w:val="30"/>
          <w:szCs w:val="30"/>
          <w:lang w:val="en-US" w:eastAsia="zh-CN"/>
        </w:rPr>
        <w:t>⑤．对办理行政服务事项的质量、效率及涉及的收费进行监督；</w:t>
      </w:r>
    </w:p>
    <w:p>
      <w:pPr>
        <w:keepNext w:val="0"/>
        <w:keepLines w:val="0"/>
        <w:pageBreakBefore w:val="0"/>
        <w:wordWrap/>
        <w:overflowPunct/>
        <w:topLinePunct w:val="0"/>
        <w:bidi w:val="0"/>
        <w:spacing w:line="360" w:lineRule="auto"/>
        <w:ind w:firstLine="630"/>
        <w:jc w:val="left"/>
        <w:rPr>
          <w:rFonts w:hint="eastAsia" w:ascii="仿宋" w:hAnsi="仿宋" w:eastAsia="仿宋"/>
          <w:sz w:val="30"/>
          <w:szCs w:val="30"/>
        </w:rPr>
      </w:pPr>
      <w:r>
        <w:rPr>
          <w:rFonts w:hint="eastAsia" w:ascii="仿宋" w:hAnsi="仿宋" w:eastAsia="仿宋"/>
          <w:sz w:val="30"/>
          <w:szCs w:val="30"/>
          <w:lang w:val="en-US" w:eastAsia="zh-CN"/>
        </w:rPr>
        <w:t>⑥．对窗口工作人员进行管理、培训和考核；</w:t>
      </w:r>
    </w:p>
    <w:p>
      <w:pPr>
        <w:keepNext w:val="0"/>
        <w:keepLines w:val="0"/>
        <w:pageBreakBefore w:val="0"/>
        <w:wordWrap/>
        <w:overflowPunct/>
        <w:topLinePunct w:val="0"/>
        <w:bidi w:val="0"/>
        <w:spacing w:line="360" w:lineRule="auto"/>
        <w:ind w:firstLine="630"/>
        <w:jc w:val="left"/>
        <w:rPr>
          <w:rFonts w:hint="eastAsia" w:ascii="仿宋" w:hAnsi="仿宋" w:eastAsia="仿宋"/>
          <w:sz w:val="30"/>
          <w:szCs w:val="30"/>
        </w:rPr>
      </w:pPr>
      <w:r>
        <w:rPr>
          <w:rFonts w:hint="eastAsia" w:ascii="仿宋" w:hAnsi="仿宋" w:eastAsia="仿宋"/>
          <w:sz w:val="30"/>
          <w:szCs w:val="30"/>
          <w:lang w:val="en-US" w:eastAsia="zh-CN"/>
        </w:rPr>
        <w:t>⑦．对下级人民政府便民服务中心建设进行指导；</w:t>
      </w:r>
    </w:p>
    <w:p>
      <w:pPr>
        <w:keepNext w:val="0"/>
        <w:keepLines w:val="0"/>
        <w:pageBreakBefore w:val="0"/>
        <w:wordWrap/>
        <w:overflowPunct/>
        <w:topLinePunct w:val="0"/>
        <w:bidi w:val="0"/>
        <w:spacing w:line="360" w:lineRule="auto"/>
        <w:ind w:firstLine="630"/>
        <w:jc w:val="left"/>
        <w:rPr>
          <w:rFonts w:hint="eastAsia" w:ascii="仿宋" w:hAnsi="仿宋" w:eastAsia="仿宋"/>
          <w:sz w:val="30"/>
          <w:szCs w:val="30"/>
          <w:lang w:val="en-US" w:eastAsia="zh-CN"/>
        </w:rPr>
      </w:pPr>
      <w:r>
        <w:rPr>
          <w:rFonts w:hint="eastAsia" w:ascii="仿宋" w:hAnsi="仿宋" w:eastAsia="仿宋"/>
          <w:sz w:val="30"/>
          <w:szCs w:val="30"/>
          <w:lang w:val="en-US" w:eastAsia="zh-CN"/>
        </w:rPr>
        <w:t>⑧．承办县政府交办的其他工作。</w:t>
      </w:r>
    </w:p>
    <w:p>
      <w:pPr>
        <w:keepNext w:val="0"/>
        <w:keepLines w:val="0"/>
        <w:pageBreakBefore w:val="0"/>
        <w:widowControl/>
        <w:kinsoku w:val="0"/>
        <w:wordWrap/>
        <w:overflowPunct/>
        <w:topLinePunct w:val="0"/>
        <w:autoSpaceDE w:val="0"/>
        <w:autoSpaceDN w:val="0"/>
        <w:bidi w:val="0"/>
        <w:adjustRightInd w:val="0"/>
        <w:snapToGrid w:val="0"/>
        <w:spacing w:before="214" w:line="36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二、机构设置及人员情况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150" w:beforeAutospacing="0" w:after="150" w:afterAutospacing="0" w:line="360" w:lineRule="auto"/>
        <w:ind w:right="0" w:firstLine="600" w:firstLineChars="200"/>
        <w:jc w:val="left"/>
        <w:rPr>
          <w:rFonts w:hint="eastAsia" w:ascii="仿宋" w:hAnsi="仿宋" w:eastAsia="仿宋"/>
          <w:sz w:val="30"/>
          <w:szCs w:val="30"/>
        </w:rPr>
      </w:pPr>
      <w:r>
        <w:rPr>
          <w:rFonts w:hint="eastAsia" w:ascii="仿宋" w:hAnsi="仿宋" w:eastAsia="仿宋"/>
          <w:sz w:val="30"/>
          <w:szCs w:val="30"/>
          <w:lang w:val="en-US" w:eastAsia="zh-CN"/>
        </w:rPr>
        <w:t>1、</w:t>
      </w: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2</w:t>
      </w:r>
      <w:r>
        <w:rPr>
          <w:rFonts w:hint="eastAsia" w:ascii="仿宋" w:hAnsi="仿宋" w:eastAsia="仿宋"/>
          <w:sz w:val="30"/>
          <w:szCs w:val="30"/>
        </w:rPr>
        <w:t>个</w:t>
      </w:r>
      <w:r>
        <w:rPr>
          <w:rFonts w:hint="eastAsia" w:ascii="仿宋" w:hAnsi="仿宋" w:eastAsia="仿宋"/>
          <w:sz w:val="30"/>
          <w:szCs w:val="30"/>
          <w:lang w:eastAsia="zh-CN"/>
        </w:rPr>
        <w:t>：</w:t>
      </w:r>
      <w:r>
        <w:rPr>
          <w:rFonts w:hint="eastAsia" w:ascii="仿宋" w:hAnsi="仿宋" w:eastAsia="仿宋"/>
          <w:sz w:val="30"/>
          <w:szCs w:val="30"/>
          <w:lang w:val="en-US" w:eastAsia="zh-CN"/>
        </w:rPr>
        <w:t>浮梁县行政服务中心</w:t>
      </w:r>
      <w:r>
        <w:rPr>
          <w:rFonts w:hint="eastAsia" w:ascii="仿宋" w:hAnsi="仿宋" w:eastAsia="仿宋"/>
          <w:sz w:val="30"/>
          <w:szCs w:val="30"/>
        </w:rPr>
        <w:t>和投资项目审批服务代办中心一个股级事业单位。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2、纳入本部门2022年部门编制人数为16人、实有人数为16人，其中在编人数12人，非编人数4人。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right="52" w:rightChars="0"/>
        <w:textAlignment w:val="baseline"/>
        <w:rPr>
          <w:rFonts w:ascii="仿宋" w:hAnsi="仿宋" w:eastAsia="仿宋" w:cs="仿宋"/>
          <w:spacing w:val="-9"/>
          <w:sz w:val="32"/>
          <w:szCs w:val="32"/>
        </w:r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浮梁县行政服务中心2022年部门预算表</w:t>
      </w:r>
    </w:p>
    <w:p>
      <w:pPr>
        <w:keepNext w:val="0"/>
        <w:keepLines w:val="0"/>
        <w:pageBreakBefore w:val="0"/>
        <w:widowControl/>
        <w:kinsoku w:val="0"/>
        <w:wordWrap/>
        <w:overflowPunct/>
        <w:topLinePunct w:val="0"/>
        <w:autoSpaceDE w:val="0"/>
        <w:autoSpaceDN w:val="0"/>
        <w:bidi w:val="0"/>
        <w:adjustRightInd w:val="0"/>
        <w:snapToGrid w:val="0"/>
        <w:spacing w:before="215" w:line="360" w:lineRule="auto"/>
        <w:ind w:firstLine="3550"/>
        <w:textAlignment w:val="baseline"/>
        <w:rPr>
          <w:rFonts w:ascii="仿宋" w:hAnsi="仿宋" w:eastAsia="仿宋" w:cs="仿宋"/>
          <w:spacing w:val="17"/>
          <w:sz w:val="32"/>
          <w:szCs w:val="32"/>
        </w:rPr>
      </w:pPr>
      <w:r>
        <w:rPr>
          <w:rFonts w:ascii="仿宋" w:hAnsi="仿宋" w:eastAsia="仿宋" w:cs="仿宋"/>
          <w:spacing w:val="17"/>
          <w:sz w:val="32"/>
          <w:szCs w:val="32"/>
        </w:rPr>
        <w:t>(详见附表)</w:t>
      </w:r>
    </w:p>
    <w:p>
      <w:pPr>
        <w:keepNext w:val="0"/>
        <w:keepLines w:val="0"/>
        <w:pageBreakBefore w:val="0"/>
        <w:widowControl/>
        <w:kinsoku w:val="0"/>
        <w:wordWrap/>
        <w:overflowPunct/>
        <w:topLinePunct w:val="0"/>
        <w:autoSpaceDE w:val="0"/>
        <w:autoSpaceDN w:val="0"/>
        <w:bidi w:val="0"/>
        <w:adjustRightInd w:val="0"/>
        <w:snapToGrid w:val="0"/>
        <w:spacing w:before="215" w:line="360" w:lineRule="auto"/>
        <w:ind w:firstLine="3550"/>
        <w:textAlignment w:val="baseline"/>
        <w:rPr>
          <w:rFonts w:ascii="仿宋" w:hAnsi="仿宋" w:eastAsia="仿宋" w:cs="仿宋"/>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第三部分 浮梁县行政服务中心2022年部门预算情况说明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14" w:line="36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一、2022年部门预算收支情况说明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(一)收入预算情况</w:t>
      </w:r>
    </w:p>
    <w:p>
      <w:pPr>
        <w:keepNext w:val="0"/>
        <w:keepLines w:val="0"/>
        <w:pageBreakBefore w:val="0"/>
        <w:wordWrap/>
        <w:overflowPunct/>
        <w:topLinePunct w:val="0"/>
        <w:bidi w:val="0"/>
        <w:spacing w:line="360" w:lineRule="auto"/>
        <w:ind w:firstLine="6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2022年收入预算总额 275.56万元，其中：人员类经费114.24万元，公用经费10.62万元，特定目标类150.7万元。</w:t>
      </w:r>
      <w:r>
        <w:rPr>
          <w:rFonts w:hint="eastAsia" w:ascii="仿宋_GB2312" w:hAnsi="宋体" w:eastAsia="仿宋_GB2312" w:cs="仿宋_GB2312"/>
          <w:sz w:val="32"/>
          <w:szCs w:val="32"/>
          <w:lang w:val="en-US" w:eastAsia="zh-CN"/>
        </w:rPr>
        <w:t>当年财</w:t>
      </w:r>
      <w:r>
        <w:rPr>
          <w:rFonts w:hint="eastAsia" w:ascii="仿宋_GB2312" w:hAnsi="Times New Roman" w:eastAsia="仿宋_GB2312" w:cs="Times New Roman"/>
          <w:snapToGrid/>
          <w:kern w:val="2"/>
          <w:sz w:val="32"/>
          <w:szCs w:val="32"/>
          <w:lang w:val="en-US" w:eastAsia="zh-CN" w:bidi="ar-SA"/>
        </w:rPr>
        <w:t>政拨款收入</w:t>
      </w:r>
      <w:r>
        <w:rPr>
          <w:rFonts w:hint="eastAsia" w:ascii="仿宋_GB2312" w:hAnsi="宋体" w:eastAsia="仿宋_GB2312" w:cs="仿宋_GB2312"/>
          <w:sz w:val="32"/>
          <w:szCs w:val="32"/>
          <w:lang w:val="en-US" w:eastAsia="zh-CN"/>
        </w:rPr>
        <w:t>174.57</w:t>
      </w:r>
      <w:r>
        <w:rPr>
          <w:rFonts w:hint="eastAsia" w:ascii="仿宋_GB2312" w:hAnsi="宋体" w:eastAsia="仿宋_GB2312" w:cs="仿宋_GB2312"/>
          <w:sz w:val="32"/>
          <w:szCs w:val="32"/>
        </w:rPr>
        <w:t>万元，占收入预算总额的100</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Times New Roman" w:eastAsia="仿宋_GB2312" w:cs="Times New Roman"/>
          <w:snapToGrid/>
          <w:kern w:val="2"/>
          <w:sz w:val="32"/>
          <w:szCs w:val="32"/>
          <w:lang w:val="en-US" w:eastAsia="zh-CN" w:bidi="ar-SA"/>
        </w:rPr>
        <w:t>预算总额比去年增加 2%，主要由于人员工资调整。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(二)支出预算情况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2022年支出预算总额为 275.56万元，比去年支出增加2%万，主要由于人员工资调整。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150" w:beforeAutospacing="0" w:after="150" w:afterAutospacing="0" w:line="360" w:lineRule="auto"/>
        <w:ind w:left="0" w:right="0" w:firstLine="420"/>
        <w:jc w:val="left"/>
        <w:rPr>
          <w:rFonts w:hint="eastAsia" w:ascii="仿宋_GB2312" w:hAnsi="Times New Roman" w:eastAsia="仿宋_GB2312" w:cs="Times New Roman"/>
          <w:snapToGrid/>
          <w:color w:val="000000"/>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其中：</w:t>
      </w:r>
      <w:r>
        <w:rPr>
          <w:rFonts w:hint="eastAsia" w:ascii="仿宋_GB2312" w:hAnsi="Times New Roman" w:eastAsia="仿宋_GB2312" w:cs="Times New Roman"/>
          <w:snapToGrid/>
          <w:color w:val="000000"/>
          <w:kern w:val="2"/>
          <w:sz w:val="32"/>
          <w:szCs w:val="32"/>
          <w:lang w:val="en-US" w:eastAsia="zh-CN" w:bidi="ar-SA"/>
        </w:rPr>
        <w:t>按支出资金性质分类:人员类支出114.24万元，占支出预算总额41.56%；公用经费10.62万元，占支出预算总额3.85%；特定目标类支出150.7万元，占支出预算总额54.68%。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150" w:beforeAutospacing="0" w:after="150" w:afterAutospacing="0" w:line="360" w:lineRule="auto"/>
        <w:ind w:left="0" w:right="0" w:firstLine="420"/>
        <w:jc w:val="left"/>
        <w:rPr>
          <w:rFonts w:hint="default" w:ascii="微软雅黑" w:hAnsi="微软雅黑" w:eastAsia="微软雅黑" w:cs="微软雅黑"/>
          <w:i w:val="0"/>
          <w:iCs w:val="0"/>
          <w:caps w:val="0"/>
          <w:color w:val="000000"/>
          <w:spacing w:val="0"/>
          <w:sz w:val="24"/>
          <w:szCs w:val="24"/>
          <w:lang w:val="en-US" w:eastAsia="zh-CN"/>
        </w:rPr>
      </w:pPr>
      <w:r>
        <w:rPr>
          <w:rFonts w:hint="eastAsia" w:ascii="仿宋_GB2312" w:hAnsi="Times New Roman" w:eastAsia="仿宋_GB2312" w:cs="Times New Roman"/>
          <w:snapToGrid/>
          <w:color w:val="000000"/>
          <w:kern w:val="2"/>
          <w:sz w:val="32"/>
          <w:szCs w:val="32"/>
          <w:lang w:val="en-US" w:eastAsia="zh-CN" w:bidi="ar-SA"/>
        </w:rPr>
        <w:t>按支出功能科目分类:行政运行支出112.13万元，占支出预算总额40.69%； 一般行政管理事务支出150.7万元，占支出预算总额54.69%；社会保障和就业支出12.74万元，占支出预算总额4.62%。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150" w:beforeAutospacing="0" w:after="150" w:afterAutospacing="0" w:line="360" w:lineRule="auto"/>
        <w:ind w:left="0" w:right="0" w:firstLine="420"/>
        <w:jc w:val="left"/>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color w:val="000000"/>
          <w:kern w:val="2"/>
          <w:sz w:val="32"/>
          <w:szCs w:val="32"/>
          <w:lang w:val="en-US" w:eastAsia="zh-CN" w:bidi="ar-SA"/>
        </w:rPr>
        <w:t>按支出经济分类:工资福利支出 114.24万元，占支出预算总额41.56%；商品服务支出 10.62 万元，占支出预算总额3.85%；特定目标支出 150.7万元占支出预算总额54.68%。</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(三)财政拨款支出情况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2022年财政拨款支出预算</w:t>
      </w:r>
      <w:r>
        <w:rPr>
          <w:rFonts w:hint="eastAsia" w:ascii="仿宋_GB2312" w:hAnsi="宋体" w:eastAsia="仿宋_GB2312" w:cs="仿宋_GB2312"/>
          <w:sz w:val="32"/>
          <w:szCs w:val="32"/>
          <w:lang w:val="en-US" w:eastAsia="zh-CN"/>
        </w:rPr>
        <w:t>275.56</w:t>
      </w:r>
      <w:r>
        <w:rPr>
          <w:rFonts w:hint="eastAsia" w:ascii="仿宋_GB2312" w:hAnsi="宋体" w:eastAsia="仿宋_GB2312" w:cs="仿宋_GB2312"/>
          <w:sz w:val="32"/>
          <w:szCs w:val="32"/>
        </w:rPr>
        <w:t>万元，占支出预算总额的100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val="en-US" w:eastAsia="zh-CN"/>
        </w:rPr>
        <w:t>增加2%</w:t>
      </w:r>
      <w:r>
        <w:rPr>
          <w:rFonts w:hint="eastAsia" w:ascii="仿宋_GB2312"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(四)政府性基金情况</w:t>
      </w:r>
    </w:p>
    <w:p>
      <w:pPr>
        <w:keepNext w:val="0"/>
        <w:keepLines w:val="0"/>
        <w:pageBreakBefore w:val="0"/>
        <w:wordWrap/>
        <w:overflowPunct/>
        <w:topLinePunct w:val="0"/>
        <w:bidi w:val="0"/>
        <w:spacing w:line="360" w:lineRule="auto"/>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2022年</w:t>
      </w:r>
      <w:r>
        <w:rPr>
          <w:rFonts w:hint="eastAsia" w:ascii="仿宋_GB2312" w:hAnsi="宋体" w:eastAsia="仿宋_GB2312" w:cs="仿宋_GB2312"/>
          <w:sz w:val="32"/>
          <w:szCs w:val="32"/>
          <w:lang w:val="en-US" w:eastAsia="zh-CN"/>
        </w:rPr>
        <w:t>本部门</w:t>
      </w:r>
      <w:r>
        <w:rPr>
          <w:rFonts w:hint="eastAsia" w:ascii="仿宋_GB2312" w:hAnsi="宋体" w:eastAsia="仿宋_GB2312" w:cs="仿宋_GB2312"/>
          <w:sz w:val="32"/>
          <w:szCs w:val="32"/>
        </w:rPr>
        <w:t>无政府基金收支预算。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(五)国有资本经营情况</w:t>
      </w:r>
    </w:p>
    <w:p>
      <w:pPr>
        <w:keepNext w:val="0"/>
        <w:keepLines w:val="0"/>
        <w:pageBreakBefore w:val="0"/>
        <w:widowControl w:val="0"/>
        <w:kinsoku/>
        <w:wordWrap/>
        <w:overflowPunct/>
        <w:topLinePunct w:val="0"/>
        <w:autoSpaceDE/>
        <w:autoSpaceDN/>
        <w:bidi w:val="0"/>
        <w:adjustRightInd/>
        <w:snapToGrid/>
        <w:spacing w:line="360" w:lineRule="auto"/>
        <w:ind w:left="638" w:leftChars="304" w:firstLine="0" w:firstLineChars="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2022年部门没有使用国有资本经营预算拨款安排的支出。(六)机关运行经费等重要事项的说明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2022年部门机关运行费预算10.62万元，比2021年预算减少1.05万元，下降9%。</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(七)政府采购情况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2022年部门所属各单位政府采购总额15万元，其中:政府采购货物预算15万元、政府采购工程预算0万元、政府采购服务预算0万元。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(八)国有资产占有使用情况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截至2021年8月31日，部门共有车辆 0辆，其中，一般公务用车0 辆，执法执勤用车0辆。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2022年部门预算安排购置车辆0辆，安排购置单位价值200万元以上大型设备具体为:0</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项目情况说明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16" w:firstLineChars="400"/>
        <w:jc w:val="both"/>
        <w:textAlignment w:val="auto"/>
        <w:rPr>
          <w:rFonts w:hint="eastAsia" w:ascii="仿宋_GB2312" w:hAnsi="Times New Roman" w:eastAsia="仿宋_GB2312" w:cs="Times New Roman"/>
          <w:snapToGrid/>
          <w:kern w:val="2"/>
          <w:sz w:val="32"/>
          <w:szCs w:val="32"/>
          <w:lang w:val="en-US" w:eastAsia="zh-CN" w:bidi="ar-SA"/>
        </w:rPr>
      </w:pPr>
      <w:r>
        <w:rPr>
          <w:rFonts w:ascii="仿宋" w:hAnsi="仿宋" w:eastAsia="仿宋" w:cs="仿宋"/>
          <w:spacing w:val="17"/>
          <w:sz w:val="32"/>
          <w:szCs w:val="32"/>
        </w:rPr>
        <w:t>(详见附表)</w:t>
      </w:r>
    </w:p>
    <w:p>
      <w:pPr>
        <w:keepNext w:val="0"/>
        <w:keepLines w:val="0"/>
        <w:pageBreakBefore w:val="0"/>
        <w:widowControl/>
        <w:kinsoku w:val="0"/>
        <w:wordWrap/>
        <w:overflowPunct/>
        <w:topLinePunct w:val="0"/>
        <w:autoSpaceDE w:val="0"/>
        <w:autoSpaceDN w:val="0"/>
        <w:bidi w:val="0"/>
        <w:adjustRightInd w:val="0"/>
        <w:snapToGrid w:val="0"/>
        <w:spacing w:before="214" w:line="36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二、2022年"三公”经费预算情况说明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2022年浮梁县行政服务中心"三公"经费一般公共预算安排2万元。其中: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因公出国(境)费0万元，比上年增(减)0万元。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公务接待费2万元，比上年增0.2万元，主要原因是:优化营商环境，对接业务量增加。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公务用车运行维护费0万元，比上年增(减)0万元。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公务用车购置费0万元，比上年增(减)0万元。</w:t>
      </w:r>
    </w:p>
    <w:p>
      <w:pPr>
        <w:keepNext w:val="0"/>
        <w:keepLines w:val="0"/>
        <w:pageBreakBefore w:val="0"/>
        <w:widowControl/>
        <w:kinsoku w:val="0"/>
        <w:wordWrap/>
        <w:overflowPunct/>
        <w:topLinePunct w:val="0"/>
        <w:autoSpaceDE w:val="0"/>
        <w:autoSpaceDN w:val="0"/>
        <w:bidi w:val="0"/>
        <w:adjustRightInd w:val="0"/>
        <w:snapToGrid w:val="0"/>
        <w:spacing w:before="173" w:line="360" w:lineRule="auto"/>
        <w:ind w:right="49" w:firstLine="599"/>
        <w:textAlignment w:val="baseline"/>
        <w:rPr>
          <w:rFonts w:ascii="仿宋" w:hAnsi="仿宋" w:eastAsia="仿宋" w:cs="仿宋"/>
          <w:spacing w:val="-15"/>
          <w:w w:val="94"/>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before="214" w:line="36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b w:val="0"/>
          <w:bCs w:val="0"/>
          <w:spacing w:val="13"/>
          <w:sz w:val="32"/>
          <w:szCs w:val="32"/>
        </w:rPr>
        <w:t>、收入科</w:t>
      </w:r>
      <w:r>
        <w:rPr>
          <w:rFonts w:hint="eastAsia" w:ascii="楷体" w:hAnsi="楷体" w:eastAsia="楷体" w:cs="楷体"/>
          <w:spacing w:val="13"/>
          <w:sz w:val="32"/>
          <w:szCs w:val="32"/>
        </w:rPr>
        <w:t>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各部门结合实际进行解释。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(一)财政拨款:指省级财政当年拨付的资金。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(二)教育收费资金收入:反映实行专项管理的高中以上学费、住宿费，高校委托培养费，函大、电大、夜大及短训班培训费等教育收费取得的收入。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(四)事业单位经营收入:指事业单位在专业业务活动及辅助活动之外开展非独立核算经营活动取得的收入。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(五)附属单位上缴收入:反映事业单位附属的独立核算单位按规定标准或比例缴纳的各项收入。包括附属的事业单位上缴的收入和附属的企业上缴的利润等。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(六)上级补助收入:反映事业单位从主管部门和上级单位取得的非财政补助收入。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(七)其他收入:指除财政拨款、事业收入、事业单位经营收入等以外的各项收入。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(八)使用非财政拨款结余:填列历年滚存的非限定用途的非统计财政拨款结余弥补2022年收支差额的数额。</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(九)上年结转和结余:填列2021年全部结转和结余的资金数，包括当年结转结余资金和历年滚存结转结余资金。</w:t>
      </w:r>
    </w:p>
    <w:p>
      <w:pPr>
        <w:keepNext w:val="0"/>
        <w:keepLines w:val="0"/>
        <w:pageBreakBefore w:val="0"/>
        <w:widowControl/>
        <w:kinsoku w:val="0"/>
        <w:wordWrap/>
        <w:overflowPunct/>
        <w:topLinePunct w:val="0"/>
        <w:autoSpaceDE w:val="0"/>
        <w:autoSpaceDN w:val="0"/>
        <w:bidi w:val="0"/>
        <w:adjustRightInd w:val="0"/>
        <w:snapToGrid w:val="0"/>
        <w:spacing w:before="214" w:line="36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lang w:eastAsia="zh-CN"/>
        </w:rPr>
        <w:t>二、</w:t>
      </w:r>
      <w:r>
        <w:rPr>
          <w:rFonts w:hint="eastAsia" w:ascii="楷体" w:hAnsi="楷体" w:eastAsia="楷体" w:cs="楷体"/>
          <w:spacing w:val="13"/>
          <w:sz w:val="32"/>
          <w:szCs w:val="32"/>
        </w:rPr>
        <w:t>支出科目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对部门预算中涉及的支出功能分类科目(明细到项级)，结合部门实际，参照《2022年政府收支分类科目》的规范说明进行解释。</w:t>
      </w:r>
    </w:p>
    <w:p>
      <w:pPr>
        <w:keepNext w:val="0"/>
        <w:keepLines w:val="0"/>
        <w:pageBreakBefore w:val="0"/>
        <w:widowControl/>
        <w:kinsoku w:val="0"/>
        <w:wordWrap/>
        <w:overflowPunct/>
        <w:topLinePunct w:val="0"/>
        <w:autoSpaceDE w:val="0"/>
        <w:autoSpaceDN w:val="0"/>
        <w:bidi w:val="0"/>
        <w:adjustRightInd w:val="0"/>
        <w:snapToGrid w:val="0"/>
        <w:spacing w:before="214" w:line="360" w:lineRule="auto"/>
        <w:textAlignment w:val="baseline"/>
        <w:rPr>
          <w:rFonts w:hint="eastAsia" w:ascii="楷体" w:hAnsi="楷体" w:eastAsia="楷体" w:cs="楷体"/>
          <w:b w:val="0"/>
          <w:bCs w:val="0"/>
          <w:spacing w:val="13"/>
          <w:sz w:val="32"/>
          <w:szCs w:val="32"/>
        </w:rPr>
      </w:pPr>
      <w:r>
        <w:rPr>
          <w:rFonts w:hint="eastAsia" w:ascii="楷体" w:hAnsi="楷体" w:eastAsia="楷体" w:cs="楷体"/>
          <w:b w:val="0"/>
          <w:bCs w:val="0"/>
          <w:spacing w:val="13"/>
          <w:sz w:val="32"/>
          <w:szCs w:val="32"/>
        </w:rPr>
        <w:t>三、部门涉及的专业名词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由部门结合实际填写。</w:t>
      </w: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B961A"/>
    <w:multiLevelType w:val="singleLevel"/>
    <w:tmpl w:val="FDDB961A"/>
    <w:lvl w:ilvl="0" w:tentative="0">
      <w:start w:val="9"/>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7B23051"/>
    <w:rsid w:val="085A1D2C"/>
    <w:rsid w:val="180A0D7A"/>
    <w:rsid w:val="1AD054B3"/>
    <w:rsid w:val="28B74E8B"/>
    <w:rsid w:val="325D7BAC"/>
    <w:rsid w:val="474E6296"/>
    <w:rsid w:val="476D2917"/>
    <w:rsid w:val="489D1B6E"/>
    <w:rsid w:val="499E120D"/>
    <w:rsid w:val="535A3AA7"/>
    <w:rsid w:val="58990698"/>
    <w:rsid w:val="6C0006DE"/>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大栗旬</cp:lastModifiedBy>
  <dcterms:modified xsi:type="dcterms:W3CDTF">2022-03-10T02:05:50Z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2052-11.1.0.11365</vt:lpwstr>
  </property>
  <property fmtid="{D5CDD505-2E9C-101B-9397-08002B2CF9AE}" pid="5" name="ICV">
    <vt:lpwstr>88DC4E5DA5774A45A9990BB4EE0325F1</vt:lpwstr>
  </property>
</Properties>
</file>