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="0" w:leftChars="0" w:right="0" w:rightChars="0"/>
        <w:textAlignment w:val="auto"/>
        <w:rPr>
          <w:rFonts w:hint="eastAsia" w:ascii="黑体" w:hAnsi="黑体" w:eastAsia="黑体"/>
          <w:sz w:val="32"/>
          <w:szCs w:val="28"/>
        </w:rPr>
      </w:pPr>
      <w:r>
        <w:rPr>
          <w:rFonts w:hint="eastAsia" w:ascii="黑体" w:hAnsi="黑体" w:eastAsia="黑体"/>
          <w:sz w:val="32"/>
          <w:szCs w:val="28"/>
        </w:rPr>
        <w:t>附件5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="0" w:leftChars="0" w:right="0" w:rightChars="0"/>
        <w:textAlignment w:val="auto"/>
        <w:rPr>
          <w:rFonts w:hint="eastAsia" w:ascii="黑体" w:hAnsi="黑体" w:eastAsia="黑体"/>
          <w:sz w:val="3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="0" w:leftChars="0" w:right="0" w:rightChars="0"/>
        <w:jc w:val="center"/>
        <w:textAlignment w:val="auto"/>
        <w:rPr>
          <w:rFonts w:hint="eastAsia" w:ascii="方正小标宋简体" w:hAnsi="方正小标宋简体" w:eastAsia="方正小标宋简体"/>
          <w:b w:val="0"/>
          <w:bCs w:val="0"/>
          <w:sz w:val="44"/>
          <w:szCs w:val="32"/>
        </w:rPr>
      </w:pPr>
      <w:r>
        <w:rPr>
          <w:rFonts w:hint="eastAsia" w:ascii="方正小标宋简体" w:hAnsi="方正小标宋简体" w:eastAsia="方正小标宋简体"/>
          <w:b w:val="0"/>
          <w:bCs w:val="0"/>
          <w:sz w:val="44"/>
          <w:szCs w:val="32"/>
        </w:rPr>
        <w:t>部门整体支出绩效自评报告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="0" w:leftChars="0" w:right="0" w:rightChars="0"/>
        <w:jc w:val="center"/>
        <w:textAlignment w:val="auto"/>
        <w:rPr>
          <w:rFonts w:hint="eastAsia" w:ascii="楷体_GB2312" w:hAnsi="楷体_GB2312" w:eastAsia="楷体_GB2312"/>
          <w:sz w:val="32"/>
        </w:rPr>
      </w:pPr>
      <w:r>
        <w:rPr>
          <w:rFonts w:hint="eastAsia" w:ascii="楷体_GB2312" w:hAnsi="楷体_GB2312" w:eastAsia="楷体_GB2312"/>
          <w:sz w:val="32"/>
          <w:szCs w:val="32"/>
        </w:rPr>
        <w:t>（</w:t>
      </w:r>
      <w:r>
        <w:rPr>
          <w:rFonts w:hint="eastAsia" w:ascii="楷体_GB2312" w:hAnsi="楷体_GB2312" w:eastAsia="楷体_GB2312"/>
          <w:sz w:val="32"/>
          <w:szCs w:val="32"/>
          <w:lang w:val="en-US" w:eastAsia="zh-CN"/>
        </w:rPr>
        <w:t>2020</w:t>
      </w:r>
      <w:r>
        <w:rPr>
          <w:rFonts w:hint="eastAsia" w:ascii="楷体_GB2312" w:hAnsi="楷体_GB2312" w:eastAsia="楷体_GB2312"/>
          <w:sz w:val="32"/>
          <w:szCs w:val="32"/>
        </w:rPr>
        <w:t>年度）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="0" w:leftChars="0" w:right="0" w:rightChars="0"/>
        <w:jc w:val="center"/>
        <w:textAlignment w:val="auto"/>
        <w:rPr>
          <w:rFonts w:hint="eastAsia" w:ascii="仿宋" w:hAnsi="仿宋" w:eastAsia="仿宋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部门概况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/>
          <w:b/>
          <w:bCs/>
          <w:sz w:val="32"/>
        </w:rPr>
      </w:pPr>
      <w:r>
        <w:rPr>
          <w:rFonts w:hint="eastAsia"/>
          <w:b/>
          <w:bCs/>
          <w:sz w:val="32"/>
          <w:lang w:eastAsia="zh-CN"/>
        </w:rPr>
        <w:t>（</w:t>
      </w:r>
      <w:r>
        <w:rPr>
          <w:rFonts w:hint="eastAsia"/>
          <w:b/>
          <w:bCs/>
          <w:sz w:val="32"/>
          <w:lang w:val="en-US" w:eastAsia="zh-CN"/>
        </w:rPr>
        <w:t>一</w:t>
      </w:r>
      <w:r>
        <w:rPr>
          <w:rFonts w:hint="eastAsia"/>
          <w:b/>
          <w:bCs/>
          <w:sz w:val="32"/>
          <w:lang w:eastAsia="zh-CN"/>
        </w:rPr>
        <w:t>）</w:t>
      </w:r>
      <w:r>
        <w:rPr>
          <w:rFonts w:hint="eastAsia" w:ascii="仿宋_GB2312" w:hAnsi="仿宋_GB2312" w:eastAsia="仿宋_GB2312"/>
          <w:b/>
          <w:bCs/>
          <w:sz w:val="32"/>
        </w:rPr>
        <w:t>部门主要职责职能，组织架构、人员及资产等基本情况。</w:t>
      </w:r>
    </w:p>
    <w:p>
      <w:pPr>
        <w:numPr>
          <w:numId w:val="0"/>
        </w:numPr>
        <w:ind w:left="630" w:leftChars="0" w:right="0" w:rightChars="0"/>
        <w:jc w:val="left"/>
        <w:rPr>
          <w:rFonts w:hint="default" w:ascii="黑体" w:hAnsi="黑体" w:eastAsia="黑体"/>
          <w:sz w:val="30"/>
          <w:szCs w:val="30"/>
          <w:lang w:val="en-US" w:eastAsia="zh-CN"/>
        </w:rPr>
      </w:pPr>
      <w:r>
        <w:rPr>
          <w:rFonts w:hint="eastAsia" w:ascii="黑体" w:hAnsi="黑体" w:eastAsia="黑体"/>
          <w:sz w:val="30"/>
          <w:szCs w:val="30"/>
          <w:lang w:val="en-US" w:eastAsia="zh-CN"/>
        </w:rPr>
        <w:t>1、部门职责职能</w:t>
      </w:r>
    </w:p>
    <w:p>
      <w:pPr>
        <w:ind w:firstLine="63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①．管理、指导全县公共资源交易工作；</w:t>
      </w:r>
    </w:p>
    <w:p>
      <w:pPr>
        <w:ind w:firstLine="63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②．制定行政服务中心的管理制度并监督检查；</w:t>
      </w:r>
    </w:p>
    <w:p>
      <w:pPr>
        <w:widowControl/>
        <w:ind w:firstLine="600" w:firstLineChars="20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③．为办理行政服务事项提供服务；</w:t>
      </w:r>
    </w:p>
    <w:p>
      <w:pPr>
        <w:widowControl/>
        <w:ind w:firstLine="600" w:firstLineChars="20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④．为联合办理、统一办理行政服务事项进行组织与协调；</w:t>
      </w:r>
    </w:p>
    <w:p>
      <w:pPr>
        <w:widowControl/>
        <w:ind w:firstLine="600" w:firstLineChars="20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⑤．对办理行政服务事项的质量、效率及涉及的收费进行监督；</w:t>
      </w:r>
    </w:p>
    <w:p>
      <w:pPr>
        <w:widowControl/>
        <w:ind w:firstLine="600" w:firstLineChars="20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⑥．对窗口工作人员进行管理、培训和考核；</w:t>
      </w:r>
    </w:p>
    <w:p>
      <w:pPr>
        <w:widowControl/>
        <w:ind w:firstLine="600" w:firstLineChars="20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⑦．对下级人民政府便民服务中心建设进行指导；</w:t>
      </w:r>
    </w:p>
    <w:p>
      <w:pPr>
        <w:ind w:firstLine="63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⑧．承办县政府交办的其他工作。</w:t>
      </w:r>
    </w:p>
    <w:p>
      <w:pPr>
        <w:ind w:firstLine="630"/>
        <w:jc w:val="left"/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  <w:t>2、部门机构设置及人员情况</w:t>
      </w:r>
    </w:p>
    <w:p>
      <w:pPr>
        <w:ind w:firstLine="630"/>
        <w:jc w:val="left"/>
        <w:rPr>
          <w:rFonts w:hint="default" w:ascii="仿宋" w:hAnsi="仿宋" w:eastAsia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30"/>
          <w:szCs w:val="30"/>
          <w:lang w:val="en-US" w:eastAsia="zh-CN"/>
        </w:rPr>
        <w:t>本单位为事业单位，内设行政审批股和公共资源交易中心。</w:t>
      </w:r>
    </w:p>
    <w:p>
      <w:pPr>
        <w:ind w:firstLine="63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本部门20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20</w:t>
      </w:r>
      <w:r>
        <w:rPr>
          <w:rFonts w:hint="eastAsia" w:ascii="仿宋" w:hAnsi="仿宋" w:eastAsia="仿宋"/>
          <w:sz w:val="30"/>
          <w:szCs w:val="30"/>
        </w:rPr>
        <w:t xml:space="preserve">年年末编制人数  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13 </w:t>
      </w:r>
      <w:r>
        <w:rPr>
          <w:rFonts w:hint="eastAsia" w:ascii="仿宋" w:hAnsi="仿宋" w:eastAsia="仿宋"/>
          <w:sz w:val="30"/>
          <w:szCs w:val="30"/>
        </w:rPr>
        <w:t xml:space="preserve">人，其中行政编制 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/>
          <w:sz w:val="30"/>
          <w:szCs w:val="30"/>
        </w:rPr>
        <w:t xml:space="preserve">人，事业编制 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10</w:t>
      </w:r>
      <w:r>
        <w:rPr>
          <w:rFonts w:hint="eastAsia" w:ascii="仿宋" w:hAnsi="仿宋" w:eastAsia="仿宋"/>
          <w:sz w:val="30"/>
          <w:szCs w:val="30"/>
        </w:rPr>
        <w:t xml:space="preserve"> 人；年末实有人数 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13</w:t>
      </w:r>
      <w:r>
        <w:rPr>
          <w:rFonts w:hint="eastAsia" w:ascii="仿宋" w:hAnsi="仿宋" w:eastAsia="仿宋"/>
          <w:sz w:val="30"/>
          <w:szCs w:val="30"/>
        </w:rPr>
        <w:t xml:space="preserve"> 人，其中在职人员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13</w:t>
      </w:r>
      <w:r>
        <w:rPr>
          <w:rFonts w:hint="eastAsia" w:ascii="仿宋" w:hAnsi="仿宋" w:eastAsia="仿宋"/>
          <w:sz w:val="30"/>
          <w:szCs w:val="30"/>
        </w:rPr>
        <w:t xml:space="preserve"> 人，退休人员  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/>
          <w:sz w:val="30"/>
          <w:szCs w:val="30"/>
        </w:rPr>
        <w:t xml:space="preserve"> 人。</w:t>
      </w:r>
    </w:p>
    <w:p>
      <w:pPr>
        <w:ind w:firstLine="630"/>
        <w:jc w:val="left"/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  <w:t>3、部门资产情况</w:t>
      </w:r>
    </w:p>
    <w:p>
      <w:pPr>
        <w:ind w:firstLine="630"/>
        <w:jc w:val="left"/>
        <w:rPr>
          <w:rFonts w:hint="default" w:ascii="仿宋" w:hAnsi="仿宋" w:eastAsia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30"/>
          <w:szCs w:val="30"/>
          <w:lang w:val="en-US" w:eastAsia="zh-CN"/>
        </w:rPr>
        <w:t>2020年年末，我单位资产合计76.33万元，其中流动资21.85万元，占比28.6%；固定资产54.48万元，占比71.4%，资产运行情况较好。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/>
          <w:b/>
          <w:bCs/>
          <w:sz w:val="32"/>
        </w:rPr>
      </w:pPr>
      <w:r>
        <w:rPr>
          <w:rFonts w:hint="eastAsia" w:ascii="仿宋_GB2312" w:hAnsi="仿宋_GB2312" w:eastAsia="仿宋_GB2312"/>
          <w:b/>
          <w:bCs/>
          <w:sz w:val="32"/>
        </w:rPr>
        <w:t>当年部门履职总体目标、工作任务。</w:t>
      </w:r>
    </w:p>
    <w:p>
      <w:pPr>
        <w:ind w:firstLine="630"/>
        <w:jc w:val="left"/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  <w:t>1、总体目标</w:t>
      </w:r>
    </w:p>
    <w:p>
      <w:pPr>
        <w:ind w:firstLine="630"/>
        <w:jc w:val="left"/>
        <w:rPr>
          <w:rFonts w:hint="default" w:ascii="仿宋" w:hAnsi="仿宋" w:eastAsia="仿宋"/>
          <w:b w:val="0"/>
          <w:bCs w:val="0"/>
          <w:sz w:val="30"/>
          <w:szCs w:val="30"/>
          <w:lang w:val="zh-CN" w:eastAsia="zh-CN"/>
        </w:rPr>
      </w:pPr>
      <w:r>
        <w:rPr>
          <w:rFonts w:hint="default" w:ascii="仿宋" w:hAnsi="仿宋" w:eastAsia="仿宋"/>
          <w:b w:val="0"/>
          <w:bCs w:val="0"/>
          <w:sz w:val="30"/>
          <w:szCs w:val="30"/>
          <w:lang w:val="zh-CN" w:eastAsia="zh-CN"/>
        </w:rPr>
        <w:t>2020年为“十三五”收官之年，我</w:t>
      </w:r>
      <w:r>
        <w:rPr>
          <w:rFonts w:hint="eastAsia" w:ascii="仿宋" w:hAnsi="仿宋" w:eastAsia="仿宋"/>
          <w:b w:val="0"/>
          <w:bCs w:val="0"/>
          <w:sz w:val="30"/>
          <w:szCs w:val="30"/>
          <w:lang w:val="en-US" w:eastAsia="zh-CN"/>
        </w:rPr>
        <w:t>单位</w:t>
      </w:r>
      <w:r>
        <w:rPr>
          <w:rFonts w:hint="default" w:ascii="仿宋" w:hAnsi="仿宋" w:eastAsia="仿宋"/>
          <w:b w:val="0"/>
          <w:bCs w:val="0"/>
          <w:sz w:val="30"/>
          <w:szCs w:val="30"/>
          <w:lang w:val="zh-CN" w:eastAsia="zh-CN"/>
        </w:rPr>
        <w:t>紧扣全面建成小康社会的目标任务，统筹推进疫情防控和经济社会发展工作，全力做好“六稳”工作、落实“六保”任务。</w:t>
      </w:r>
    </w:p>
    <w:p>
      <w:pPr>
        <w:numPr>
          <w:ilvl w:val="0"/>
          <w:numId w:val="3"/>
        </w:numPr>
        <w:ind w:firstLine="630"/>
        <w:jc w:val="left"/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  <w:t>工作任务</w:t>
      </w:r>
    </w:p>
    <w:p>
      <w:pPr>
        <w:ind w:firstLine="643" w:firstLineChars="200"/>
        <w:rPr>
          <w:rFonts w:hint="default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（</w:t>
      </w:r>
      <w:r>
        <w:rPr>
          <w:rFonts w:hint="eastAsia"/>
          <w:b/>
          <w:bCs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拓宽政务服务途径，助力复工复产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在疫情期间，为全面落实国家、省、市、县疫情防控各项工作决策部署，在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上级</w:t>
      </w:r>
      <w:r>
        <w:rPr>
          <w:rFonts w:hint="eastAsia" w:ascii="仿宋_GB2312" w:eastAsia="仿宋_GB2312"/>
          <w:sz w:val="32"/>
          <w:szCs w:val="32"/>
        </w:rPr>
        <w:t>组织领导下积极推广在线办事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创新优化服务方式、广泛开展预约和错时延时服务，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助力企业和群众安全有序复工复产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一是</w:t>
      </w:r>
      <w:r>
        <w:rPr>
          <w:rFonts w:hint="eastAsia" w:ascii="仿宋_GB2312" w:eastAsia="仿宋_GB2312"/>
          <w:sz w:val="32"/>
          <w:szCs w:val="32"/>
        </w:rPr>
        <w:t>着力推行“线上办事”模式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对能够实现全程网办的事项，引导申请人通过</w:t>
      </w:r>
      <w:r>
        <w:rPr>
          <w:rFonts w:ascii="仿宋" w:hAnsi="仿宋" w:eastAsia="仿宋" w:cs="仿宋_GB2312"/>
          <w:color w:val="000000"/>
          <w:spacing w:val="15"/>
          <w:kern w:val="0"/>
          <w:sz w:val="32"/>
          <w:szCs w:val="32"/>
        </w:rPr>
        <w:t>江</w:t>
      </w:r>
      <w:r>
        <w:rPr>
          <w:rFonts w:hint="eastAsia" w:ascii="仿宋" w:hAnsi="仿宋" w:eastAsia="仿宋" w:cs="仿宋_GB2312"/>
          <w:color w:val="000000"/>
          <w:spacing w:val="15"/>
          <w:kern w:val="0"/>
          <w:sz w:val="32"/>
          <w:szCs w:val="32"/>
        </w:rPr>
        <w:t>西省</w:t>
      </w:r>
      <w:r>
        <w:rPr>
          <w:rFonts w:ascii="仿宋" w:hAnsi="仿宋" w:eastAsia="仿宋" w:cs="仿宋_GB2312"/>
          <w:color w:val="000000"/>
          <w:spacing w:val="15"/>
          <w:kern w:val="0"/>
          <w:sz w:val="32"/>
          <w:szCs w:val="32"/>
        </w:rPr>
        <w:t>政务服务网</w:t>
      </w:r>
      <w:r>
        <w:rPr>
          <w:rFonts w:hint="eastAsia" w:ascii="仿宋" w:hAnsi="仿宋" w:eastAsia="仿宋" w:cs="仿宋_GB2312"/>
          <w:color w:val="000000"/>
          <w:spacing w:val="15"/>
          <w:kern w:val="0"/>
          <w:sz w:val="32"/>
          <w:szCs w:val="32"/>
        </w:rPr>
        <w:t>浮梁分厅、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搜索进入“赣服通—浮梁县分厅”</w:t>
      </w:r>
      <w:r>
        <w:rPr>
          <w:rFonts w:hint="eastAsia" w:ascii="仿宋_GB2312" w:eastAsia="仿宋_GB2312"/>
          <w:sz w:val="32"/>
          <w:szCs w:val="32"/>
        </w:rPr>
        <w:t>手机APP、各部门网上办事平台等在线提交申请，通过“网上办”和“掌上办”方式，为企业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和</w:t>
      </w:r>
      <w:r>
        <w:rPr>
          <w:rFonts w:hint="eastAsia" w:ascii="仿宋_GB2312" w:eastAsia="仿宋_GB2312"/>
          <w:sz w:val="32"/>
          <w:szCs w:val="32"/>
        </w:rPr>
        <w:t>群众提供服务；对未实现全程网办的事项，线下通过EMS邮递材料的不见面方式进行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今年以来，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行管委</w:t>
      </w:r>
      <w:r>
        <w:rPr>
          <w:rFonts w:hint="eastAsia" w:ascii="仿宋_GB2312" w:eastAsia="仿宋_GB2312"/>
          <w:sz w:val="32"/>
          <w:szCs w:val="32"/>
        </w:rPr>
        <w:t>为通过手机APP“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赣服通”申请企业复工复产的景德镇市金桂园陶瓷有限公司、景德镇云尚科技有限公司等企业完成不见面复工审批</w:t>
      </w:r>
      <w:r>
        <w:rPr>
          <w:rFonts w:hint="eastAsia" w:ascii="仿宋" w:hAnsi="仿宋" w:eastAsia="仿宋" w:cs="仿宋"/>
          <w:sz w:val="32"/>
          <w:szCs w:val="32"/>
        </w:rPr>
        <w:t>，实现不见面、掌上快速办。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二是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设立行政审批“绿色通道”，对新增或扩大规模的防疫物资及生活必须品生产经营企业审批提供“绿色通道”。“绿色通道”服务涵盖企业开办、税务登记、卫生许可等。同时推进并联审批，简化审批流程，压缩审批时限。扩大容缺受理范围，允许企业在疫情结束后补齐相关材料。如2月16日江西途见科技有限公司到县行政服务中心办理营业执照，用时不到3小时，就将营业执照手续全部办齐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三是</w:t>
      </w:r>
      <w:r>
        <w:rPr>
          <w:rFonts w:hint="eastAsia" w:ascii="仿宋_GB2312" w:eastAsia="仿宋_GB2312"/>
          <w:sz w:val="32"/>
          <w:szCs w:val="32"/>
        </w:rPr>
        <w:t>及时开放大厅现场审批服务。根据市级政务大厅开工安排和我县的疫情实际情况，县行政服务中心综合服务大厅从2月24日正式开门办公。倡导群众合理安排办理时间。政务服务大厅是为企业群众提供服务的一线场所，也是疫情防控重点区域，为减少人员流动聚集，建议企业、群众非紧急业务请延后或至疫情彻底解除后再前往大厅办理，确需到大厅办理的事项，政务服务中心将提供特殊时期“一对一”服务。高频事项“错时错峰”办理。对于不动产登记、税费业务、企业注册登记等，与企业群众密切相关的“高频”事项，大厅实行错时错峰进行办理、即办即走、避免大量群众聚集。</w:t>
      </w:r>
    </w:p>
    <w:p>
      <w:pPr>
        <w:numPr>
          <w:ilvl w:val="0"/>
          <w:numId w:val="0"/>
        </w:numPr>
        <w:ind w:left="640" w:leftChars="0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（</w:t>
      </w:r>
      <w:r>
        <w:rPr>
          <w:rFonts w:hint="eastAsia"/>
          <w:b/>
          <w:bCs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）加强疫情防控，做好</w:t>
      </w:r>
      <w:r>
        <w:rPr>
          <w:rFonts w:hint="eastAsia" w:ascii="仿宋_GB2312" w:eastAsia="仿宋_GB2312"/>
          <w:b/>
          <w:bCs/>
          <w:sz w:val="32"/>
          <w:szCs w:val="32"/>
        </w:rPr>
        <w:t>大厅安全防护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行管委</w:t>
      </w:r>
      <w:r>
        <w:rPr>
          <w:rFonts w:hint="eastAsia" w:ascii="仿宋_GB2312" w:eastAsia="仿宋_GB2312"/>
          <w:sz w:val="32"/>
          <w:szCs w:val="32"/>
        </w:rPr>
        <w:t>始终绷紧疫情防控这根弦，严格落实大厅工作环境疫情防控相关要求。所有人员进大厅必须戴口罩、量体温、信息登记；对办事大厅公共区域每天进行2次无死角消毒杀菌；监督邮寄快递企业严格落实消毒防护措施，推进“非接触式”寄取件，努力为企业群众提供多渠道、高效率、更安全的政务服务。</w:t>
      </w:r>
    </w:p>
    <w:p>
      <w:pPr>
        <w:numPr>
          <w:numId w:val="0"/>
        </w:numPr>
        <w:adjustRightInd w:val="0"/>
        <w:snapToGrid w:val="0"/>
        <w:spacing w:line="560" w:lineRule="exact"/>
        <w:ind w:left="640" w:leftChars="0" w:right="0" w:rightChars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加快一体化政务服务平台建设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浮梁县进驻行政服务中心的22个部门中，有自有业务系统的有2个部门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自然资源和规划局的不动产登记平台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和</w:t>
      </w:r>
      <w:r>
        <w:rPr>
          <w:rFonts w:hint="eastAsia" w:ascii="仿宋" w:hAnsi="仿宋" w:eastAsia="仿宋" w:cs="仿宋"/>
          <w:sz w:val="32"/>
          <w:szCs w:val="32"/>
        </w:rPr>
        <w:t>房管的房产交易系统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，经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行管委</w:t>
      </w:r>
      <w:r>
        <w:rPr>
          <w:rFonts w:hint="eastAsia" w:ascii="仿宋" w:hAnsi="仿宋" w:eastAsia="仿宋" w:cs="仿宋"/>
          <w:sz w:val="32"/>
          <w:szCs w:val="32"/>
        </w:rPr>
        <w:t>多次协调，两个系统已派技术人员与浪潮公司技术人员对接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处理</w:t>
      </w:r>
      <w:r>
        <w:rPr>
          <w:rFonts w:hint="eastAsia" w:ascii="仿宋" w:hAnsi="仿宋" w:eastAsia="仿宋" w:cs="仿宋"/>
          <w:sz w:val="32"/>
          <w:szCs w:val="32"/>
        </w:rPr>
        <w:t>接入“一窗式”综合服务平台相关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事宜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numPr>
          <w:numId w:val="0"/>
        </w:numPr>
        <w:spacing w:line="640" w:lineRule="exact"/>
        <w:ind w:left="640" w:leftChars="0" w:right="0" w:rightChars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（4）继续推进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“一次不跑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”“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只跑一次”工作</w:t>
      </w:r>
    </w:p>
    <w:p>
      <w:pPr>
        <w:numPr>
          <w:ilvl w:val="0"/>
          <w:numId w:val="0"/>
        </w:numPr>
        <w:spacing w:line="64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我县已梳理公布“一次不跑”和“只跑一次”事项清单四期，共计815项政务服务事项纳入清单，占县本级依申请类政务服务事项的77.3 %以上。每月初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向</w:t>
      </w:r>
      <w:r>
        <w:rPr>
          <w:rFonts w:hint="eastAsia" w:ascii="仿宋" w:hAnsi="仿宋" w:eastAsia="仿宋" w:cs="仿宋"/>
          <w:sz w:val="32"/>
          <w:szCs w:val="32"/>
        </w:rPr>
        <w:t>省政务服务办汇总上报工作动态。</w:t>
      </w:r>
      <w:r>
        <w:rPr>
          <w:rFonts w:hint="eastAsia" w:ascii="仿宋_GB2312" w:hAnsi="仿宋_GB2312" w:eastAsia="仿宋_GB2312" w:cs="仿宋_GB2312"/>
          <w:sz w:val="32"/>
          <w:szCs w:val="32"/>
        </w:rPr>
        <w:t>今年1-5月，浮梁县行政服务中心和各专业办事大厅</w:t>
      </w:r>
      <w:r>
        <w:rPr>
          <w:rFonts w:hint="eastAsia" w:ascii="仿宋_GB2312" w:hAnsi="仿宋" w:eastAsia="仿宋_GB2312" w:cs="仿宋"/>
          <w:sz w:val="32"/>
          <w:szCs w:val="32"/>
        </w:rPr>
        <w:t>“只跑一次”事项办件量共计：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130423</w:t>
      </w:r>
      <w:r>
        <w:rPr>
          <w:rFonts w:hint="eastAsia" w:ascii="仿宋_GB2312" w:hAnsi="仿宋" w:eastAsia="仿宋_GB2312" w:cs="仿宋"/>
          <w:sz w:val="32"/>
          <w:szCs w:val="32"/>
        </w:rPr>
        <w:t>件; “一次不跑”事项办件量共计：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51939</w:t>
      </w:r>
      <w:r>
        <w:rPr>
          <w:rFonts w:hint="eastAsia" w:ascii="仿宋_GB2312" w:hAnsi="仿宋" w:eastAsia="仿宋_GB2312" w:cs="仿宋"/>
          <w:sz w:val="32"/>
          <w:szCs w:val="32"/>
        </w:rPr>
        <w:t>件;</w:t>
      </w:r>
    </w:p>
    <w:p>
      <w:pPr>
        <w:numPr>
          <w:numId w:val="0"/>
        </w:numPr>
        <w:adjustRightInd w:val="0"/>
        <w:snapToGrid w:val="0"/>
        <w:spacing w:line="560" w:lineRule="exact"/>
        <w:ind w:left="640" w:leftChars="0" w:right="0" w:rightChars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（5）做好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延时错时预约服务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行管委</w:t>
      </w:r>
      <w:r>
        <w:rPr>
          <w:rFonts w:hint="eastAsia" w:ascii="仿宋" w:hAnsi="仿宋" w:eastAsia="仿宋" w:cs="仿宋"/>
          <w:sz w:val="32"/>
          <w:szCs w:val="32"/>
        </w:rPr>
        <w:t>每周汇总行政服务中心、各专业办事大厅和乡镇便民服务中心延时错时预约服务情况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并上报给省政务服务办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_GB2312" w:eastAsia="仿宋_GB2312" w:cs="仿宋_GB2312"/>
          <w:sz w:val="32"/>
          <w:szCs w:val="32"/>
        </w:rPr>
        <w:t>今</w:t>
      </w:r>
      <w:r>
        <w:rPr>
          <w:rFonts w:hint="eastAsia" w:ascii="仿宋_GB2312" w:hAnsi="仿宋" w:eastAsia="仿宋_GB2312" w:cs="仿宋"/>
          <w:sz w:val="32"/>
          <w:szCs w:val="32"/>
        </w:rPr>
        <w:t>年1-5月，县行政服务中心大厅在周末和节假日累计为企业和群众办事737件。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打造“赣服通”升级版，全面开展政务服务“好差评”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“赣服通”浮梁分厅于2019年8月12日建成上线运行，并于2019年10月18日全部升级为2.0版本，浮梁分厅共上线事项7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个。目前，正在按省政府工作部署积极对接升级“赣服通”3.0版；第三期上线“赣服通”30个事项的清单已初步梳理完成，预计6月底部署上线。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进驻中心各窗口除使用国家、省级部门自建业务系统和本县不动产登记、房产交易业务办事系统（正在对接江西省政务服务一窗平台）的事项外，其他进驻事项年初已接入全省政务服务“好差评”系统，实现服务一律由企业和群众直接扫码评价，电子服务评价器已于5月份购买到位，浪潮公司技术人员正在对评价器进行调试中。</w:t>
      </w:r>
    </w:p>
    <w:p>
      <w:pPr>
        <w:numPr>
          <w:ilvl w:val="0"/>
          <w:numId w:val="0"/>
        </w:numPr>
        <w:spacing w:line="60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协助推进“工改”，为 “双选双引”提供服务保障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浮梁县工程建设项目审批制度改革实施方案》要求，为更好服务保障招商引资企业注册，提高审批服务效率，中心积极协助推进“工改”顺利进行，经过多次协调努力解决办公场所不足等问题，为完成“一窗受理、集成服务</w:t>
      </w:r>
      <w:r>
        <w:rPr>
          <w:rFonts w:ascii="仿宋" w:hAnsi="仿宋" w:eastAsia="仿宋" w:cs="仿宋"/>
          <w:sz w:val="32"/>
          <w:szCs w:val="32"/>
        </w:rPr>
        <w:t>”</w:t>
      </w:r>
      <w:r>
        <w:rPr>
          <w:rFonts w:hint="eastAsia" w:ascii="仿宋" w:hAnsi="仿宋" w:eastAsia="仿宋" w:cs="仿宋"/>
          <w:sz w:val="32"/>
          <w:szCs w:val="32"/>
        </w:rPr>
        <w:t>提供硬件设施保障。行管委加强部门联动，将涉及企业注册市场监督管理局、公安局、税务局等窗口进行工作布置，提升服务质量，特事特办，</w:t>
      </w:r>
      <w:r>
        <w:rPr>
          <w:rFonts w:hint="eastAsia" w:ascii="仿宋_GB2312" w:hAnsi="微软雅黑" w:eastAsia="仿宋_GB2312"/>
          <w:color w:val="000000"/>
          <w:spacing w:val="30"/>
          <w:sz w:val="32"/>
          <w:szCs w:val="32"/>
          <w:shd w:val="clear" w:color="auto" w:fill="FFFFFF"/>
        </w:rPr>
        <w:t>容缺受理、</w:t>
      </w:r>
      <w:r>
        <w:rPr>
          <w:rFonts w:hint="eastAsia" w:ascii="仿宋" w:hAnsi="仿宋" w:eastAsia="仿宋" w:cs="仿宋"/>
          <w:sz w:val="32"/>
          <w:szCs w:val="32"/>
        </w:rPr>
        <w:t>压缩时限，提供高效服务。</w:t>
      </w:r>
    </w:p>
    <w:p>
      <w:pPr>
        <w:numPr>
          <w:ilvl w:val="0"/>
          <w:numId w:val="0"/>
        </w:numPr>
        <w:spacing w:line="600" w:lineRule="exact"/>
        <w:ind w:firstLine="643" w:firstLineChars="200"/>
        <w:rPr>
          <w:rFonts w:hint="eastAsia" w:asci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eastAsia="仿宋_GB2312" w:cs="仿宋_GB2312"/>
          <w:b/>
          <w:bCs/>
          <w:sz w:val="32"/>
          <w:szCs w:val="32"/>
          <w:lang w:eastAsia="zh-CN"/>
        </w:rPr>
        <w:t>（</w:t>
      </w:r>
      <w:r>
        <w:rPr>
          <w:rFonts w:hint="eastAsia" w:cs="仿宋_GB2312"/>
          <w:b/>
          <w:bCs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 w:cs="仿宋_GB2312"/>
          <w:b/>
          <w:bCs/>
          <w:sz w:val="32"/>
          <w:szCs w:val="32"/>
          <w:lang w:eastAsia="zh-CN"/>
        </w:rPr>
        <w:t>）</w:t>
      </w:r>
      <w:r>
        <w:rPr>
          <w:rFonts w:hint="eastAsia" w:ascii="仿宋_GB2312" w:eastAsia="仿宋_GB2312" w:cs="仿宋_GB2312"/>
          <w:b/>
          <w:bCs/>
          <w:sz w:val="32"/>
          <w:szCs w:val="32"/>
          <w:lang w:val="en-US" w:eastAsia="zh-CN"/>
        </w:rPr>
        <w:t>加强</w:t>
      </w:r>
      <w:r>
        <w:rPr>
          <w:rFonts w:hint="eastAsia" w:ascii="仿宋_GB2312" w:eastAsia="仿宋_GB2312" w:cs="仿宋_GB2312"/>
          <w:b/>
          <w:bCs/>
          <w:sz w:val="32"/>
          <w:szCs w:val="32"/>
        </w:rPr>
        <w:t>窗口管理，提高行政审批效率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行管委</w:t>
      </w:r>
      <w:r>
        <w:rPr>
          <w:rFonts w:hint="eastAsia" w:ascii="仿宋" w:hAnsi="仿宋" w:eastAsia="仿宋" w:cs="仿宋"/>
          <w:sz w:val="32"/>
          <w:szCs w:val="32"/>
        </w:rPr>
        <w:t>为转变工作作风，提高行政服务的质量和水平，落实领导带班巡查制度，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不定期</w:t>
      </w:r>
      <w:r>
        <w:rPr>
          <w:rFonts w:hint="eastAsia" w:ascii="仿宋" w:hAnsi="仿宋" w:eastAsia="仿宋" w:cs="仿宋"/>
          <w:sz w:val="32"/>
          <w:szCs w:val="32"/>
        </w:rPr>
        <w:t>开展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巡查</w:t>
      </w:r>
      <w:r>
        <w:rPr>
          <w:rFonts w:hint="eastAsia" w:ascii="仿宋" w:hAnsi="仿宋" w:eastAsia="仿宋" w:cs="仿宋"/>
          <w:sz w:val="32"/>
          <w:szCs w:val="32"/>
        </w:rPr>
        <w:t>督促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行管委</w:t>
      </w:r>
      <w:r>
        <w:rPr>
          <w:rFonts w:hint="eastAsia" w:ascii="仿宋" w:hAnsi="仿宋" w:eastAsia="仿宋" w:cs="仿宋"/>
          <w:sz w:val="32"/>
          <w:szCs w:val="32"/>
        </w:rPr>
        <w:t>班子成员、行政审批监管股人员、进驻窗口工作人员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组成的</w:t>
      </w:r>
      <w:r>
        <w:rPr>
          <w:rFonts w:hint="eastAsia" w:ascii="仿宋" w:hAnsi="仿宋" w:eastAsia="仿宋" w:cs="仿宋"/>
          <w:sz w:val="32"/>
          <w:szCs w:val="32"/>
        </w:rPr>
        <w:t>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查</w:t>
      </w:r>
      <w:r>
        <w:rPr>
          <w:rFonts w:hint="eastAsia" w:ascii="仿宋" w:hAnsi="仿宋" w:eastAsia="仿宋" w:cs="仿宋"/>
          <w:sz w:val="32"/>
          <w:szCs w:val="32"/>
        </w:rPr>
        <w:t>组，对行政服务中心窗口工作人员到岗在岗及工作情况进行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巡查</w:t>
      </w:r>
      <w:r>
        <w:rPr>
          <w:rFonts w:hint="eastAsia" w:ascii="仿宋" w:hAnsi="仿宋" w:eastAsia="仿宋" w:cs="仿宋"/>
          <w:sz w:val="32"/>
          <w:szCs w:val="32"/>
        </w:rPr>
        <w:t>，做好详细记录，发现问题及时整改。通过设立意见薄、投诉电话、举报箱等多种形式，促进窗口人员依法行政，文明服务。使大厅的日常管理和业务服务工作，井然有序。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2"/>
        </w:numPr>
        <w:spacing w:beforeLines="0" w:afterLines="0" w:line="400" w:lineRule="exact"/>
        <w:ind w:left="0" w:leftChars="0" w:firstLine="643" w:firstLineChars="200"/>
        <w:rPr>
          <w:rFonts w:hint="default" w:ascii="仿宋_GB2312" w:hAnsi="仿宋_GB2312" w:eastAsia="仿宋_GB2312"/>
          <w:b/>
          <w:bCs/>
          <w:sz w:val="32"/>
          <w:lang w:val="zh-CN"/>
        </w:rPr>
      </w:pPr>
      <w:r>
        <w:rPr>
          <w:rFonts w:hint="default" w:ascii="仿宋_GB2312" w:hAnsi="仿宋_GB2312" w:eastAsia="仿宋_GB2312"/>
          <w:b/>
          <w:bCs/>
          <w:sz w:val="32"/>
          <w:lang w:val="zh-CN"/>
        </w:rPr>
        <w:t>部门预算绩效管理开展情况</w:t>
      </w:r>
    </w:p>
    <w:p>
      <w:pPr>
        <w:numPr>
          <w:numId w:val="0"/>
        </w:numPr>
        <w:spacing w:beforeLines="0" w:afterLines="0" w:line="400" w:lineRule="exact"/>
        <w:ind w:leftChars="200" w:right="0" w:rightChars="0"/>
        <w:rPr>
          <w:rFonts w:hint="default" w:ascii="仿宋_GB2312" w:hAnsi="仿宋_GB2312" w:eastAsia="仿宋_GB2312"/>
          <w:b/>
          <w:bCs/>
          <w:sz w:val="32"/>
          <w:lang w:val="zh-CN"/>
        </w:rPr>
      </w:pPr>
    </w:p>
    <w:p>
      <w:pPr>
        <w:ind w:firstLine="630"/>
        <w:jc w:val="left"/>
        <w:rPr>
          <w:rFonts w:hint="default" w:ascii="仿宋" w:hAnsi="仿宋" w:eastAsia="仿宋"/>
          <w:b w:val="0"/>
          <w:bCs w:val="0"/>
          <w:sz w:val="30"/>
          <w:szCs w:val="30"/>
          <w:lang w:val="zh-CN" w:eastAsia="zh-CN"/>
        </w:rPr>
      </w:pPr>
      <w:r>
        <w:rPr>
          <w:rFonts w:hint="default" w:ascii="仿宋" w:hAnsi="仿宋" w:eastAsia="仿宋"/>
          <w:b w:val="0"/>
          <w:bCs w:val="0"/>
          <w:sz w:val="30"/>
          <w:szCs w:val="30"/>
          <w:lang w:val="zh-CN" w:eastAsia="zh-CN"/>
        </w:rPr>
        <w:t>1</w:t>
      </w:r>
      <w:r>
        <w:rPr>
          <w:rFonts w:hint="eastAsia" w:ascii="仿宋" w:hAnsi="仿宋" w:eastAsia="仿宋"/>
          <w:b w:val="0"/>
          <w:bCs w:val="0"/>
          <w:sz w:val="30"/>
          <w:szCs w:val="30"/>
          <w:lang w:val="zh-CN" w:eastAsia="zh-CN"/>
        </w:rPr>
        <w:t>、</w:t>
      </w:r>
      <w:r>
        <w:rPr>
          <w:rFonts w:hint="default" w:ascii="仿宋" w:hAnsi="仿宋" w:eastAsia="仿宋"/>
          <w:b w:val="0"/>
          <w:bCs w:val="0"/>
          <w:sz w:val="30"/>
          <w:szCs w:val="30"/>
          <w:lang w:val="zh-CN" w:eastAsia="zh-CN"/>
        </w:rPr>
        <w:t>合理设置预算绩效管理目标。我</w:t>
      </w:r>
      <w:r>
        <w:rPr>
          <w:rFonts w:hint="eastAsia" w:ascii="仿宋" w:hAnsi="仿宋" w:eastAsia="仿宋"/>
          <w:b w:val="0"/>
          <w:bCs w:val="0"/>
          <w:sz w:val="30"/>
          <w:szCs w:val="30"/>
          <w:lang w:val="en-US" w:eastAsia="zh-CN"/>
        </w:rPr>
        <w:t>单位</w:t>
      </w:r>
      <w:r>
        <w:rPr>
          <w:rFonts w:hint="default" w:ascii="仿宋" w:hAnsi="仿宋" w:eastAsia="仿宋"/>
          <w:b w:val="0"/>
          <w:bCs w:val="0"/>
          <w:sz w:val="30"/>
          <w:szCs w:val="30"/>
          <w:lang w:val="zh-CN" w:eastAsia="zh-CN"/>
        </w:rPr>
        <w:t>按照</w:t>
      </w:r>
      <w:r>
        <w:rPr>
          <w:rFonts w:hint="eastAsia" w:ascii="仿宋" w:hAnsi="仿宋" w:eastAsia="仿宋"/>
          <w:b w:val="0"/>
          <w:bCs w:val="0"/>
          <w:sz w:val="30"/>
          <w:szCs w:val="30"/>
          <w:lang w:val="en-US" w:eastAsia="zh-CN"/>
        </w:rPr>
        <w:t>县</w:t>
      </w:r>
      <w:r>
        <w:rPr>
          <w:rFonts w:hint="default" w:ascii="仿宋" w:hAnsi="仿宋" w:eastAsia="仿宋"/>
          <w:b w:val="0"/>
          <w:bCs w:val="0"/>
          <w:sz w:val="30"/>
          <w:szCs w:val="30"/>
          <w:lang w:val="zh-CN" w:eastAsia="zh-CN"/>
        </w:rPr>
        <w:t>财政绩效相关管理要求，结合部门职责和当年工作任务，确定当年部门预算绩效管理目标，优化绩效指标体系和设置绩效评价标</w:t>
      </w:r>
    </w:p>
    <w:p>
      <w:pPr>
        <w:ind w:firstLine="630"/>
        <w:jc w:val="left"/>
        <w:rPr>
          <w:rFonts w:hint="default" w:ascii="仿宋" w:hAnsi="仿宋" w:eastAsia="仿宋"/>
          <w:b w:val="0"/>
          <w:bCs w:val="0"/>
          <w:sz w:val="30"/>
          <w:szCs w:val="30"/>
          <w:lang w:val="zh-CN" w:eastAsia="zh-CN"/>
        </w:rPr>
      </w:pPr>
      <w:r>
        <w:rPr>
          <w:rFonts w:hint="default" w:ascii="仿宋" w:hAnsi="仿宋" w:eastAsia="仿宋"/>
          <w:b w:val="0"/>
          <w:bCs w:val="0"/>
          <w:sz w:val="30"/>
          <w:szCs w:val="30"/>
          <w:lang w:val="zh-CN" w:eastAsia="zh-CN"/>
        </w:rPr>
        <w:t>2</w:t>
      </w:r>
      <w:r>
        <w:rPr>
          <w:rFonts w:hint="eastAsia" w:ascii="仿宋" w:hAnsi="仿宋" w:eastAsia="仿宋"/>
          <w:b w:val="0"/>
          <w:bCs w:val="0"/>
          <w:sz w:val="30"/>
          <w:szCs w:val="30"/>
          <w:lang w:val="zh-CN" w:eastAsia="zh-CN"/>
        </w:rPr>
        <w:t>、</w:t>
      </w:r>
      <w:r>
        <w:rPr>
          <w:rFonts w:hint="default" w:ascii="仿宋" w:hAnsi="仿宋" w:eastAsia="仿宋"/>
          <w:b w:val="0"/>
          <w:bCs w:val="0"/>
          <w:sz w:val="30"/>
          <w:szCs w:val="30"/>
          <w:lang w:val="zh-CN" w:eastAsia="zh-CN"/>
        </w:rPr>
        <w:t>定期开展预算绩效执行分析。结合设定的绩效管理目标，加强对预算绩效执行日常管理和监控，并定期对执行信息进行收集、审核、分析；分析偏离绩效目标的原因，并及时采取纠偏措施。</w:t>
      </w:r>
    </w:p>
    <w:p>
      <w:pPr>
        <w:ind w:firstLine="630"/>
        <w:jc w:val="left"/>
        <w:rPr>
          <w:rFonts w:hint="default" w:ascii="仿宋" w:hAnsi="仿宋" w:eastAsia="仿宋"/>
          <w:b w:val="0"/>
          <w:bCs w:val="0"/>
          <w:sz w:val="30"/>
          <w:szCs w:val="30"/>
          <w:lang w:val="zh-CN" w:eastAsia="zh-CN"/>
        </w:rPr>
      </w:pPr>
      <w:r>
        <w:rPr>
          <w:rFonts w:hint="default" w:ascii="仿宋" w:hAnsi="仿宋" w:eastAsia="仿宋"/>
          <w:b w:val="0"/>
          <w:bCs w:val="0"/>
          <w:sz w:val="30"/>
          <w:szCs w:val="30"/>
          <w:lang w:val="zh-CN" w:eastAsia="zh-CN"/>
        </w:rPr>
        <w:t>3</w:t>
      </w:r>
      <w:r>
        <w:rPr>
          <w:rFonts w:hint="eastAsia" w:ascii="仿宋" w:hAnsi="仿宋" w:eastAsia="仿宋"/>
          <w:b w:val="0"/>
          <w:bCs w:val="0"/>
          <w:sz w:val="30"/>
          <w:szCs w:val="30"/>
          <w:lang w:val="zh-CN" w:eastAsia="zh-CN"/>
        </w:rPr>
        <w:t>、</w:t>
      </w:r>
      <w:r>
        <w:rPr>
          <w:rFonts w:hint="default" w:ascii="仿宋" w:hAnsi="仿宋" w:eastAsia="仿宋"/>
          <w:b w:val="0"/>
          <w:bCs w:val="0"/>
          <w:sz w:val="30"/>
          <w:szCs w:val="30"/>
          <w:lang w:val="zh-CN" w:eastAsia="zh-CN"/>
        </w:rPr>
        <w:t>高度重视预算绩效管理自评工作。在年度终了或项目完成时，按照“查问题、找原因”的思路，开展预算绩效管理自评工作，对照设定的绩效管理目标和评价标准，找出</w:t>
      </w:r>
      <w:r>
        <w:rPr>
          <w:rFonts w:hint="eastAsia" w:ascii="仿宋" w:hAnsi="仿宋" w:eastAsia="仿宋"/>
          <w:b w:val="0"/>
          <w:bCs w:val="0"/>
          <w:sz w:val="30"/>
          <w:szCs w:val="30"/>
          <w:lang w:val="en-US" w:eastAsia="zh-CN"/>
        </w:rPr>
        <w:t>我单位</w:t>
      </w:r>
      <w:r>
        <w:rPr>
          <w:rFonts w:hint="default" w:ascii="仿宋" w:hAnsi="仿宋" w:eastAsia="仿宋"/>
          <w:b w:val="0"/>
          <w:bCs w:val="0"/>
          <w:sz w:val="30"/>
          <w:szCs w:val="30"/>
          <w:lang w:val="zh-CN" w:eastAsia="zh-CN"/>
        </w:rPr>
        <w:t>在当前预算绩效管理工作中存在的不足和问题。</w:t>
      </w:r>
    </w:p>
    <w:p>
      <w:pPr>
        <w:ind w:firstLine="630"/>
        <w:jc w:val="left"/>
        <w:rPr>
          <w:rFonts w:hint="default" w:ascii="仿宋" w:hAnsi="仿宋" w:eastAsia="仿宋"/>
          <w:b w:val="0"/>
          <w:bCs w:val="0"/>
          <w:sz w:val="30"/>
          <w:szCs w:val="30"/>
          <w:lang w:val="zh-CN" w:eastAsia="zh-CN"/>
        </w:rPr>
      </w:pPr>
      <w:r>
        <w:rPr>
          <w:rFonts w:hint="default" w:ascii="仿宋" w:hAnsi="仿宋" w:eastAsia="仿宋"/>
          <w:b w:val="0"/>
          <w:bCs w:val="0"/>
          <w:sz w:val="30"/>
          <w:szCs w:val="30"/>
          <w:lang w:val="zh-CN" w:eastAsia="zh-CN"/>
        </w:rPr>
        <w:t>4</w:t>
      </w:r>
      <w:r>
        <w:rPr>
          <w:rFonts w:hint="eastAsia" w:ascii="仿宋" w:hAnsi="仿宋" w:eastAsia="仿宋"/>
          <w:b w:val="0"/>
          <w:bCs w:val="0"/>
          <w:sz w:val="30"/>
          <w:szCs w:val="30"/>
          <w:lang w:val="zh-CN" w:eastAsia="zh-CN"/>
        </w:rPr>
        <w:t>、</w:t>
      </w:r>
      <w:r>
        <w:rPr>
          <w:rFonts w:hint="default" w:ascii="仿宋" w:hAnsi="仿宋" w:eastAsia="仿宋"/>
          <w:b w:val="0"/>
          <w:bCs w:val="0"/>
          <w:sz w:val="30"/>
          <w:szCs w:val="30"/>
          <w:lang w:val="zh-CN" w:eastAsia="zh-CN"/>
        </w:rPr>
        <w:t>充分利用预算绩效管理评价结果。根据预算绩效评价中找出的问题和原因，进行整改，同时，将评价结果作为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szCs w:val="30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Chars="200" w:right="0" w:rightChars="0" w:firstLine="321" w:firstLineChars="100"/>
        <w:jc w:val="both"/>
        <w:textAlignment w:val="auto"/>
        <w:outlineLvl w:val="9"/>
        <w:rPr>
          <w:rFonts w:hint="eastAsia" w:ascii="仿宋_GB2312" w:hAnsi="仿宋_GB2312" w:eastAsia="仿宋_GB2312"/>
          <w:b/>
          <w:bCs/>
          <w:sz w:val="32"/>
          <w:szCs w:val="30"/>
        </w:rPr>
      </w:pPr>
      <w:r>
        <w:rPr>
          <w:rFonts w:hint="eastAsia"/>
          <w:b/>
          <w:bCs/>
          <w:sz w:val="32"/>
          <w:lang w:eastAsia="zh-CN"/>
        </w:rPr>
        <w:t>（</w:t>
      </w:r>
      <w:r>
        <w:rPr>
          <w:rFonts w:hint="eastAsia"/>
          <w:b/>
          <w:bCs/>
          <w:sz w:val="32"/>
          <w:lang w:val="en-US" w:eastAsia="zh-CN"/>
        </w:rPr>
        <w:t>四</w:t>
      </w:r>
      <w:bookmarkStart w:id="0" w:name="_GoBack"/>
      <w:bookmarkEnd w:id="0"/>
      <w:r>
        <w:rPr>
          <w:rFonts w:hint="eastAsia"/>
          <w:b/>
          <w:bCs/>
          <w:sz w:val="32"/>
          <w:lang w:eastAsia="zh-CN"/>
        </w:rPr>
        <w:t>）</w:t>
      </w:r>
      <w:r>
        <w:rPr>
          <w:rFonts w:hint="eastAsia" w:ascii="仿宋_GB2312" w:hAnsi="仿宋_GB2312" w:eastAsia="仿宋_GB2312"/>
          <w:b/>
          <w:bCs/>
          <w:sz w:val="32"/>
        </w:rPr>
        <w:t>当年部门</w:t>
      </w:r>
      <w:r>
        <w:rPr>
          <w:rFonts w:hint="eastAsia" w:ascii="仿宋_GB2312" w:hAnsi="仿宋_GB2312" w:eastAsia="仿宋_GB2312"/>
          <w:b/>
          <w:bCs/>
          <w:sz w:val="32"/>
          <w:szCs w:val="30"/>
        </w:rPr>
        <w:t>预算及执行情况。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="1082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32"/>
          <w:szCs w:val="30"/>
          <w:lang w:val="en-US" w:eastAsia="zh-CN"/>
        </w:rPr>
      </w:pPr>
      <w:r>
        <w:rPr>
          <w:rFonts w:hint="eastAsia"/>
          <w:b/>
          <w:bCs/>
          <w:sz w:val="32"/>
          <w:szCs w:val="30"/>
          <w:lang w:val="en-US" w:eastAsia="zh-CN"/>
        </w:rPr>
        <w:t>部门预算情况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="0" w:leftChars="0" w:right="0" w:rightChars="0" w:firstLine="960" w:firstLineChars="300"/>
        <w:jc w:val="both"/>
        <w:textAlignment w:val="auto"/>
        <w:outlineLvl w:val="9"/>
        <w:rPr>
          <w:rFonts w:hint="default" w:ascii="仿宋_GB2312" w:hAnsi="仿宋_GB2312" w:eastAsia="仿宋_GB2312"/>
          <w:sz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2020年全年收入预算为322.74万元，资金来源</w:t>
      </w:r>
      <w:r>
        <w:rPr>
          <w:rFonts w:hint="eastAsia"/>
          <w:sz w:val="32"/>
          <w:lang w:val="en-US" w:eastAsia="zh-CN"/>
        </w:rPr>
        <w:t>全</w:t>
      </w:r>
      <w:r>
        <w:rPr>
          <w:rFonts w:hint="eastAsia" w:ascii="仿宋_GB2312" w:hAnsi="仿宋_GB2312" w:eastAsia="仿宋_GB2312"/>
          <w:sz w:val="32"/>
          <w:lang w:val="en-US" w:eastAsia="zh-CN"/>
        </w:rPr>
        <w:t>为财政拨款322.74万元</w:t>
      </w:r>
      <w:r>
        <w:rPr>
          <w:rFonts w:hint="eastAsia"/>
          <w:sz w:val="32"/>
          <w:lang w:val="en-US" w:eastAsia="zh-CN"/>
        </w:rPr>
        <w:t>，上年结转和结余为0万元：其中基本支出为95.34万元，项目支出为227.4万元。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="1082" w:leftChars="0" w:right="0" w:rightChars="0" w:firstLine="0" w:firstLineChars="0"/>
        <w:jc w:val="both"/>
        <w:textAlignment w:val="auto"/>
        <w:outlineLvl w:val="9"/>
        <w:rPr>
          <w:rFonts w:hint="default"/>
          <w:b/>
          <w:bCs/>
          <w:sz w:val="32"/>
          <w:szCs w:val="30"/>
          <w:lang w:val="en-US" w:eastAsia="zh-CN"/>
        </w:rPr>
      </w:pPr>
      <w:r>
        <w:rPr>
          <w:rFonts w:hint="eastAsia"/>
          <w:b/>
          <w:bCs/>
          <w:sz w:val="32"/>
          <w:szCs w:val="30"/>
          <w:lang w:val="en-US" w:eastAsia="zh-CN"/>
        </w:rPr>
        <w:t>预算执行情况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="0" w:leftChars="0" w:right="0" w:rightChars="0" w:firstLine="960" w:firstLineChars="300"/>
        <w:jc w:val="both"/>
        <w:textAlignment w:val="auto"/>
        <w:outlineLvl w:val="9"/>
        <w:rPr>
          <w:rFonts w:hint="default" w:ascii="仿宋_GB2312" w:hAnsi="仿宋_GB2312" w:eastAsia="仿宋_GB2312"/>
          <w:b/>
          <w:bCs/>
          <w:sz w:val="32"/>
          <w:szCs w:val="30"/>
          <w:lang w:val="en-US" w:eastAsia="zh-CN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2020年全年支出执行数为322.74万元，预算执行率为100%</w:t>
      </w:r>
      <w:r>
        <w:rPr>
          <w:rFonts w:hint="eastAsia"/>
          <w:sz w:val="32"/>
          <w:lang w:val="en-US" w:eastAsia="zh-CN"/>
        </w:rPr>
        <w:t>，预算执行总体较好。其中，基本支出95.34万元，预算执行率为100%；项目支出227.4万元，预算执行率为100%。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二、部门整体支出绩效实现情况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/>
          <w:b/>
          <w:bCs/>
          <w:sz w:val="32"/>
        </w:rPr>
      </w:pPr>
      <w:r>
        <w:rPr>
          <w:rFonts w:hint="eastAsia" w:ascii="仿宋_GB2312" w:hAnsi="仿宋_GB2312" w:eastAsia="仿宋_GB2312"/>
          <w:b/>
          <w:bCs/>
          <w:sz w:val="32"/>
        </w:rPr>
        <w:t>（一）履职完成情况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1、数量指标（指标分值5分，实际得分5分）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b w:val="0"/>
          <w:bCs w:val="0"/>
          <w:sz w:val="32"/>
          <w:lang w:val="en-US" w:eastAsia="zh-CN"/>
        </w:rPr>
      </w:pPr>
      <w:r>
        <w:rPr>
          <w:rFonts w:hint="eastAsia"/>
          <w:b w:val="0"/>
          <w:bCs w:val="0"/>
          <w:sz w:val="32"/>
          <w:lang w:val="en-US" w:eastAsia="zh-CN"/>
        </w:rPr>
        <w:t>办证大厅每日办件量要求大于或等于为150件，基本达标。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2、质量指标（指标分值20分，实际得分20分）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/>
          <w:b w:val="0"/>
          <w:bCs w:val="0"/>
          <w:sz w:val="32"/>
          <w:lang w:val="en-US" w:eastAsia="zh-CN"/>
        </w:rPr>
      </w:pPr>
      <w:r>
        <w:rPr>
          <w:rFonts w:hint="eastAsia"/>
          <w:b w:val="0"/>
          <w:bCs w:val="0"/>
          <w:sz w:val="32"/>
          <w:lang w:val="en-US" w:eastAsia="zh-CN"/>
        </w:rPr>
        <w:t>办证大厅办事办理事项准确度大于等于95%，基本达标；开标现场保证公平公正，基本达标。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/>
          <w:b/>
          <w:bCs/>
          <w:sz w:val="32"/>
        </w:rPr>
      </w:pPr>
      <w:r>
        <w:rPr>
          <w:rFonts w:hint="eastAsia" w:ascii="仿宋_GB2312" w:hAnsi="仿宋_GB2312" w:eastAsia="仿宋_GB2312"/>
          <w:b/>
          <w:bCs/>
          <w:sz w:val="32"/>
        </w:rPr>
        <w:t>履职效果情况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Chars="200" w:right="0" w:rightChars="0" w:firstLine="321" w:firstLineChars="100"/>
        <w:jc w:val="both"/>
        <w:textAlignment w:val="auto"/>
        <w:outlineLvl w:val="9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经济效益指标（指标分值15分，实际得分14分）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/>
          <w:b w:val="0"/>
          <w:bCs w:val="0"/>
          <w:sz w:val="32"/>
          <w:lang w:val="en-US" w:eastAsia="zh-CN"/>
        </w:rPr>
      </w:pPr>
      <w:r>
        <w:rPr>
          <w:rFonts w:hint="eastAsia"/>
          <w:b w:val="0"/>
          <w:bCs w:val="0"/>
          <w:sz w:val="32"/>
          <w:lang w:val="en-US" w:eastAsia="zh-CN"/>
        </w:rPr>
        <w:t>开标现场对公共资源交易中心的投诉率控制在小于等于5%，偶尔出现开标质疑，但是基本都及时在开边现场得到解决。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Chars="200" w:right="0" w:rightChars="0" w:firstLine="321" w:firstLineChars="100"/>
        <w:jc w:val="both"/>
        <w:textAlignment w:val="auto"/>
        <w:outlineLvl w:val="9"/>
        <w:rPr>
          <w:rFonts w:hint="default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社会小于指标（指标分值20分，实际得分18分）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Chars="300" w:right="0" w:rightChars="0"/>
        <w:jc w:val="both"/>
        <w:textAlignment w:val="auto"/>
        <w:outlineLvl w:val="9"/>
        <w:rPr>
          <w:rFonts w:hint="default"/>
          <w:b w:val="0"/>
          <w:bCs w:val="0"/>
          <w:sz w:val="32"/>
          <w:lang w:val="en-US" w:eastAsia="zh-CN"/>
        </w:rPr>
      </w:pPr>
      <w:r>
        <w:rPr>
          <w:rFonts w:hint="eastAsia"/>
          <w:b w:val="0"/>
          <w:bCs w:val="0"/>
          <w:sz w:val="32"/>
          <w:lang w:val="en-US" w:eastAsia="zh-CN"/>
        </w:rPr>
        <w:t>办事群众对办证大厅投诉率控制小于等于5%，基本达标。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/>
          <w:b/>
          <w:bCs/>
          <w:sz w:val="32"/>
        </w:rPr>
      </w:pPr>
      <w:r>
        <w:rPr>
          <w:rFonts w:hint="eastAsia" w:ascii="仿宋_GB2312" w:hAnsi="仿宋_GB2312" w:eastAsia="仿宋_GB2312"/>
          <w:b/>
          <w:bCs/>
          <w:sz w:val="32"/>
        </w:rPr>
        <w:t>社会满意度及可持续性影响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1、满意度指标（指标分值10分，实际得分9分）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/>
          <w:b w:val="0"/>
          <w:bCs w:val="0"/>
          <w:sz w:val="32"/>
          <w:lang w:val="en-US" w:eastAsia="zh-CN"/>
        </w:rPr>
      </w:pPr>
      <w:r>
        <w:rPr>
          <w:rFonts w:hint="eastAsia"/>
          <w:b w:val="0"/>
          <w:bCs w:val="0"/>
          <w:sz w:val="32"/>
          <w:lang w:val="en-US" w:eastAsia="zh-CN"/>
        </w:rPr>
        <w:t>办事群众对办证大厅服务质量满意度评分较高，基本完成指标任务。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三、部门整体支出绩效中存在问题及改进措施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（一）主要问题及原因分析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/>
          <w:b w:val="0"/>
          <w:bCs w:val="0"/>
          <w:sz w:val="32"/>
          <w:lang w:val="zh-CN" w:eastAsia="zh-CN"/>
        </w:rPr>
      </w:pPr>
      <w:r>
        <w:rPr>
          <w:rFonts w:hint="eastAsia"/>
          <w:b w:val="0"/>
          <w:bCs w:val="0"/>
          <w:sz w:val="32"/>
          <w:lang w:val="en-US" w:eastAsia="zh-CN"/>
        </w:rPr>
        <w:t>存在的问题有（1）</w:t>
      </w:r>
      <w:r>
        <w:rPr>
          <w:rFonts w:hint="default"/>
          <w:b w:val="0"/>
          <w:bCs w:val="0"/>
          <w:sz w:val="32"/>
          <w:lang w:val="zh-CN" w:eastAsia="zh-CN"/>
        </w:rPr>
        <w:t>对预算绩效管理认识不足</w:t>
      </w:r>
      <w:r>
        <w:rPr>
          <w:rFonts w:hint="eastAsia"/>
          <w:b w:val="0"/>
          <w:bCs w:val="0"/>
          <w:sz w:val="32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32"/>
        </w:rPr>
      </w:pPr>
      <w:r>
        <w:rPr>
          <w:rFonts w:hint="default"/>
          <w:b w:val="0"/>
          <w:bCs w:val="0"/>
          <w:sz w:val="32"/>
          <w:lang w:val="zh-CN" w:eastAsia="zh-CN"/>
        </w:rPr>
        <w:t>当前我单位预算绩效管理还处在探索阶段，还没有形成较为深刻的预算绩效管理理念，对加强预算绩效管理的认识不足，缺乏创新和科学的改革观念</w:t>
      </w:r>
      <w:r>
        <w:rPr>
          <w:rFonts w:hint="eastAsia"/>
          <w:b w:val="0"/>
          <w:bCs w:val="0"/>
          <w:sz w:val="32"/>
          <w:lang w:val="zh-CN" w:eastAsia="zh-CN"/>
        </w:rPr>
        <w:t>。（</w:t>
      </w:r>
      <w:r>
        <w:rPr>
          <w:rFonts w:hint="eastAsia"/>
          <w:b w:val="0"/>
          <w:bCs w:val="0"/>
          <w:sz w:val="32"/>
          <w:lang w:val="en-US" w:eastAsia="zh-CN"/>
        </w:rPr>
        <w:t>2</w:t>
      </w:r>
      <w:r>
        <w:rPr>
          <w:rFonts w:hint="eastAsia"/>
          <w:b w:val="0"/>
          <w:bCs w:val="0"/>
          <w:sz w:val="32"/>
          <w:lang w:val="zh-CN" w:eastAsia="zh-CN"/>
        </w:rPr>
        <w:t>）</w:t>
      </w:r>
      <w:r>
        <w:rPr>
          <w:rFonts w:hint="eastAsia"/>
          <w:b w:val="0"/>
          <w:bCs w:val="0"/>
          <w:sz w:val="32"/>
          <w:lang w:val="en-US" w:eastAsia="zh-CN"/>
        </w:rPr>
        <w:t>对预算绩效管理缺乏完整的规范管理制度。制度是行动的方向牌，只有完整的制度才能将预算绩效管理工作做好做精。才能提高预算管理的准确性、合理性、合法性。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改进的方向和具体措施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/>
          <w:b w:val="0"/>
          <w:bCs w:val="0"/>
          <w:sz w:val="32"/>
          <w:lang w:val="zh-CN" w:eastAsia="zh-CN"/>
        </w:rPr>
      </w:pPr>
      <w:r>
        <w:rPr>
          <w:rFonts w:hint="default"/>
          <w:b w:val="0"/>
          <w:bCs w:val="0"/>
          <w:sz w:val="32"/>
          <w:lang w:val="zh-CN" w:eastAsia="zh-CN"/>
        </w:rPr>
        <w:t>对本次绩效自评发现的问题，我</w:t>
      </w:r>
      <w:r>
        <w:rPr>
          <w:rFonts w:hint="eastAsia"/>
          <w:b w:val="0"/>
          <w:bCs w:val="0"/>
          <w:sz w:val="32"/>
          <w:lang w:val="en-US" w:eastAsia="zh-CN"/>
        </w:rPr>
        <w:t>单位</w:t>
      </w:r>
      <w:r>
        <w:rPr>
          <w:rFonts w:hint="default"/>
          <w:b w:val="0"/>
          <w:bCs w:val="0"/>
          <w:sz w:val="32"/>
          <w:lang w:val="zh-CN" w:eastAsia="zh-CN"/>
        </w:rPr>
        <w:t>将从提高预算编制准确性、规范预算执行、加快项目执行推进力度等方面加以改进。（1）提高预算编制的准确性。在预算编制阶段将加强业财融合，全面梳理部门业务需求，做好基础数据测算，量力而出，统筹平衡，提高预算编制的准确性。（2）规范预算执行。在预算执行阶段将强化预算执行刚性约束力，杜绝预算串科目使用。（3）加快项目执行推进力度。要求项目围绕绩效目标，制定项目实施计划，明确实际进度。应根据相关合同完成规定程序尽快形成实际支出，加快项目支出进度，降低项目结余结转率，防范超期结转风险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Chars="200" w:right="0" w:rightChars="0"/>
        <w:jc w:val="both"/>
        <w:textAlignment w:val="auto"/>
        <w:outlineLvl w:val="9"/>
        <w:rPr>
          <w:rFonts w:hint="eastAsia" w:ascii="仿宋_GB2312" w:hAnsi="仿宋_GB2312" w:eastAsia="仿宋_GB2312"/>
          <w:sz w:val="32"/>
        </w:rPr>
      </w:pPr>
    </w:p>
    <w:p>
      <w:pPr>
        <w:pStyle w:val="2"/>
        <w:ind w:firstLine="640" w:firstLineChars="200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/>
          <w:b w:val="0"/>
          <w:bCs w:val="0"/>
          <w:sz w:val="32"/>
          <w:lang w:val="zh-CN" w:eastAsia="zh-CN"/>
        </w:rPr>
      </w:pPr>
      <w:r>
        <w:rPr>
          <w:rFonts w:hint="default"/>
          <w:b w:val="0"/>
          <w:bCs w:val="0"/>
          <w:sz w:val="32"/>
          <w:lang w:val="zh-CN" w:eastAsia="zh-CN"/>
        </w:rPr>
        <w:t>针对整体支出绩效评价过程中发现的问题和情况，我</w:t>
      </w:r>
      <w:r>
        <w:rPr>
          <w:rFonts w:hint="eastAsia"/>
          <w:b w:val="0"/>
          <w:bCs w:val="0"/>
          <w:sz w:val="32"/>
          <w:lang w:val="en-US" w:eastAsia="zh-CN"/>
        </w:rPr>
        <w:t>单位</w:t>
      </w:r>
      <w:r>
        <w:rPr>
          <w:rFonts w:hint="default"/>
          <w:b w:val="0"/>
          <w:bCs w:val="0"/>
          <w:sz w:val="32"/>
          <w:lang w:val="zh-CN" w:eastAsia="zh-CN"/>
        </w:rPr>
        <w:t>坚持以问题为导向，落实改进举措。对绩效评价结果将按政府信息公开有关规定及上级部署进行公开。</w:t>
      </w:r>
    </w:p>
    <w:p>
      <w:pPr>
        <w:pStyle w:val="2"/>
        <w:ind w:firstLine="640" w:firstLineChars="200"/>
        <w:rPr>
          <w:rFonts w:hint="eastAsia" w:ascii="黑体" w:hAnsi="黑体" w:eastAsia="黑体"/>
          <w:sz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roman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C91EF5"/>
    <w:multiLevelType w:val="singleLevel"/>
    <w:tmpl w:val="D0C91EF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DBC81804"/>
    <w:multiLevelType w:val="singleLevel"/>
    <w:tmpl w:val="DBC8180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374A2AE"/>
    <w:multiLevelType w:val="singleLevel"/>
    <w:tmpl w:val="0374A2AE"/>
    <w:lvl w:ilvl="0" w:tentative="0">
      <w:start w:val="1"/>
      <w:numFmt w:val="decimal"/>
      <w:suff w:val="nothing"/>
      <w:lvlText w:val="%1、"/>
      <w:lvlJc w:val="left"/>
      <w:pPr>
        <w:ind w:left="1082" w:leftChars="0" w:firstLine="0" w:firstLineChars="0"/>
      </w:pPr>
    </w:lvl>
  </w:abstractNum>
  <w:abstractNum w:abstractNumId="3">
    <w:nsid w:val="2BF19C2C"/>
    <w:multiLevelType w:val="singleLevel"/>
    <w:tmpl w:val="2BF19C2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5B006312"/>
    <w:multiLevelType w:val="singleLevel"/>
    <w:tmpl w:val="5B00631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616F1989"/>
    <w:multiLevelType w:val="singleLevel"/>
    <w:tmpl w:val="616F1989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6C88C078"/>
    <w:multiLevelType w:val="singleLevel"/>
    <w:tmpl w:val="6C88C078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4B04F6"/>
    <w:rsid w:val="28FE3DFA"/>
    <w:rsid w:val="2D554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_GB2312" w:hAnsi="仿宋_GB2312" w:eastAsia="仿宋_GB2312" w:cs="仿宋_GB2312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仿宋_GB2312" w:hAnsi="仿宋_GB2312" w:eastAsia="仿宋_GB2312" w:cs="仿宋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2021-06-21T01:37:00Z</dcterms:created>
  <dc:creator>大栗旬</dc:creator>
  <cp:lastModifiedBy>大栗旬</cp:lastModifiedBy>
  <dcterms:modified xsi:type="dcterms:W3CDTF">2021-06-21T03:53:25Z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7EC11D22A5E84632A7483B3672CCFC83</vt:lpwstr>
  </property>
</Properties>
</file>