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640" w:lineRule="exact"/>
              <w:jc w:val="left"/>
              <w:rPr>
                <w:rFonts w:hint="eastAsia" w:ascii="黑体" w:hAnsi="黑体" w:eastAsia="黑体" w:cs="仿宋_GB2312"/>
                <w:sz w:val="32"/>
              </w:rPr>
            </w:pPr>
            <w:r>
              <w:rPr>
                <w:rFonts w:hint="eastAsia" w:ascii="黑体" w:hAnsi="黑体" w:eastAsia="黑体" w:cs="仿宋_GB2312"/>
                <w:sz w:val="32"/>
              </w:rPr>
              <w:t>附件1</w:t>
            </w:r>
          </w:p>
          <w:p>
            <w:pPr>
              <w:spacing w:line="640" w:lineRule="exact"/>
              <w:ind w:left="0" w:leftChars="0" w:right="0" w:rightChars="0" w:firstLine="0" w:firstLineChars="0"/>
              <w:jc w:val="center"/>
              <w:rPr>
                <w:rFonts w:ascii="仿宋" w:hAnsi="仿宋" w:eastAsia="仿宋" w:cs="宋体"/>
                <w:b/>
                <w:bCs/>
                <w:kern w:val="0"/>
                <w:szCs w:val="32"/>
              </w:rPr>
            </w:pPr>
            <w:r>
              <w:rPr>
                <w:rFonts w:hint="eastAsia" w:ascii="方正小标宋简体" w:hAnsi="方正小标宋简体" w:eastAsia="方正小标宋简体" w:cs="宋体"/>
                <w:b w:val="0"/>
                <w:bCs w:val="0"/>
                <w:kern w:val="0"/>
                <w:sz w:val="44"/>
                <w:szCs w:val="32"/>
              </w:rPr>
              <w:t>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</w:rPr>
            </w:pPr>
            <w:r>
              <w:rPr>
                <w:rFonts w:hint="eastAsia" w:ascii="楷体_GB2312" w:hAnsi="楷体_GB2312" w:eastAsia="楷体_GB2312" w:cs="宋体"/>
                <w:kern w:val="0"/>
                <w:sz w:val="18"/>
              </w:rPr>
              <w:t>（</w:t>
            </w:r>
            <w:r>
              <w:rPr>
                <w:rFonts w:hint="eastAsia" w:ascii="楷体_GB2312" w:hAnsi="楷体_GB2312" w:eastAsia="楷体_GB2312" w:cs="宋体"/>
                <w:kern w:val="0"/>
                <w:sz w:val="18"/>
                <w:lang w:val="en-US" w:eastAsia="zh-CN"/>
              </w:rPr>
              <w:t>2020</w:t>
            </w:r>
            <w:r>
              <w:rPr>
                <w:rFonts w:hint="eastAsia" w:ascii="楷体_GB2312" w:hAnsi="楷体_GB2312" w:eastAsia="楷体_GB2312" w:cs="宋体"/>
                <w:kern w:val="0"/>
                <w:sz w:val="18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错时延时服务工作经费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浮梁县行政服务中心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浮梁县行政服务中心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提高办事效率，提升群众满意度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基本完成达标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错时延时服务时长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＝117天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＝117天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办事业务完成率（%）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≥98&amp;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≥98&amp;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服务完成及时率（%）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≥98&amp;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≥98&amp;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窗口购买服务人员数（员）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＝11人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＝11人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错开办事高峰期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≥95&amp;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≥95&amp;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群众满意度（%）</w:t>
            </w:r>
          </w:p>
        </w:tc>
        <w:tc>
          <w:tcPr>
            <w:tcW w:w="753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≥95&amp;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≥95&amp;</w:t>
            </w:r>
          </w:p>
        </w:tc>
        <w:tc>
          <w:tcPr>
            <w:tcW w:w="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1726B"/>
    <w:rsid w:val="12E1726B"/>
    <w:rsid w:val="493A75CB"/>
    <w:rsid w:val="7D43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2021-06-15T02:40:00Z</dcterms:created>
  <dc:creator>大栗旬</dc:creator>
  <cp:lastModifiedBy>大栗旬</cp:lastModifiedBy>
  <cp:lastPrinted>2021-06-21T07:17:54Z</cp:lastPrinted>
  <dcterms:modified xsi:type="dcterms:W3CDTF">2021-06-21T07:17:58Z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3D85016D5C8649F4AA17C7B48F64E259</vt:lpwstr>
  </property>
</Properties>
</file>