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9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7"/>
        <w:gridCol w:w="253"/>
        <w:gridCol w:w="277"/>
        <w:gridCol w:w="168"/>
        <w:gridCol w:w="1374"/>
        <w:gridCol w:w="1078"/>
        <w:gridCol w:w="812"/>
        <w:gridCol w:w="150"/>
        <w:gridCol w:w="479"/>
        <w:gridCol w:w="206"/>
        <w:gridCol w:w="877"/>
        <w:gridCol w:w="691"/>
        <w:gridCol w:w="550"/>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946" w:type="dxa"/>
            <w:gridSpan w:val="14"/>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400" w:lineRule="exact"/>
              <w:ind w:left="0" w:leftChars="0" w:right="0" w:rightChars="0" w:firstLine="0" w:firstLineChars="0"/>
              <w:jc w:val="left"/>
              <w:textAlignment w:val="center"/>
              <w:outlineLvl w:val="9"/>
              <w:rPr>
                <w:rFonts w:ascii="黑体" w:hAnsi="黑体" w:eastAsia="黑体"/>
                <w:color w:val="000000"/>
              </w:rPr>
            </w:pPr>
            <w:r>
              <w:rPr>
                <w:rFonts w:ascii="黑体" w:hAnsi="黑体" w:eastAsia="黑体"/>
                <w:color w:val="000000"/>
                <w:sz w:val="32"/>
              </w:rPr>
              <w:t>附件4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8946" w:type="dxa"/>
            <w:gridSpan w:val="14"/>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400" w:lineRule="exact"/>
              <w:ind w:left="0" w:leftChars="0" w:right="0" w:rightChars="0" w:firstLine="0" w:firstLineChars="0"/>
              <w:jc w:val="center"/>
              <w:textAlignment w:val="center"/>
              <w:outlineLvl w:val="9"/>
              <w:rPr>
                <w:rFonts w:ascii="仿宋" w:hAnsi="仿宋" w:eastAsia="仿宋"/>
                <w:b/>
                <w:color w:val="000000"/>
                <w:sz w:val="36"/>
              </w:rPr>
            </w:pPr>
            <w:r>
              <w:rPr>
                <w:rFonts w:hint="eastAsia" w:ascii="方正小标宋简体" w:hAnsi="方正小标宋简体" w:eastAsia="方正小标宋简体"/>
                <w:b w:val="0"/>
                <w:bCs/>
                <w:color w:val="000000"/>
                <w:sz w:val="44"/>
              </w:rPr>
              <w:t>部门整体支出绩效自评表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8946" w:type="dxa"/>
            <w:gridSpan w:val="14"/>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400" w:lineRule="exact"/>
              <w:ind w:left="0" w:leftChars="0" w:right="0" w:rightChars="0" w:firstLine="0" w:firstLineChars="0"/>
              <w:jc w:val="center"/>
              <w:textAlignment w:val="center"/>
              <w:outlineLvl w:val="9"/>
              <w:rPr>
                <w:rFonts w:hint="eastAsia" w:ascii="仿宋" w:hAnsi="仿宋" w:eastAsia="仿宋"/>
                <w:color w:val="000000"/>
                <w:sz w:val="18"/>
              </w:rPr>
            </w:pPr>
            <w:r>
              <w:rPr>
                <w:rFonts w:hint="eastAsia" w:ascii="楷体_GB2312" w:hAnsi="楷体_GB2312" w:eastAsia="楷体_GB2312"/>
                <w:color w:val="000000"/>
                <w:sz w:val="18"/>
              </w:rPr>
              <w:t>（ 2020年度）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1335"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评价部门名称</w:t>
            </w:r>
          </w:p>
        </w:tc>
        <w:tc>
          <w:tcPr>
            <w:tcW w:w="3414"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浮梁县行政服务中心</w:t>
            </w:r>
          </w:p>
        </w:tc>
        <w:tc>
          <w:tcPr>
            <w:tcW w:w="225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下属单位个数</w:t>
            </w:r>
          </w:p>
        </w:tc>
        <w:tc>
          <w:tcPr>
            <w:tcW w:w="194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1335"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整体支出规模</w:t>
            </w:r>
          </w:p>
        </w:tc>
        <w:tc>
          <w:tcPr>
            <w:tcW w:w="245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c>
          <w:tcPr>
            <w:tcW w:w="1441"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全年预算数</w:t>
            </w:r>
          </w:p>
        </w:tc>
        <w:tc>
          <w:tcPr>
            <w:tcW w:w="1774"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全年执行数</w:t>
            </w:r>
          </w:p>
        </w:tc>
        <w:tc>
          <w:tcPr>
            <w:tcW w:w="194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335"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245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资金来源：（1）财政拨款</w:t>
            </w:r>
          </w:p>
        </w:tc>
        <w:tc>
          <w:tcPr>
            <w:tcW w:w="1441"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322.74</w:t>
            </w:r>
          </w:p>
        </w:tc>
        <w:tc>
          <w:tcPr>
            <w:tcW w:w="1774"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322.74</w:t>
            </w:r>
          </w:p>
        </w:tc>
        <w:tc>
          <w:tcPr>
            <w:tcW w:w="194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1335"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245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 xml:space="preserve">         （2）其他资金</w:t>
            </w:r>
          </w:p>
        </w:tc>
        <w:tc>
          <w:tcPr>
            <w:tcW w:w="1441"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c>
          <w:tcPr>
            <w:tcW w:w="1774"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c>
          <w:tcPr>
            <w:tcW w:w="194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1335"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245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资金结构：（1）基本支出</w:t>
            </w:r>
          </w:p>
        </w:tc>
        <w:tc>
          <w:tcPr>
            <w:tcW w:w="1441"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95.34</w:t>
            </w:r>
          </w:p>
        </w:tc>
        <w:tc>
          <w:tcPr>
            <w:tcW w:w="1774"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95.34</w:t>
            </w:r>
          </w:p>
        </w:tc>
        <w:tc>
          <w:tcPr>
            <w:tcW w:w="194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1335"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245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 xml:space="preserve">         （2）项目支出</w:t>
            </w:r>
          </w:p>
        </w:tc>
        <w:tc>
          <w:tcPr>
            <w:tcW w:w="1441"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227.4</w:t>
            </w:r>
          </w:p>
        </w:tc>
        <w:tc>
          <w:tcPr>
            <w:tcW w:w="1774"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227.4</w:t>
            </w:r>
          </w:p>
        </w:tc>
        <w:tc>
          <w:tcPr>
            <w:tcW w:w="1944"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8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年度总体目标</w:t>
            </w:r>
          </w:p>
        </w:tc>
        <w:tc>
          <w:tcPr>
            <w:tcW w:w="3859"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年初设定目标</w:t>
            </w:r>
          </w:p>
        </w:tc>
        <w:tc>
          <w:tcPr>
            <w:tcW w:w="4197"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全年完成情况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8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3859"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322.74</w:t>
            </w:r>
          </w:p>
        </w:tc>
        <w:tc>
          <w:tcPr>
            <w:tcW w:w="4197"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322.74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8946" w:type="dxa"/>
            <w:gridSpan w:val="14"/>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分解目标自评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3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一级指标</w:t>
            </w:r>
          </w:p>
        </w:tc>
        <w:tc>
          <w:tcPr>
            <w:tcW w:w="53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权重</w:t>
            </w:r>
          </w:p>
        </w:tc>
        <w:tc>
          <w:tcPr>
            <w:tcW w:w="154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二级指标</w:t>
            </w:r>
          </w:p>
        </w:tc>
        <w:tc>
          <w:tcPr>
            <w:tcW w:w="18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三级指标</w:t>
            </w:r>
          </w:p>
        </w:tc>
        <w:tc>
          <w:tcPr>
            <w:tcW w:w="83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年度指标值</w:t>
            </w:r>
          </w:p>
        </w:tc>
        <w:tc>
          <w:tcPr>
            <w:tcW w:w="87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全年完成值</w:t>
            </w:r>
          </w:p>
        </w:tc>
        <w:tc>
          <w:tcPr>
            <w:tcW w:w="691"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分值</w:t>
            </w:r>
          </w:p>
        </w:tc>
        <w:tc>
          <w:tcPr>
            <w:tcW w:w="550"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得分</w:t>
            </w:r>
          </w:p>
        </w:tc>
        <w:tc>
          <w:tcPr>
            <w:tcW w:w="1394"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偏差及原因分析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rPr>
                <w:rFonts w:hint="eastAsia" w:ascii="宋体" w:hAnsi="宋体" w:eastAsia="宋体"/>
                <w:sz w:val="18"/>
              </w:rPr>
            </w:pPr>
          </w:p>
        </w:tc>
        <w:tc>
          <w:tcPr>
            <w:tcW w:w="53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rPr>
                <w:rFonts w:hint="eastAsia" w:ascii="宋体" w:hAnsi="宋体" w:eastAsia="宋体"/>
                <w:sz w:val="18"/>
              </w:rPr>
            </w:pPr>
          </w:p>
        </w:tc>
        <w:tc>
          <w:tcPr>
            <w:tcW w:w="15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rPr>
                <w:rFonts w:hint="eastAsia" w:ascii="宋体" w:hAnsi="宋体" w:eastAsia="宋体"/>
                <w:sz w:val="18"/>
              </w:rPr>
            </w:pPr>
          </w:p>
        </w:tc>
        <w:tc>
          <w:tcPr>
            <w:tcW w:w="18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rPr>
                <w:rFonts w:hint="eastAsia" w:ascii="宋体" w:hAnsi="宋体" w:eastAsia="宋体"/>
                <w:sz w:val="18"/>
              </w:rPr>
            </w:pPr>
          </w:p>
        </w:tc>
        <w:tc>
          <w:tcPr>
            <w:tcW w:w="8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rPr>
                <w:rFonts w:hint="eastAsia" w:ascii="宋体" w:hAnsi="宋体" w:eastAsia="宋体"/>
                <w:sz w:val="18"/>
              </w:rPr>
            </w:pPr>
          </w:p>
        </w:tc>
        <w:tc>
          <w:tcPr>
            <w:tcW w:w="877"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rPr>
                <w:rFonts w:hint="eastAsia" w:ascii="宋体" w:hAnsi="宋体" w:eastAsia="宋体"/>
                <w:sz w:val="18"/>
              </w:rPr>
            </w:pPr>
          </w:p>
        </w:tc>
        <w:tc>
          <w:tcPr>
            <w:tcW w:w="691"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rPr>
                <w:rFonts w:hint="eastAsia" w:ascii="宋体" w:hAnsi="宋体" w:eastAsia="宋体"/>
                <w:sz w:val="18"/>
              </w:rPr>
            </w:pPr>
          </w:p>
        </w:tc>
        <w:tc>
          <w:tcPr>
            <w:tcW w:w="550"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rPr>
                <w:rFonts w:hint="eastAsia" w:ascii="宋体" w:hAnsi="宋体" w:eastAsia="宋体"/>
                <w:sz w:val="18"/>
              </w:rPr>
            </w:pPr>
          </w:p>
        </w:tc>
        <w:tc>
          <w:tcPr>
            <w:tcW w:w="1394"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rPr>
                <w:rFonts w:hint="eastAsia" w:ascii="宋体" w:hAnsi="宋体" w:eastAsia="宋体"/>
                <w:sz w:val="18"/>
              </w:rPr>
            </w:pPr>
          </w:p>
        </w:tc>
      </w:tr>
    </w:tbl>
    <w:p/>
    <w:tbl>
      <w:tblPr>
        <w:tblStyle w:val="2"/>
        <w:tblW w:w="89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7"/>
        <w:gridCol w:w="530"/>
        <w:gridCol w:w="1527"/>
        <w:gridCol w:w="1890"/>
        <w:gridCol w:w="850"/>
        <w:gridCol w:w="877"/>
        <w:gridCol w:w="691"/>
        <w:gridCol w:w="550"/>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3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管理指标</w:t>
            </w:r>
          </w:p>
        </w:tc>
        <w:tc>
          <w:tcPr>
            <w:tcW w:w="530"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30</w:t>
            </w: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预算编审管理</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jc w:val="left"/>
              <w:textAlignment w:val="center"/>
              <w:rPr>
                <w:rFonts w:hint="eastAsia" w:ascii="宋体" w:hAnsi="宋体" w:eastAsia="宋体" w:cs="宋体"/>
                <w:i w:val="0"/>
                <w:iCs w:val="0"/>
                <w:color w:val="000000"/>
                <w:sz w:val="18"/>
                <w:szCs w:val="18"/>
                <w:u w:val="none"/>
                <w:lang w:val="en-US" w:eastAsia="en-US" w:bidi="ar-SA"/>
              </w:rPr>
            </w:pPr>
            <w:r>
              <w:rPr>
                <w:rFonts w:hint="eastAsia" w:ascii="宋体" w:hAnsi="宋体" w:eastAsia="宋体" w:cs="宋体"/>
                <w:i w:val="0"/>
                <w:iCs w:val="0"/>
                <w:color w:val="000000"/>
                <w:kern w:val="0"/>
                <w:sz w:val="18"/>
                <w:szCs w:val="18"/>
                <w:u w:val="none"/>
                <w:lang w:val="en-US" w:eastAsia="zh-CN" w:bidi="ar"/>
              </w:rPr>
              <w:t>预算编制完整、齐全，数据无误</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完整、无误</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lang w:val="en-US" w:eastAsia="zh-CN"/>
              </w:rPr>
              <w:t>完整、无误</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5</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5</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预算执行管理</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预算完成率</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宋体" w:hAnsi="宋体" w:eastAsia="宋体"/>
                <w:sz w:val="18"/>
                <w:lang w:val="en-US" w:eastAsia="zh-CN"/>
              </w:rPr>
            </w:pPr>
            <w:r>
              <w:rPr>
                <w:rFonts w:hint="eastAsia" w:ascii="宋体" w:hAnsi="宋体" w:eastAsia="宋体"/>
                <w:sz w:val="18"/>
                <w:lang w:eastAsia="zh-CN"/>
              </w:rPr>
              <w:t>》</w:t>
            </w:r>
            <w:r>
              <w:rPr>
                <w:rFonts w:hint="eastAsia" w:ascii="宋体" w:hAnsi="宋体" w:eastAsia="宋体"/>
                <w:sz w:val="18"/>
                <w:lang w:val="en-US" w:eastAsia="zh-CN"/>
              </w:rPr>
              <w:t>=95%</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eastAsia="zh-CN"/>
              </w:rPr>
              <w:t>》</w:t>
            </w:r>
            <w:r>
              <w:rPr>
                <w:rFonts w:hint="eastAsia" w:ascii="宋体" w:hAnsi="宋体" w:eastAsia="宋体"/>
                <w:color w:val="000000"/>
                <w:sz w:val="18"/>
                <w:lang w:val="en-US" w:eastAsia="zh-CN"/>
              </w:rPr>
              <w:t>=95%</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5</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5</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部门结转结余资金管理</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结转结余率</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宋体" w:hAnsi="宋体" w:eastAsia="宋体"/>
                <w:sz w:val="18"/>
                <w:lang w:val="en-US" w:eastAsia="zh-CN"/>
              </w:rPr>
            </w:pPr>
            <w:r>
              <w:rPr>
                <w:rFonts w:hint="eastAsia" w:ascii="宋体" w:hAnsi="宋体" w:eastAsia="宋体"/>
                <w:sz w:val="18"/>
                <w:lang w:eastAsia="zh-CN"/>
              </w:rPr>
              <w:t>《</w:t>
            </w:r>
            <w:r>
              <w:rPr>
                <w:rFonts w:hint="eastAsia" w:ascii="宋体" w:hAnsi="宋体" w:eastAsia="宋体"/>
                <w:sz w:val="18"/>
                <w:lang w:val="en-US" w:eastAsia="zh-CN"/>
              </w:rPr>
              <w:t>=5%</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sz w:val="18"/>
                <w:lang w:eastAsia="zh-CN"/>
              </w:rPr>
              <w:t>《</w:t>
            </w:r>
            <w:r>
              <w:rPr>
                <w:rFonts w:hint="eastAsia" w:ascii="宋体" w:hAnsi="宋体" w:eastAsia="宋体"/>
                <w:sz w:val="18"/>
                <w:lang w:val="en-US" w:eastAsia="zh-CN"/>
              </w:rPr>
              <w:t>=5%</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5</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5</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预决算信息公开管理</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按规定内容公开预决算信息</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公开</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公开</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3</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3</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部门预算管理</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符合国家财经法规和财务管理制度规定以及有关专项资金管理办法的规定</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宋体" w:hAnsi="宋体" w:eastAsia="宋体"/>
                <w:sz w:val="18"/>
              </w:rPr>
            </w:pPr>
            <w:r>
              <w:rPr>
                <w:rFonts w:hint="eastAsia" w:ascii="宋体" w:hAnsi="宋体" w:eastAsia="宋体"/>
                <w:sz w:val="18"/>
              </w:rPr>
              <w:t>符合</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符合</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2</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2</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政府采购管理</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政府采购执行率</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ind w:left="0" w:leftChars="0" w:right="0" w:rightChars="0"/>
              <w:jc w:val="center"/>
              <w:rPr>
                <w:rFonts w:hint="eastAsia" w:ascii="宋体" w:hAnsi="宋体" w:eastAsia="宋体" w:cs="仿宋_GB2312"/>
                <w:sz w:val="18"/>
                <w:szCs w:val="22"/>
                <w:lang w:val="en-US" w:eastAsia="zh-CN" w:bidi="ar-SA"/>
              </w:rPr>
            </w:pPr>
            <w:r>
              <w:rPr>
                <w:rFonts w:hint="eastAsia" w:ascii="宋体" w:hAnsi="宋体" w:eastAsia="宋体"/>
                <w:sz w:val="18"/>
                <w:lang w:eastAsia="zh-CN"/>
              </w:rPr>
              <w:t>》</w:t>
            </w:r>
            <w:r>
              <w:rPr>
                <w:rFonts w:hint="eastAsia" w:ascii="宋体" w:hAnsi="宋体" w:eastAsia="宋体"/>
                <w:sz w:val="18"/>
                <w:lang w:val="en-US" w:eastAsia="zh-CN"/>
              </w:rPr>
              <w:t>=95%</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ind w:left="0" w:leftChars="0" w:right="0" w:rightChars="0"/>
              <w:jc w:val="center"/>
              <w:textAlignment w:val="center"/>
              <w:rPr>
                <w:rFonts w:hint="eastAsia" w:ascii="宋体" w:hAnsi="宋体" w:eastAsia="宋体" w:cs="仿宋_GB2312"/>
                <w:color w:val="000000"/>
                <w:sz w:val="18"/>
                <w:szCs w:val="22"/>
                <w:lang w:val="en-US" w:eastAsia="zh-CN" w:bidi="ar-SA"/>
              </w:rPr>
            </w:pPr>
            <w:r>
              <w:rPr>
                <w:rFonts w:hint="eastAsia" w:ascii="宋体" w:hAnsi="宋体" w:eastAsia="宋体"/>
                <w:color w:val="000000"/>
                <w:sz w:val="18"/>
                <w:lang w:eastAsia="zh-CN"/>
              </w:rPr>
              <w:t>》</w:t>
            </w:r>
            <w:r>
              <w:rPr>
                <w:rFonts w:hint="eastAsia" w:ascii="宋体" w:hAnsi="宋体" w:eastAsia="宋体"/>
                <w:color w:val="000000"/>
                <w:sz w:val="18"/>
                <w:lang w:val="en-US" w:eastAsia="zh-CN"/>
              </w:rPr>
              <w:t>=95%</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5</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4</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资产管理</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已制定或具有资产管理制度</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已制定</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已制定</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5</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textAlignment w:val="center"/>
              <w:rPr>
                <w:rFonts w:hint="eastAsia" w:ascii="宋体" w:hAnsi="宋体" w:eastAsia="宋体"/>
                <w:color w:val="000000"/>
                <w:sz w:val="18"/>
                <w:lang w:val="en-US" w:eastAsia="zh-CN"/>
              </w:rPr>
            </w:pPr>
            <w:r>
              <w:rPr>
                <w:rFonts w:hint="eastAsia" w:ascii="宋体" w:hAnsi="宋体" w:eastAsia="宋体"/>
                <w:color w:val="000000"/>
                <w:sz w:val="18"/>
                <w:lang w:val="en-US" w:eastAsia="zh-CN"/>
              </w:rPr>
              <w:t>5</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63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产出指标</w:t>
            </w:r>
          </w:p>
        </w:tc>
        <w:tc>
          <w:tcPr>
            <w:tcW w:w="530"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25</w:t>
            </w: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数量指标</w:t>
            </w:r>
          </w:p>
        </w:tc>
        <w:tc>
          <w:tcPr>
            <w:tcW w:w="1890" w:type="dxa"/>
            <w:tcBorders>
              <w:top w:val="single" w:color="000000" w:sz="4" w:space="0"/>
              <w:left w:val="single" w:color="000000" w:sz="4" w:space="0"/>
              <w:right w:val="single" w:color="000000" w:sz="4" w:space="0"/>
            </w:tcBorders>
            <w:noWrap w:val="0"/>
            <w:vAlign w:val="center"/>
          </w:tcPr>
          <w:p>
            <w:pPr>
              <w:spacing w:line="240" w:lineRule="exact"/>
              <w:rPr>
                <w:rFonts w:hint="eastAsia" w:ascii="宋体" w:hAnsi="宋体" w:eastAsia="宋体"/>
                <w:sz w:val="18"/>
                <w:lang w:val="en-US" w:eastAsia="zh-CN"/>
              </w:rPr>
            </w:pPr>
            <w:r>
              <w:rPr>
                <w:rFonts w:hint="eastAsia" w:ascii="宋体" w:hAnsi="宋体" w:eastAsia="宋体"/>
                <w:sz w:val="18"/>
                <w:lang w:val="en-US" w:eastAsia="zh-CN"/>
              </w:rPr>
              <w:t>每日</w:t>
            </w:r>
            <w:r>
              <w:rPr>
                <w:rFonts w:hint="eastAsia" w:ascii="宋体" w:hAnsi="宋体" w:eastAsia="宋体"/>
                <w:sz w:val="18"/>
                <w:lang w:val="en-US" w:eastAsia="zh-CN"/>
              </w:rPr>
              <w:t>办件量</w:t>
            </w:r>
          </w:p>
        </w:tc>
        <w:tc>
          <w:tcPr>
            <w:tcW w:w="850" w:type="dxa"/>
            <w:tcBorders>
              <w:top w:val="single" w:color="000000" w:sz="4" w:space="0"/>
              <w:left w:val="single" w:color="000000" w:sz="4" w:space="0"/>
              <w:right w:val="single" w:color="000000" w:sz="4" w:space="0"/>
            </w:tcBorders>
            <w:noWrap w:val="0"/>
            <w:vAlign w:val="center"/>
          </w:tcPr>
          <w:p>
            <w:pPr>
              <w:spacing w:line="240" w:lineRule="exact"/>
              <w:jc w:val="center"/>
              <w:rPr>
                <w:rFonts w:hint="default" w:ascii="宋体" w:hAnsi="宋体" w:eastAsia="宋体"/>
                <w:sz w:val="18"/>
                <w:lang w:val="en-US" w:eastAsia="zh-CN"/>
              </w:rPr>
            </w:pPr>
            <w:r>
              <w:rPr>
                <w:rFonts w:hint="eastAsia" w:ascii="宋体" w:hAnsi="宋体" w:eastAsia="宋体"/>
                <w:sz w:val="18"/>
                <w:lang w:val="en-US" w:eastAsia="zh-CN"/>
              </w:rPr>
              <w:t>150件</w:t>
            </w:r>
          </w:p>
        </w:tc>
        <w:tc>
          <w:tcPr>
            <w:tcW w:w="877" w:type="dxa"/>
            <w:tcBorders>
              <w:top w:val="single" w:color="000000" w:sz="4" w:space="0"/>
              <w:left w:val="single" w:color="000000" w:sz="4" w:space="0"/>
              <w:right w:val="single" w:color="000000" w:sz="4" w:space="0"/>
            </w:tcBorders>
            <w:noWrap w:val="0"/>
            <w:vAlign w:val="center"/>
          </w:tcPr>
          <w:p>
            <w:pPr>
              <w:spacing w:line="240" w:lineRule="exact"/>
              <w:jc w:val="center"/>
              <w:rPr>
                <w:rFonts w:hint="default" w:ascii="宋体" w:hAnsi="宋体" w:eastAsia="宋体"/>
                <w:sz w:val="18"/>
                <w:lang w:val="en-US" w:eastAsia="zh-CN"/>
              </w:rPr>
            </w:pPr>
            <w:r>
              <w:rPr>
                <w:rFonts w:hint="eastAsia" w:ascii="宋体" w:hAnsi="宋体" w:eastAsia="宋体"/>
                <w:sz w:val="18"/>
                <w:lang w:val="en-US" w:eastAsia="zh-CN"/>
              </w:rPr>
              <w:t>150件</w:t>
            </w:r>
          </w:p>
        </w:tc>
        <w:tc>
          <w:tcPr>
            <w:tcW w:w="691" w:type="dxa"/>
            <w:tcBorders>
              <w:top w:val="single" w:color="000000" w:sz="4" w:space="0"/>
              <w:left w:val="single" w:color="000000" w:sz="4" w:space="0"/>
              <w:right w:val="single" w:color="000000" w:sz="4" w:space="0"/>
            </w:tcBorders>
            <w:noWrap w:val="0"/>
            <w:vAlign w:val="center"/>
          </w:tcPr>
          <w:p>
            <w:pPr>
              <w:spacing w:line="240" w:lineRule="exact"/>
              <w:rPr>
                <w:rFonts w:hint="eastAsia" w:ascii="宋体" w:hAnsi="宋体" w:eastAsia="宋体"/>
                <w:sz w:val="18"/>
                <w:lang w:val="en-US" w:eastAsia="zh-CN"/>
              </w:rPr>
            </w:pPr>
            <w:r>
              <w:rPr>
                <w:rFonts w:hint="eastAsia" w:ascii="宋体" w:hAnsi="宋体" w:eastAsia="宋体"/>
                <w:sz w:val="18"/>
                <w:lang w:val="en-US" w:eastAsia="zh-CN"/>
              </w:rPr>
              <w:t>5</w:t>
            </w:r>
          </w:p>
        </w:tc>
        <w:tc>
          <w:tcPr>
            <w:tcW w:w="550" w:type="dxa"/>
            <w:tcBorders>
              <w:top w:val="single" w:color="000000" w:sz="4" w:space="0"/>
              <w:left w:val="single" w:color="000000" w:sz="4" w:space="0"/>
              <w:right w:val="single" w:color="000000" w:sz="4" w:space="0"/>
            </w:tcBorders>
            <w:noWrap w:val="0"/>
            <w:vAlign w:val="center"/>
          </w:tcPr>
          <w:p>
            <w:pPr>
              <w:spacing w:line="240" w:lineRule="exact"/>
              <w:rPr>
                <w:rFonts w:hint="eastAsia" w:ascii="宋体" w:hAnsi="宋体" w:eastAsia="宋体"/>
                <w:sz w:val="18"/>
                <w:lang w:val="en-US" w:eastAsia="zh-CN"/>
              </w:rPr>
            </w:pPr>
            <w:r>
              <w:rPr>
                <w:rFonts w:hint="eastAsia" w:ascii="宋体" w:hAnsi="宋体" w:eastAsia="宋体"/>
                <w:sz w:val="18"/>
                <w:lang w:val="en-US" w:eastAsia="zh-CN"/>
              </w:rPr>
              <w:t>5</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质量指标</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办证大厅办理事项准确度</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ind w:left="0" w:leftChars="0" w:right="0" w:rightChars="0"/>
              <w:jc w:val="center"/>
              <w:rPr>
                <w:rFonts w:hint="eastAsia" w:ascii="宋体" w:hAnsi="宋体" w:eastAsia="宋体" w:cs="仿宋_GB2312"/>
                <w:sz w:val="18"/>
                <w:szCs w:val="22"/>
                <w:lang w:val="en-US" w:eastAsia="zh-CN" w:bidi="ar-SA"/>
              </w:rPr>
            </w:pPr>
            <w:r>
              <w:rPr>
                <w:rFonts w:hint="eastAsia" w:ascii="宋体" w:hAnsi="宋体" w:eastAsia="宋体"/>
                <w:sz w:val="18"/>
                <w:lang w:eastAsia="zh-CN"/>
              </w:rPr>
              <w:t>》</w:t>
            </w:r>
            <w:r>
              <w:rPr>
                <w:rFonts w:hint="eastAsia" w:ascii="宋体" w:hAnsi="宋体" w:eastAsia="宋体"/>
                <w:sz w:val="18"/>
                <w:lang w:val="en-US" w:eastAsia="zh-CN"/>
              </w:rPr>
              <w:t>=95%</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ind w:left="0" w:leftChars="0" w:right="0" w:rightChars="0"/>
              <w:jc w:val="center"/>
              <w:textAlignment w:val="center"/>
              <w:rPr>
                <w:rFonts w:hint="eastAsia" w:ascii="宋体" w:hAnsi="宋体" w:eastAsia="宋体" w:cs="仿宋_GB2312"/>
                <w:color w:val="000000"/>
                <w:sz w:val="18"/>
                <w:szCs w:val="22"/>
                <w:lang w:val="en-US" w:eastAsia="zh-CN" w:bidi="ar-SA"/>
              </w:rPr>
            </w:pPr>
            <w:r>
              <w:rPr>
                <w:rFonts w:hint="eastAsia" w:ascii="宋体" w:hAnsi="宋体" w:eastAsia="宋体"/>
                <w:color w:val="000000"/>
                <w:sz w:val="18"/>
                <w:lang w:eastAsia="zh-CN"/>
              </w:rPr>
              <w:t>》</w:t>
            </w:r>
            <w:r>
              <w:rPr>
                <w:rFonts w:hint="eastAsia" w:ascii="宋体" w:hAnsi="宋体" w:eastAsia="宋体"/>
                <w:color w:val="000000"/>
                <w:sz w:val="18"/>
                <w:lang w:val="en-US" w:eastAsia="zh-CN"/>
              </w:rPr>
              <w:t>=95%</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宋体" w:hAnsi="宋体" w:eastAsia="宋体"/>
                <w:sz w:val="18"/>
                <w:lang w:val="en-US" w:eastAsia="zh-CN"/>
              </w:rPr>
            </w:pPr>
            <w:r>
              <w:rPr>
                <w:rFonts w:hint="eastAsia" w:ascii="宋体" w:hAnsi="宋体" w:eastAsia="宋体"/>
                <w:sz w:val="18"/>
                <w:lang w:val="en-US" w:eastAsia="zh-CN"/>
              </w:rPr>
              <w:t>10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宋体" w:hAnsi="宋体" w:eastAsia="宋体"/>
                <w:sz w:val="18"/>
                <w:lang w:val="en-US" w:eastAsia="zh-CN"/>
              </w:rPr>
            </w:pPr>
            <w:r>
              <w:rPr>
                <w:rFonts w:hint="eastAsia" w:ascii="宋体" w:hAnsi="宋体" w:eastAsia="宋体"/>
                <w:sz w:val="18"/>
                <w:lang w:val="en-US" w:eastAsia="zh-CN"/>
              </w:rPr>
              <w:t>10</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890" w:type="dxa"/>
            <w:tcBorders>
              <w:top w:val="single" w:color="000000" w:sz="4" w:space="0"/>
              <w:left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开标现场是否公平公正公开</w:t>
            </w:r>
          </w:p>
        </w:tc>
        <w:tc>
          <w:tcPr>
            <w:tcW w:w="850" w:type="dxa"/>
            <w:tcBorders>
              <w:top w:val="single" w:color="000000" w:sz="4" w:space="0"/>
              <w:left w:val="single" w:color="000000" w:sz="4" w:space="0"/>
              <w:right w:val="single" w:color="000000" w:sz="4" w:space="0"/>
            </w:tcBorders>
            <w:noWrap w:val="0"/>
            <w:vAlign w:val="center"/>
          </w:tcPr>
          <w:p>
            <w:pPr>
              <w:spacing w:line="240" w:lineRule="exact"/>
              <w:jc w:val="center"/>
              <w:rPr>
                <w:rFonts w:hint="eastAsia" w:ascii="宋体" w:hAnsi="宋体" w:eastAsia="宋体"/>
                <w:sz w:val="18"/>
                <w:lang w:val="en-US" w:eastAsia="zh-CN"/>
              </w:rPr>
            </w:pPr>
            <w:r>
              <w:rPr>
                <w:rFonts w:hint="eastAsia" w:ascii="宋体" w:hAnsi="宋体" w:eastAsia="宋体"/>
                <w:sz w:val="18"/>
                <w:lang w:val="en-US" w:eastAsia="zh-CN"/>
              </w:rPr>
              <w:t>公平</w:t>
            </w:r>
          </w:p>
        </w:tc>
        <w:tc>
          <w:tcPr>
            <w:tcW w:w="877" w:type="dxa"/>
            <w:tcBorders>
              <w:top w:val="single" w:color="000000" w:sz="4" w:space="0"/>
              <w:left w:val="single" w:color="000000" w:sz="4" w:space="0"/>
              <w:right w:val="single" w:color="000000" w:sz="4" w:space="0"/>
            </w:tcBorders>
            <w:noWrap w:val="0"/>
            <w:vAlign w:val="center"/>
          </w:tcPr>
          <w:p>
            <w:pPr>
              <w:spacing w:line="240" w:lineRule="exact"/>
              <w:ind w:left="0" w:leftChars="0" w:right="0" w:rightChars="0"/>
              <w:jc w:val="center"/>
              <w:rPr>
                <w:rFonts w:hint="eastAsia" w:ascii="宋体" w:hAnsi="宋体" w:eastAsia="宋体" w:cs="仿宋_GB2312"/>
                <w:sz w:val="18"/>
                <w:szCs w:val="22"/>
                <w:lang w:val="en-US" w:eastAsia="zh-CN" w:bidi="ar-SA"/>
              </w:rPr>
            </w:pPr>
            <w:r>
              <w:rPr>
                <w:rFonts w:hint="eastAsia" w:ascii="宋体" w:hAnsi="宋体" w:eastAsia="宋体"/>
                <w:sz w:val="18"/>
                <w:lang w:val="en-US" w:eastAsia="zh-CN"/>
              </w:rPr>
              <w:t>公平</w:t>
            </w:r>
          </w:p>
        </w:tc>
        <w:tc>
          <w:tcPr>
            <w:tcW w:w="691" w:type="dxa"/>
            <w:tcBorders>
              <w:top w:val="single" w:color="000000" w:sz="4" w:space="0"/>
              <w:left w:val="single" w:color="000000" w:sz="4" w:space="0"/>
              <w:right w:val="single" w:color="000000" w:sz="4" w:space="0"/>
            </w:tcBorders>
            <w:noWrap w:val="0"/>
            <w:vAlign w:val="center"/>
          </w:tcPr>
          <w:p>
            <w:pPr>
              <w:spacing w:line="240" w:lineRule="exact"/>
              <w:rPr>
                <w:rFonts w:hint="default" w:ascii="宋体" w:hAnsi="宋体" w:eastAsia="宋体"/>
                <w:sz w:val="18"/>
                <w:lang w:val="en-US" w:eastAsia="zh-CN"/>
              </w:rPr>
            </w:pPr>
            <w:r>
              <w:rPr>
                <w:rFonts w:hint="eastAsia" w:ascii="宋体" w:hAnsi="宋体" w:eastAsia="宋体"/>
                <w:sz w:val="18"/>
                <w:lang w:val="en-US" w:eastAsia="zh-CN"/>
              </w:rPr>
              <w:t>10</w:t>
            </w:r>
          </w:p>
        </w:tc>
        <w:tc>
          <w:tcPr>
            <w:tcW w:w="550" w:type="dxa"/>
            <w:tcBorders>
              <w:top w:val="single" w:color="000000" w:sz="4" w:space="0"/>
              <w:left w:val="single" w:color="000000" w:sz="4" w:space="0"/>
              <w:right w:val="single" w:color="000000" w:sz="4" w:space="0"/>
            </w:tcBorders>
            <w:noWrap w:val="0"/>
            <w:vAlign w:val="center"/>
          </w:tcPr>
          <w:p>
            <w:pPr>
              <w:spacing w:line="240" w:lineRule="exact"/>
              <w:rPr>
                <w:rFonts w:hint="default" w:ascii="宋体" w:hAnsi="宋体" w:eastAsia="宋体"/>
                <w:sz w:val="18"/>
                <w:lang w:val="en-US" w:eastAsia="zh-CN"/>
              </w:rPr>
            </w:pPr>
            <w:r>
              <w:rPr>
                <w:rFonts w:hint="eastAsia" w:ascii="宋体" w:hAnsi="宋体" w:eastAsia="宋体"/>
                <w:sz w:val="18"/>
                <w:lang w:val="en-US" w:eastAsia="zh-CN"/>
              </w:rPr>
              <w:t>10</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时效指标</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宋体" w:hAnsi="宋体" w:eastAsia="宋体"/>
                <w:sz w:val="18"/>
              </w:rPr>
            </w:pP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宋体" w:hAnsi="宋体" w:eastAsia="宋体"/>
                <w:sz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890" w:type="dxa"/>
            <w:tcBorders>
              <w:top w:val="single" w:color="000000" w:sz="4" w:space="0"/>
              <w:left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850" w:type="dxa"/>
            <w:tcBorders>
              <w:top w:val="single" w:color="000000" w:sz="4" w:space="0"/>
              <w:left w:val="single" w:color="000000" w:sz="4" w:space="0"/>
              <w:right w:val="single" w:color="000000" w:sz="4" w:space="0"/>
            </w:tcBorders>
            <w:noWrap w:val="0"/>
            <w:vAlign w:val="center"/>
          </w:tcPr>
          <w:p>
            <w:pPr>
              <w:spacing w:line="240" w:lineRule="exact"/>
              <w:jc w:val="center"/>
              <w:rPr>
                <w:rFonts w:hint="eastAsia" w:ascii="宋体" w:hAnsi="宋体" w:eastAsia="宋体"/>
                <w:sz w:val="18"/>
              </w:rPr>
            </w:pPr>
          </w:p>
        </w:tc>
        <w:tc>
          <w:tcPr>
            <w:tcW w:w="877" w:type="dxa"/>
            <w:tcBorders>
              <w:top w:val="single" w:color="000000" w:sz="4" w:space="0"/>
              <w:left w:val="single" w:color="000000" w:sz="4" w:space="0"/>
              <w:right w:val="single" w:color="000000" w:sz="4" w:space="0"/>
            </w:tcBorders>
            <w:noWrap w:val="0"/>
            <w:vAlign w:val="center"/>
          </w:tcPr>
          <w:p>
            <w:pPr>
              <w:spacing w:line="240" w:lineRule="exact"/>
              <w:jc w:val="center"/>
              <w:rPr>
                <w:rFonts w:hint="eastAsia" w:ascii="宋体" w:hAnsi="宋体" w:eastAsia="宋体"/>
                <w:sz w:val="18"/>
              </w:rPr>
            </w:pPr>
          </w:p>
        </w:tc>
        <w:tc>
          <w:tcPr>
            <w:tcW w:w="691" w:type="dxa"/>
            <w:tcBorders>
              <w:top w:val="single" w:color="000000" w:sz="4" w:space="0"/>
              <w:left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50" w:type="dxa"/>
            <w:tcBorders>
              <w:top w:val="single" w:color="000000" w:sz="4" w:space="0"/>
              <w:left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3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效果指标</w:t>
            </w:r>
          </w:p>
        </w:tc>
        <w:tc>
          <w:tcPr>
            <w:tcW w:w="530"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35</w:t>
            </w: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经济效益指标</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开标现场对公共资源交易中心投诉率</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ind w:left="0" w:leftChars="0" w:right="0" w:rightChars="0"/>
              <w:jc w:val="center"/>
              <w:rPr>
                <w:rFonts w:hint="eastAsia" w:ascii="宋体" w:hAnsi="宋体" w:eastAsia="宋体" w:cs="仿宋_GB2312"/>
                <w:sz w:val="18"/>
                <w:szCs w:val="22"/>
                <w:lang w:val="en-US" w:eastAsia="zh-CN" w:bidi="ar-SA"/>
              </w:rPr>
            </w:pPr>
            <w:r>
              <w:rPr>
                <w:rFonts w:hint="eastAsia" w:ascii="宋体" w:hAnsi="宋体" w:eastAsia="宋体"/>
                <w:sz w:val="18"/>
                <w:lang w:eastAsia="zh-CN"/>
              </w:rPr>
              <w:t>《</w:t>
            </w:r>
            <w:r>
              <w:rPr>
                <w:rFonts w:hint="eastAsia" w:ascii="宋体" w:hAnsi="宋体" w:eastAsia="宋体"/>
                <w:sz w:val="18"/>
                <w:lang w:val="en-US" w:eastAsia="zh-CN"/>
              </w:rPr>
              <w:t>=5%</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ind w:left="0" w:leftChars="0" w:right="0" w:rightChars="0"/>
              <w:jc w:val="center"/>
              <w:textAlignment w:val="center"/>
              <w:rPr>
                <w:rFonts w:hint="eastAsia" w:ascii="宋体" w:hAnsi="宋体" w:eastAsia="宋体" w:cs="仿宋_GB2312"/>
                <w:color w:val="000000"/>
                <w:sz w:val="18"/>
                <w:szCs w:val="22"/>
                <w:lang w:val="en-US" w:eastAsia="en-US" w:bidi="ar-SA"/>
              </w:rPr>
            </w:pPr>
            <w:r>
              <w:rPr>
                <w:rFonts w:hint="eastAsia" w:ascii="宋体" w:hAnsi="宋体" w:eastAsia="宋体"/>
                <w:sz w:val="18"/>
                <w:lang w:eastAsia="zh-CN"/>
              </w:rPr>
              <w:t>《</w:t>
            </w:r>
            <w:r>
              <w:rPr>
                <w:rFonts w:hint="eastAsia" w:ascii="宋体" w:hAnsi="宋体" w:eastAsia="宋体"/>
                <w:sz w:val="18"/>
                <w:lang w:val="en-US" w:eastAsia="zh-CN"/>
              </w:rPr>
              <w:t>=5%</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宋体" w:hAnsi="宋体" w:eastAsia="宋体"/>
                <w:sz w:val="18"/>
                <w:lang w:val="en-US" w:eastAsia="zh-CN"/>
              </w:rPr>
            </w:pPr>
            <w:r>
              <w:rPr>
                <w:rFonts w:hint="eastAsia" w:ascii="宋体" w:hAnsi="宋体" w:eastAsia="宋体"/>
                <w:sz w:val="18"/>
                <w:lang w:val="en-US" w:eastAsia="zh-CN"/>
              </w:rPr>
              <w:t>15</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宋体" w:hAnsi="宋体" w:eastAsia="宋体"/>
                <w:sz w:val="18"/>
                <w:lang w:val="en-US" w:eastAsia="zh-CN"/>
              </w:rPr>
            </w:pPr>
            <w:r>
              <w:rPr>
                <w:rFonts w:hint="eastAsia" w:ascii="宋体" w:hAnsi="宋体" w:eastAsia="宋体"/>
                <w:sz w:val="18"/>
                <w:lang w:val="en-US" w:eastAsia="zh-CN"/>
              </w:rPr>
              <w:t>14</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社会效益指标</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办事群众对办证大厅投诉率</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ind w:left="0" w:leftChars="0" w:right="0" w:rightChars="0"/>
              <w:jc w:val="center"/>
              <w:rPr>
                <w:rFonts w:hint="eastAsia" w:ascii="宋体" w:hAnsi="宋体" w:eastAsia="宋体" w:cs="仿宋_GB2312"/>
                <w:sz w:val="18"/>
                <w:szCs w:val="22"/>
                <w:lang w:val="en-US" w:eastAsia="zh-CN" w:bidi="ar-SA"/>
              </w:rPr>
            </w:pPr>
            <w:r>
              <w:rPr>
                <w:rFonts w:hint="eastAsia" w:ascii="宋体" w:hAnsi="宋体" w:eastAsia="宋体"/>
                <w:sz w:val="18"/>
                <w:lang w:eastAsia="zh-CN"/>
              </w:rPr>
              <w:t>《</w:t>
            </w:r>
            <w:r>
              <w:rPr>
                <w:rFonts w:hint="eastAsia" w:ascii="宋体" w:hAnsi="宋体" w:eastAsia="宋体"/>
                <w:sz w:val="18"/>
                <w:lang w:val="en-US" w:eastAsia="zh-CN"/>
              </w:rPr>
              <w:t>=5%</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ind w:left="0" w:leftChars="0" w:right="0" w:rightChars="0"/>
              <w:jc w:val="center"/>
              <w:textAlignment w:val="center"/>
              <w:rPr>
                <w:rFonts w:hint="eastAsia" w:ascii="宋体" w:hAnsi="宋体" w:eastAsia="宋体" w:cs="仿宋_GB2312"/>
                <w:color w:val="000000"/>
                <w:sz w:val="18"/>
                <w:szCs w:val="22"/>
                <w:lang w:val="en-US" w:eastAsia="en-US" w:bidi="ar-SA"/>
              </w:rPr>
            </w:pPr>
            <w:r>
              <w:rPr>
                <w:rFonts w:hint="eastAsia" w:ascii="宋体" w:hAnsi="宋体" w:eastAsia="宋体"/>
                <w:sz w:val="18"/>
                <w:lang w:eastAsia="zh-CN"/>
              </w:rPr>
              <w:t>《</w:t>
            </w:r>
            <w:r>
              <w:rPr>
                <w:rFonts w:hint="eastAsia" w:ascii="宋体" w:hAnsi="宋体" w:eastAsia="宋体"/>
                <w:sz w:val="18"/>
                <w:lang w:val="en-US" w:eastAsia="zh-CN"/>
              </w:rPr>
              <w:t>=5%</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宋体" w:hAnsi="宋体" w:eastAsia="宋体"/>
                <w:sz w:val="18"/>
                <w:lang w:val="en-US" w:eastAsia="zh-CN"/>
              </w:rPr>
            </w:pPr>
            <w:r>
              <w:rPr>
                <w:rFonts w:hint="eastAsia" w:ascii="宋体" w:hAnsi="宋体" w:eastAsia="宋体"/>
                <w:sz w:val="18"/>
                <w:lang w:val="en-US" w:eastAsia="zh-CN"/>
              </w:rPr>
              <w:t>20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宋体" w:hAnsi="宋体" w:eastAsia="宋体"/>
                <w:sz w:val="18"/>
                <w:lang w:val="en-US" w:eastAsia="zh-CN"/>
              </w:rPr>
            </w:pPr>
            <w:r>
              <w:rPr>
                <w:rFonts w:hint="eastAsia" w:ascii="宋体" w:hAnsi="宋体" w:eastAsia="宋体"/>
                <w:sz w:val="18"/>
                <w:lang w:val="en-US" w:eastAsia="zh-CN"/>
              </w:rPr>
              <w:t>18</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637"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30" w:type="dxa"/>
            <w:vMerge w:val="continue"/>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生态效益指标</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宋体" w:hAnsi="宋体" w:eastAsia="宋体"/>
                <w:sz w:val="18"/>
              </w:rPr>
            </w:pP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eastAsia" w:ascii="宋体" w:hAnsi="宋体" w:eastAsia="宋体"/>
                <w:sz w:val="18"/>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63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满意度指标</w:t>
            </w:r>
          </w:p>
        </w:tc>
        <w:tc>
          <w:tcPr>
            <w:tcW w:w="53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10</w:t>
            </w:r>
          </w:p>
        </w:tc>
        <w:tc>
          <w:tcPr>
            <w:tcW w:w="152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满意度指标</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r>
              <w:rPr>
                <w:rFonts w:hint="eastAsia" w:ascii="宋体" w:hAnsi="宋体" w:eastAsia="宋体"/>
                <w:sz w:val="18"/>
              </w:rPr>
              <w:t>群众对办证大厅服务质量满意度</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ind w:left="0" w:leftChars="0" w:right="0" w:rightChars="0"/>
              <w:jc w:val="center"/>
              <w:rPr>
                <w:rFonts w:hint="eastAsia" w:ascii="宋体" w:hAnsi="宋体" w:eastAsia="宋体" w:cs="仿宋_GB2312"/>
                <w:sz w:val="18"/>
                <w:szCs w:val="22"/>
                <w:lang w:val="en-US" w:eastAsia="zh-CN" w:bidi="ar-SA"/>
              </w:rPr>
            </w:pPr>
            <w:r>
              <w:rPr>
                <w:rFonts w:hint="eastAsia" w:ascii="宋体" w:hAnsi="宋体" w:eastAsia="宋体"/>
                <w:sz w:val="18"/>
                <w:lang w:eastAsia="zh-CN"/>
              </w:rPr>
              <w:t>》</w:t>
            </w:r>
            <w:r>
              <w:rPr>
                <w:rFonts w:hint="eastAsia" w:ascii="宋体" w:hAnsi="宋体" w:eastAsia="宋体"/>
                <w:sz w:val="18"/>
                <w:lang w:val="en-US" w:eastAsia="zh-CN"/>
              </w:rPr>
              <w:t>=95%</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ind w:left="0" w:leftChars="0" w:right="0" w:rightChars="0"/>
              <w:jc w:val="center"/>
              <w:textAlignment w:val="center"/>
              <w:rPr>
                <w:rFonts w:hint="eastAsia" w:ascii="宋体" w:hAnsi="宋体" w:eastAsia="宋体" w:cs="仿宋_GB2312"/>
                <w:color w:val="000000"/>
                <w:sz w:val="18"/>
                <w:szCs w:val="22"/>
                <w:lang w:val="en-US" w:eastAsia="zh-CN" w:bidi="ar-SA"/>
              </w:rPr>
            </w:pPr>
            <w:r>
              <w:rPr>
                <w:rFonts w:hint="eastAsia" w:ascii="宋体" w:hAnsi="宋体" w:eastAsia="宋体"/>
                <w:color w:val="000000"/>
                <w:sz w:val="18"/>
                <w:lang w:eastAsia="zh-CN"/>
              </w:rPr>
              <w:t>》</w:t>
            </w:r>
            <w:r>
              <w:rPr>
                <w:rFonts w:hint="eastAsia" w:ascii="宋体" w:hAnsi="宋体" w:eastAsia="宋体"/>
                <w:color w:val="000000"/>
                <w:sz w:val="18"/>
                <w:lang w:val="en-US" w:eastAsia="zh-CN"/>
              </w:rPr>
              <w:t>=95%</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宋体" w:hAnsi="宋体" w:eastAsia="宋体"/>
                <w:sz w:val="18"/>
                <w:lang w:val="en-US" w:eastAsia="zh-CN"/>
              </w:rPr>
            </w:pPr>
            <w:r>
              <w:rPr>
                <w:rFonts w:hint="eastAsia" w:ascii="宋体" w:hAnsi="宋体" w:eastAsia="宋体"/>
                <w:sz w:val="18"/>
                <w:lang w:val="en-US" w:eastAsia="zh-CN"/>
              </w:rPr>
              <w:t>10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lang w:val="en-US" w:eastAsia="zh-CN"/>
              </w:rPr>
            </w:pPr>
            <w:r>
              <w:rPr>
                <w:rFonts w:hint="eastAsia" w:ascii="宋体" w:hAnsi="宋体" w:eastAsia="宋体"/>
                <w:sz w:val="18"/>
                <w:lang w:val="en-US" w:eastAsia="zh-CN"/>
              </w:rPr>
              <w:t>9</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eastAsia" w:ascii="宋体" w:hAnsi="宋体" w:eastAsia="宋体"/>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11" w:type="dxa"/>
            <w:gridSpan w:val="6"/>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总分</w:t>
            </w: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r>
              <w:rPr>
                <w:rFonts w:hint="eastAsia" w:ascii="宋体" w:hAnsi="宋体" w:eastAsia="宋体"/>
                <w:color w:val="000000"/>
                <w:sz w:val="18"/>
              </w:rPr>
              <w:t>100</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default" w:ascii="宋体" w:hAnsi="宋体" w:eastAsia="宋体"/>
                <w:color w:val="000000"/>
                <w:sz w:val="18"/>
                <w:lang w:val="en-US" w:eastAsia="zh-CN"/>
              </w:rPr>
            </w:pPr>
            <w:r>
              <w:rPr>
                <w:rFonts w:hint="eastAsia" w:ascii="宋体" w:hAnsi="宋体" w:eastAsia="宋体"/>
                <w:color w:val="000000"/>
                <w:sz w:val="18"/>
                <w:lang w:val="en-US" w:eastAsia="zh-CN"/>
              </w:rPr>
              <w:t>95</w:t>
            </w:r>
          </w:p>
        </w:tc>
        <w:tc>
          <w:tcPr>
            <w:tcW w:w="1394"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line="240" w:lineRule="exact"/>
              <w:jc w:val="center"/>
              <w:textAlignment w:val="center"/>
              <w:rPr>
                <w:rFonts w:hint="eastAsia" w:ascii="宋体" w:hAnsi="宋体" w:eastAsia="宋体"/>
                <w:color w:val="000000"/>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2" w:hRule="atLeast"/>
        </w:trPr>
        <w:tc>
          <w:tcPr>
            <w:tcW w:w="8946" w:type="dxa"/>
            <w:gridSpan w:val="9"/>
            <w:tcBorders>
              <w:top w:val="single" w:color="000000" w:sz="4" w:space="0"/>
            </w:tcBorders>
            <w:noWrap w:val="0"/>
            <w:vAlign w:val="top"/>
          </w:tcPr>
          <w:p>
            <w:pPr>
              <w:autoSpaceDN w:val="0"/>
              <w:spacing w:line="240" w:lineRule="exact"/>
              <w:jc w:val="left"/>
              <w:textAlignment w:val="top"/>
              <w:rPr>
                <w:rFonts w:hint="eastAsia" w:ascii="宋体" w:hAnsi="宋体" w:eastAsia="宋体"/>
                <w:color w:val="000000"/>
                <w:sz w:val="18"/>
              </w:rPr>
            </w:pPr>
            <w:r>
              <w:rPr>
                <w:rFonts w:hint="eastAsia" w:ascii="宋体" w:hAnsi="宋体" w:eastAsia="宋体"/>
                <w:color w:val="000000"/>
                <w:sz w:val="18"/>
              </w:rPr>
              <w:t>说明：1.预算部门按照附件3《部门整体支出绩效评价指标体系框架》（参考）设置三级指标和指标</w:t>
            </w:r>
            <w:r>
              <w:rPr>
                <w:rFonts w:hint="eastAsia" w:ascii="宋体" w:hAnsi="宋体" w:eastAsia="宋体"/>
                <w:color w:val="000000"/>
                <w:sz w:val="18"/>
              </w:rPr>
              <w:br w:type="textWrapping"/>
            </w:r>
            <w:r>
              <w:rPr>
                <w:rFonts w:hint="eastAsia" w:ascii="宋体" w:hAnsi="宋体" w:eastAsia="宋体"/>
                <w:color w:val="000000"/>
                <w:sz w:val="18"/>
              </w:rPr>
              <w:t xml:space="preserve">      2.上述产出指标和效益指标根据年初设定的绩效目标既可以按照重点任务完成情况分别填列，也可以依据所有重点任务归纳提炼综合指标。</w:t>
            </w:r>
          </w:p>
        </w:tc>
      </w:tr>
    </w:tbl>
    <w:p>
      <w:pPr>
        <w:spacing w:line="240" w:lineRule="exact"/>
        <w:ind w:firstLine="560" w:firstLineChars="200"/>
        <w:rPr>
          <w:rFonts w:hint="eastAsia" w:ascii="仿宋" w:hAnsi="仿宋" w:eastAsia="仿宋"/>
          <w:sz w:val="28"/>
          <w:szCs w:val="28"/>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63467"/>
    <w:rsid w:val="2D4E7365"/>
    <w:rsid w:val="44363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2021-06-17T03:29:00Z</dcterms:created>
  <dc:creator>大栗旬</dc:creator>
  <cp:lastModifiedBy>大栗旬</cp:lastModifiedBy>
  <dcterms:modified xsi:type="dcterms:W3CDTF">2021-06-21T01:34:50Z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D887043354354DF3B6BBF52928904596</vt:lpwstr>
  </property>
</Properties>
</file>