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大标宋简体" w:hAnsi="方正大标宋简体" w:eastAsia="方正大标宋简体"/>
          <w:sz w:val="44"/>
          <w:szCs w:val="44"/>
        </w:rPr>
      </w:pPr>
    </w:p>
    <w:p>
      <w:pPr>
        <w:spacing w:line="600" w:lineRule="exact"/>
        <w:jc w:val="center"/>
        <w:rPr>
          <w:rFonts w:ascii="方正大标宋简体" w:hAnsi="方正大标宋简体" w:eastAsia="方正大标宋简体"/>
          <w:sz w:val="44"/>
          <w:szCs w:val="44"/>
        </w:rPr>
      </w:pPr>
      <w:r>
        <w:rPr>
          <w:rFonts w:hint="eastAsia" w:ascii="方正大标宋简体" w:hAnsi="方正大标宋简体" w:eastAsia="方正大标宋简体" w:cs="方正大标宋简体"/>
          <w:sz w:val="44"/>
          <w:szCs w:val="44"/>
          <w:lang w:eastAsia="zh-CN"/>
        </w:rPr>
        <w:t>浮梁县卫计委</w:t>
      </w:r>
      <w:r>
        <w:rPr>
          <w:rFonts w:ascii="方正大标宋简体" w:hAnsi="方正大标宋简体" w:eastAsia="方正大标宋简体" w:cs="方正大标宋简体"/>
          <w:sz w:val="44"/>
          <w:szCs w:val="44"/>
        </w:rPr>
        <w:t>2017</w:t>
      </w:r>
      <w:r>
        <w:rPr>
          <w:rFonts w:hint="eastAsia" w:ascii="方正大标宋简体" w:hAnsi="方正大标宋简体" w:eastAsia="方正大标宋简体" w:cs="方正大标宋简体"/>
          <w:sz w:val="44"/>
          <w:szCs w:val="44"/>
        </w:rPr>
        <w:t>年度部门决算</w:t>
      </w:r>
    </w:p>
    <w:p>
      <w:pPr>
        <w:spacing w:line="600" w:lineRule="exact"/>
        <w:jc w:val="center"/>
        <w:rPr>
          <w:rFonts w:ascii="黑体" w:eastAsia="黑体"/>
          <w:sz w:val="44"/>
          <w:szCs w:val="44"/>
        </w:rPr>
      </w:pPr>
    </w:p>
    <w:p>
      <w:pPr>
        <w:spacing w:line="600" w:lineRule="exact"/>
        <w:jc w:val="center"/>
        <w:rPr>
          <w:rFonts w:ascii="楷体_GB2312" w:hAnsi="楷体_GB2312" w:eastAsia="楷体_GB2312"/>
          <w:b/>
          <w:bCs/>
          <w:sz w:val="44"/>
          <w:szCs w:val="44"/>
        </w:rPr>
      </w:pPr>
      <w:r>
        <w:rPr>
          <w:rFonts w:hint="eastAsia" w:ascii="楷体_GB2312" w:hAnsi="楷体_GB2312" w:eastAsia="楷体_GB2312" w:cs="楷体_GB2312"/>
          <w:b/>
          <w:bCs/>
          <w:sz w:val="44"/>
          <w:szCs w:val="44"/>
        </w:rPr>
        <w:t>目</w:t>
      </w:r>
      <w:r>
        <w:rPr>
          <w:rFonts w:ascii="楷体_GB2312" w:hAnsi="楷体_GB2312" w:eastAsia="楷体_GB2312" w:cs="楷体_GB2312"/>
          <w:b/>
          <w:bCs/>
          <w:sz w:val="44"/>
          <w:szCs w:val="44"/>
        </w:rPr>
        <w:t xml:space="preserve">    </w:t>
      </w:r>
      <w:r>
        <w:rPr>
          <w:rFonts w:hint="eastAsia" w:ascii="楷体_GB2312" w:hAnsi="楷体_GB2312" w:eastAsia="楷体_GB2312" w:cs="楷体_GB2312"/>
          <w:b/>
          <w:bCs/>
          <w:sz w:val="44"/>
          <w:szCs w:val="44"/>
        </w:rPr>
        <w:t>录</w:t>
      </w:r>
    </w:p>
    <w:p>
      <w:pPr>
        <w:widowControl/>
        <w:spacing w:line="600" w:lineRule="exact"/>
        <w:ind w:firstLine="640"/>
        <w:jc w:val="left"/>
        <w:rPr>
          <w:rFonts w:ascii="仿宋_GB2312" w:eastAsia="仿宋_GB2312"/>
          <w:sz w:val="32"/>
          <w:szCs w:val="32"/>
        </w:rPr>
      </w:pPr>
    </w:p>
    <w:p>
      <w:pPr>
        <w:widowControl/>
        <w:spacing w:line="660" w:lineRule="exact"/>
        <w:jc w:val="left"/>
        <w:rPr>
          <w:rFonts w:ascii="黑体" w:hAnsi="黑体" w:eastAsia="黑体"/>
          <w:b/>
          <w:bCs/>
          <w:sz w:val="32"/>
          <w:szCs w:val="32"/>
        </w:rPr>
      </w:pPr>
      <w:r>
        <w:rPr>
          <w:rFonts w:hint="eastAsia" w:ascii="黑体" w:hAnsi="黑体" w:eastAsia="黑体" w:cs="黑体"/>
          <w:sz w:val="32"/>
          <w:szCs w:val="32"/>
        </w:rPr>
        <w:t>第一部分</w:t>
      </w:r>
      <w:r>
        <w:rPr>
          <w:rFonts w:ascii="黑体" w:hAnsi="黑体" w:eastAsia="黑体" w:cs="黑体"/>
          <w:b/>
          <w:bCs/>
          <w:sz w:val="32"/>
          <w:szCs w:val="32"/>
        </w:rPr>
        <w:t xml:space="preserve">  </w:t>
      </w:r>
      <w:r>
        <w:rPr>
          <w:rFonts w:hint="eastAsia" w:ascii="黑体" w:hAnsi="黑体" w:eastAsia="黑体" w:cs="黑体"/>
          <w:b/>
          <w:bCs/>
          <w:sz w:val="32"/>
          <w:szCs w:val="32"/>
          <w:lang w:val="en-US" w:eastAsia="zh-CN"/>
        </w:rPr>
        <w:t xml:space="preserve"> 浮梁县</w:t>
      </w:r>
      <w:r>
        <w:rPr>
          <w:rFonts w:hint="eastAsia" w:ascii="黑体" w:hAnsi="黑体" w:eastAsia="黑体" w:cs="黑体"/>
          <w:sz w:val="32"/>
          <w:szCs w:val="32"/>
          <w:lang w:eastAsia="zh-CN"/>
        </w:rPr>
        <w:t>卫计委部门</w:t>
      </w:r>
      <w:r>
        <w:rPr>
          <w:rFonts w:hint="eastAsia" w:ascii="黑体" w:hAnsi="黑体" w:eastAsia="黑体" w:cs="黑体"/>
          <w:sz w:val="32"/>
          <w:szCs w:val="32"/>
        </w:rPr>
        <w:t>概况</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一、部门主要职责</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二、部门基本情况</w:t>
      </w:r>
    </w:p>
    <w:p>
      <w:pPr>
        <w:widowControl/>
        <w:spacing w:line="660" w:lineRule="exact"/>
        <w:jc w:val="left"/>
        <w:rPr>
          <w:rFonts w:ascii="黑体" w:hAnsi="黑体" w:eastAsia="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2017</w:t>
      </w:r>
      <w:r>
        <w:rPr>
          <w:rFonts w:hint="eastAsia" w:ascii="黑体" w:hAnsi="黑体" w:eastAsia="黑体" w:cs="黑体"/>
          <w:sz w:val="32"/>
          <w:szCs w:val="32"/>
        </w:rPr>
        <w:t>年度部门决算表</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一、收入支出决算总表</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二、收入决算表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三、支出决算表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四、财政拨款收入支出决算总表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五、一般公共预算财政拨款支出决算表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六、一般公共预算财政拨款基本支出决算表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七、一般公共预算财政拨款“三公”经费支出决算</w:t>
      </w:r>
    </w:p>
    <w:p>
      <w:pPr>
        <w:widowControl/>
        <w:spacing w:line="660" w:lineRule="exact"/>
        <w:ind w:firstLine="64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八、政府性基金预算财政拨款收入支出决算表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九、国有资产占用情况表</w:t>
      </w:r>
    </w:p>
    <w:p>
      <w:pPr>
        <w:widowControl/>
        <w:spacing w:line="660" w:lineRule="exact"/>
        <w:jc w:val="left"/>
        <w:rPr>
          <w:rFonts w:ascii="仿宋_GB2312" w:hAnsi="仿宋_GB2312" w:eastAsia="仿宋_GB2312"/>
          <w:sz w:val="32"/>
          <w:szCs w:val="32"/>
        </w:rPr>
      </w:pPr>
      <w:r>
        <w:rPr>
          <w:rFonts w:ascii="仿宋_GB2312" w:hAnsi="仿宋_GB2312" w:eastAsia="仿宋_GB2312" w:cs="仿宋_GB2312"/>
          <w:kern w:val="0"/>
          <w:sz w:val="32"/>
          <w:szCs w:val="32"/>
        </w:rPr>
        <w:t xml:space="preserve">    </w:t>
      </w:r>
      <w:r>
        <w:rPr>
          <w:rFonts w:hint="eastAsia" w:ascii="黑体" w:hAnsi="黑体" w:eastAsia="黑体" w:cs="黑体"/>
          <w:sz w:val="32"/>
          <w:szCs w:val="32"/>
        </w:rPr>
        <w:t>第三部分</w:t>
      </w:r>
      <w:r>
        <w:rPr>
          <w:rFonts w:ascii="黑体" w:hAnsi="黑体" w:eastAsia="黑体" w:cs="黑体"/>
          <w:sz w:val="32"/>
          <w:szCs w:val="32"/>
        </w:rPr>
        <w:t xml:space="preserve">  2017</w:t>
      </w:r>
      <w:r>
        <w:rPr>
          <w:rFonts w:hint="eastAsia" w:ascii="黑体" w:hAnsi="黑体" w:eastAsia="黑体" w:cs="黑体"/>
          <w:sz w:val="32"/>
          <w:szCs w:val="32"/>
        </w:rPr>
        <w:t>年度部门决算情况说明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一、收入决算情况说明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二、支出决算情况说明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三、财政拨款支出决算情况说明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四、一般公共预算财政拨款基本支出决算情况说明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五、一般公共预算财政拨款“三公”经费支出决算</w:t>
      </w:r>
    </w:p>
    <w:p>
      <w:pPr>
        <w:widowControl/>
        <w:spacing w:line="660" w:lineRule="exact"/>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六、机关运行经费支出情况说明</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七、政府采购支出情况说明</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八、预算绩效情况说明</w:t>
      </w:r>
    </w:p>
    <w:p>
      <w:pPr>
        <w:widowControl/>
        <w:spacing w:line="660" w:lineRule="exact"/>
        <w:ind w:firstLine="640"/>
        <w:jc w:val="left"/>
        <w:rPr>
          <w:rFonts w:ascii="黑体" w:hAnsi="黑体" w:eastAsia="黑体"/>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widowControl/>
        <w:spacing w:line="560" w:lineRule="exact"/>
        <w:ind w:firstLine="640"/>
        <w:jc w:val="center"/>
        <w:rPr>
          <w:rFonts w:hint="eastAsia" w:ascii="黑体" w:hAnsi="黑体" w:eastAsia="黑体" w:cs="黑体"/>
          <w:sz w:val="32"/>
          <w:szCs w:val="32"/>
        </w:rPr>
      </w:pPr>
    </w:p>
    <w:p>
      <w:pPr>
        <w:widowControl/>
        <w:spacing w:line="560" w:lineRule="exact"/>
        <w:ind w:firstLine="640"/>
        <w:jc w:val="center"/>
        <w:rPr>
          <w:rFonts w:hint="eastAsia" w:ascii="黑体" w:hAnsi="黑体" w:eastAsia="黑体" w:cs="黑体"/>
          <w:sz w:val="32"/>
          <w:szCs w:val="32"/>
        </w:rPr>
      </w:pPr>
    </w:p>
    <w:p>
      <w:pPr>
        <w:widowControl/>
        <w:spacing w:line="560" w:lineRule="exact"/>
        <w:ind w:firstLine="640"/>
        <w:jc w:val="center"/>
        <w:rPr>
          <w:rFonts w:ascii="黑体" w:hAnsi="黑体" w:eastAsia="黑体"/>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lang w:eastAsia="zh-CN"/>
        </w:rPr>
        <w:t>浮梁县卫计委</w:t>
      </w:r>
      <w:r>
        <w:rPr>
          <w:rFonts w:hint="eastAsia" w:ascii="黑体" w:hAnsi="黑体" w:eastAsia="黑体" w:cs="黑体"/>
          <w:sz w:val="32"/>
          <w:szCs w:val="32"/>
        </w:rPr>
        <w:t>部门概况</w:t>
      </w:r>
    </w:p>
    <w:p>
      <w:pPr>
        <w:spacing w:line="580" w:lineRule="exact"/>
        <w:ind w:firstLine="629"/>
        <w:jc w:val="left"/>
        <w:rPr>
          <w:rFonts w:ascii="黑体" w:hAnsi="黑体" w:eastAsia="黑体"/>
          <w:sz w:val="30"/>
          <w:szCs w:val="30"/>
        </w:rPr>
      </w:pPr>
      <w:r>
        <w:rPr>
          <w:rFonts w:hint="eastAsia" w:ascii="黑体" w:hAnsi="黑体" w:eastAsia="黑体" w:cs="黑体"/>
          <w:sz w:val="30"/>
          <w:szCs w:val="30"/>
        </w:rPr>
        <w:t>一、部门主要职能</w:t>
      </w:r>
    </w:p>
    <w:p>
      <w:pPr>
        <w:spacing w:line="600" w:lineRule="exact"/>
        <w:ind w:firstLine="600" w:firstLineChars="200"/>
        <w:rPr>
          <w:rFonts w:hint="eastAsia" w:ascii="仿宋_GB2312" w:hAnsi="仿宋_GB2312" w:eastAsia="仿宋_GB2312" w:cs="仿宋_GB2312"/>
          <w:sz w:val="32"/>
          <w:szCs w:val="32"/>
        </w:rPr>
      </w:pPr>
      <w:r>
        <w:rPr>
          <w:rFonts w:hint="eastAsia" w:ascii="仿宋" w:hAnsi="仿宋" w:eastAsia="仿宋"/>
          <w:sz w:val="30"/>
          <w:szCs w:val="30"/>
        </w:rPr>
        <w:t>1．</w:t>
      </w:r>
      <w:r>
        <w:rPr>
          <w:rFonts w:hint="eastAsia" w:ascii="仿宋_GB2312" w:hAnsi="仿宋_GB2312" w:eastAsia="仿宋_GB2312" w:cs="仿宋_GB2312"/>
          <w:sz w:val="32"/>
          <w:szCs w:val="32"/>
        </w:rPr>
        <w:t>贯彻执行国家和省、市有关卫生和计划生育、中医药事业发展的规划和政策措施，负责起草我县卫生和计划生育、中医药事业发展规划和政策措施，组织制定有关标准和技术规范。负责协调推进医药卫生体制改革和医疗保障，统筹规划卫生和计划生育服务资源配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贯彻执行国家疾病预防控制规划、国家免疫规划，制定严重危害人民健康的公共卫生问题的干预措施并组织落实，制定卫生应急和紧急医学救援预案、突发公共卫生事件监测和风险评估计划，组织和指导突发公共卫生事件预防控制和各类突发公共事件的医疗卫生救援，发布法定报告传染病疫情信息、突发公共卫生事件应急处置信息。</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贯彻落实职责范围内的职业卫生、放射卫生、环境卫生、学校卫生、公共场所卫生、饮用水卫生管理规范、标准和政策措施，组织开展相关监测、调查、评估和监督，负责传染病防治监督。组织开展食品安全风险监测、评估。</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拟订并实施基层卫生和计划生育服务、妇幼卫生发展规划和政策措施，指导全县基层卫生和计划生育、妇幼卫生服务体系建设，推进基本公共卫生和计划生育服务均等化，完善基层运行新机制和乡村医生管理制度。</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5.贯彻医疗机构和医疗服务全行业管理办法。落实医疗机构及其医疗服务、医疗技术、医疗质量、医疗安全以及采供血机构管理的规范、标准，</w:t>
      </w:r>
      <w:r>
        <w:rPr>
          <w:rFonts w:hint="eastAsia" w:ascii="仿宋_GB2312" w:eastAsia="仿宋_GB2312"/>
          <w:sz w:val="32"/>
          <w:szCs w:val="32"/>
        </w:rPr>
        <w:t>组织实施医疗机构执业许可证制度和医务人员执业许可证制度，会同有关部门贯彻执行国家卫生专业技术人员准入、资格标准，</w:t>
      </w:r>
      <w:r>
        <w:rPr>
          <w:rFonts w:hint="eastAsia" w:ascii="仿宋_GB2312" w:hAnsi="仿宋_GB2312" w:eastAsia="仿宋_GB2312" w:cs="仿宋_GB2312"/>
          <w:sz w:val="32"/>
          <w:szCs w:val="32"/>
        </w:rPr>
        <w:t>组织实施卫生专业技术人员执业规则和服务规范，建立医疗服务评价和监督管理体系。</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6.负责组织推进公立医院改革，建立公益性为导向的绩效考核和评价运行机制，建设和谐医患关系，提出医疗服务和药品价格政策的建议。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7.贯彻落实国家药物政策、国家基本药物制度和基本药物采购、配送、使用的管理制度，协助有关部门参与执行国家药品法典，执行国家基本药物目录。</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贯彻落实国家计划生育政策，负责完善生育政策措施，组织实施促进出生人口性别平衡的政策措施，组织监测计划生育发展动态，提出发布计划生育安全预警预报信息建议。制定计划生育技术服务管理制度并监督实施，制定优生优育和提高出生人口素质的政策措施并组织实施，实施计划生育生殖健康促进计划，降低出生缺陷人口数量。</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组织建立计划生育利益导向、计划生育特殊困难家庭扶助和促进计划生育家庭发展等机制。负责协调推进有关部门、群众团体履行计划生育工作相关政策职责，建立与经济社会发展政策的衔接机制，提出长期稳定低生育水平政策措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10.制定全县流动人口计划生育服务管理制度并组织实施，建立流动人口卫生和计划生育信息共享和公共服务工作机制。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11.组织拟订全县卫生和计划生育人才发展规划，指导卫生和计划生育人才队伍建设。加强全科医生等急需紧缺专业人才培养，建立完善住院医师和专科医师规范化培训制度并指导实施。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12.组织拟订卫生和计划生育科技发展规划，组织实施卫生和计划生育相关科研项目。组织实施毕业后医学教育和继续医学教育。</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13.指导乡（镇）卫生和计划生育工作，完善综合监督执法体系，规范执法行为，监督检查法律法规和政策措施的落实，组织查处重大违法行为。监督落实计划生育一票否决制。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14.负责卫生和计划生育宣传、健康教育、健康促进和信</w:t>
      </w:r>
      <w:r>
        <w:rPr>
          <w:rFonts w:hint="eastAsia" w:ascii="仿宋_GB2312" w:hAnsi="仿宋_GB2312" w:eastAsia="仿宋_GB2312" w:cs="仿宋_GB2312"/>
          <w:spacing w:val="-6"/>
          <w:sz w:val="32"/>
          <w:szCs w:val="32"/>
        </w:rPr>
        <w:t>息化建设等工作，依法组织实施统计调查，参与人口基础信息库建设。</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15.制定全县中医药中长期发展规划，将其纳入全县卫生和计划生育事业发展总体规划和战略目标，并组织实施。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16.负责县保健对象的医疗保健工作，负责重要会议与重大活动的医疗卫生保障。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17.承担县人民政府血吸虫病、地方病防治领导小组的具体工作，组织协调各有关部门开展血吸虫病、地方病的综合防治和科研监测工作。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18.承担县爱国卫生运动委员会、县人民政府深化医药卫</w:t>
      </w:r>
      <w:r>
        <w:rPr>
          <w:rFonts w:hint="eastAsia" w:ascii="仿宋_GB2312" w:hAnsi="仿宋_GB2312" w:eastAsia="仿宋_GB2312" w:cs="仿宋_GB2312"/>
          <w:spacing w:val="-6"/>
          <w:sz w:val="32"/>
          <w:szCs w:val="32"/>
        </w:rPr>
        <w:t>生体制改革领导小组、县人民政府防治艾滋病工作委员会的日常工作。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19.承办县人民政府交办的其他事项。</w:t>
      </w:r>
    </w:p>
    <w:p>
      <w:pPr>
        <w:spacing w:line="580" w:lineRule="exact"/>
        <w:ind w:firstLine="629"/>
        <w:jc w:val="left"/>
        <w:rPr>
          <w:rFonts w:ascii="黑体" w:hAnsi="黑体" w:eastAsia="黑体"/>
          <w:sz w:val="30"/>
          <w:szCs w:val="30"/>
        </w:rPr>
      </w:pPr>
      <w:r>
        <w:rPr>
          <w:rFonts w:hint="eastAsia" w:ascii="黑体" w:hAnsi="黑体" w:eastAsia="黑体" w:cs="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纳入本套部门决算汇编范围的单位共2</w:t>
      </w:r>
      <w:r>
        <w:rPr>
          <w:rFonts w:hint="eastAsia" w:ascii="仿宋" w:hAnsi="仿宋" w:eastAsia="仿宋"/>
          <w:sz w:val="30"/>
          <w:szCs w:val="30"/>
          <w:lang w:val="en-US" w:eastAsia="zh-CN"/>
        </w:rPr>
        <w:t>2</w:t>
      </w:r>
      <w:r>
        <w:rPr>
          <w:rFonts w:hint="eastAsia" w:ascii="仿宋" w:hAnsi="仿宋" w:eastAsia="仿宋"/>
          <w:sz w:val="30"/>
          <w:szCs w:val="30"/>
        </w:rPr>
        <w:t>个，包括：1、县卫生和计划生育委员会（本级）2、浮梁县疾病预防控制中心3、浮梁县卫生监督所4、浮梁县中医院5、浮梁县妇幼保健院</w:t>
      </w:r>
      <w:r>
        <w:rPr>
          <w:rFonts w:hint="eastAsia" w:ascii="仿宋" w:hAnsi="仿宋" w:eastAsia="仿宋"/>
          <w:sz w:val="30"/>
          <w:szCs w:val="30"/>
          <w:lang w:val="en-US" w:eastAsia="zh-CN"/>
        </w:rPr>
        <w:t>6、</w:t>
      </w:r>
      <w:r>
        <w:rPr>
          <w:rFonts w:hint="eastAsia" w:ascii="仿宋" w:hAnsi="仿宋" w:eastAsia="仿宋"/>
          <w:sz w:val="30"/>
          <w:szCs w:val="30"/>
        </w:rPr>
        <w:t>浮梁县黄坛乡卫生院7、浮梁县鹅湖中心卫生院8、浮梁县蛟潭中心卫生院9、浮梁县经公桥中心卫生院10、浮梁县洪源中心卫生院11、浮梁县湘湖中心卫生院12、浮梁县勒功乡卫生院13、浮梁县西湖乡卫生院14、浮梁县三龙镇卫生院15、浮梁县江村乡卫生院16、浮梁县峙滩镇卫生院17、浮梁县兴田乡卫生院18、浮梁县瑶里镇卫生院19、浮梁县王港乡卫生院20、浮梁县庄湾湘卫生院21、浮梁县寿安镇卫生院22、浮梁县浮梁镇卫生院。</w:t>
      </w:r>
    </w:p>
    <w:p>
      <w:pPr>
        <w:spacing w:line="580" w:lineRule="exact"/>
        <w:ind w:firstLine="629"/>
        <w:jc w:val="left"/>
        <w:rPr>
          <w:rFonts w:ascii="仿宋_GB2312" w:hAnsi="仿宋_GB2312" w:eastAsia="仿宋_GB2312"/>
          <w:sz w:val="30"/>
          <w:szCs w:val="30"/>
        </w:rPr>
      </w:pPr>
    </w:p>
    <w:p>
      <w:pPr>
        <w:spacing w:line="580" w:lineRule="exact"/>
        <w:ind w:firstLine="629"/>
        <w:jc w:val="left"/>
        <w:rPr>
          <w:rFonts w:ascii="仿宋_GB2312" w:hAnsi="仿宋_GB2312" w:eastAsia="仿宋_GB2312"/>
          <w:sz w:val="30"/>
          <w:szCs w:val="30"/>
        </w:rPr>
      </w:pPr>
      <w:r>
        <w:rPr>
          <w:rFonts w:hint="eastAsia" w:ascii="仿宋_GB2312" w:hAnsi="仿宋_GB2312" w:eastAsia="仿宋_GB2312" w:cs="仿宋_GB2312"/>
          <w:sz w:val="30"/>
          <w:szCs w:val="30"/>
        </w:rPr>
        <w:t>本部门</w:t>
      </w:r>
      <w:r>
        <w:rPr>
          <w:rFonts w:ascii="仿宋_GB2312" w:hAnsi="仿宋_GB2312" w:eastAsia="仿宋_GB2312" w:cs="仿宋_GB2312"/>
          <w:sz w:val="30"/>
          <w:szCs w:val="30"/>
        </w:rPr>
        <w:t>2017</w:t>
      </w:r>
      <w:r>
        <w:rPr>
          <w:rFonts w:hint="eastAsia" w:ascii="仿宋_GB2312" w:hAnsi="仿宋_GB2312" w:eastAsia="仿宋_GB2312" w:cs="仿宋_GB2312"/>
          <w:sz w:val="30"/>
          <w:szCs w:val="30"/>
        </w:rPr>
        <w:t>年年末编制人数</w:t>
      </w:r>
      <w:r>
        <w:rPr>
          <w:rFonts w:hint="eastAsia" w:ascii="仿宋_GB2312" w:hAnsi="仿宋_GB2312" w:eastAsia="仿宋_GB2312" w:cs="仿宋_GB2312"/>
          <w:sz w:val="30"/>
          <w:szCs w:val="30"/>
          <w:lang w:val="en-US" w:eastAsia="zh-CN"/>
        </w:rPr>
        <w:t>503</w:t>
      </w:r>
      <w:r>
        <w:rPr>
          <w:rFonts w:hint="eastAsia" w:ascii="仿宋_GB2312" w:hAnsi="仿宋_GB2312" w:eastAsia="仿宋_GB2312" w:cs="仿宋_GB2312"/>
          <w:sz w:val="30"/>
          <w:szCs w:val="30"/>
        </w:rPr>
        <w:t>人，其中行政编制</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16</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人，事业编制</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487</w:t>
      </w:r>
      <w:r>
        <w:rPr>
          <w:rFonts w:hint="eastAsia" w:ascii="仿宋_GB2312" w:hAnsi="仿宋_GB2312" w:eastAsia="仿宋_GB2312" w:cs="仿宋_GB2312"/>
          <w:sz w:val="30"/>
          <w:szCs w:val="30"/>
        </w:rPr>
        <w:t>人；年末实有人数</w:t>
      </w:r>
      <w:r>
        <w:rPr>
          <w:rFonts w:hint="eastAsia" w:ascii="仿宋_GB2312" w:hAnsi="仿宋_GB2312" w:eastAsia="仿宋_GB2312" w:cs="仿宋_GB2312"/>
          <w:sz w:val="30"/>
          <w:szCs w:val="30"/>
          <w:lang w:val="en-US" w:eastAsia="zh-CN"/>
        </w:rPr>
        <w:t>756</w:t>
      </w:r>
      <w:r>
        <w:rPr>
          <w:rFonts w:hint="eastAsia" w:ascii="仿宋_GB2312" w:hAnsi="仿宋_GB2312" w:eastAsia="仿宋_GB2312" w:cs="仿宋_GB2312"/>
          <w:sz w:val="30"/>
          <w:szCs w:val="30"/>
        </w:rPr>
        <w:t>人，其中在职人员</w:t>
      </w:r>
      <w:r>
        <w:rPr>
          <w:rFonts w:hint="eastAsia" w:ascii="仿宋_GB2312" w:hAnsi="仿宋_GB2312" w:eastAsia="仿宋_GB2312" w:cs="仿宋_GB2312"/>
          <w:sz w:val="30"/>
          <w:szCs w:val="30"/>
          <w:lang w:val="en-US" w:eastAsia="zh-CN"/>
        </w:rPr>
        <w:t>663</w:t>
      </w:r>
      <w:r>
        <w:rPr>
          <w:rFonts w:hint="eastAsia" w:ascii="仿宋_GB2312" w:hAnsi="仿宋_GB2312" w:eastAsia="仿宋_GB2312" w:cs="仿宋_GB2312"/>
          <w:sz w:val="30"/>
          <w:szCs w:val="30"/>
        </w:rPr>
        <w:t>人，离休人员</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人，退休人员</w:t>
      </w:r>
      <w:r>
        <w:rPr>
          <w:rFonts w:hint="eastAsia" w:ascii="仿宋_GB2312" w:hAnsi="仿宋_GB2312" w:eastAsia="仿宋_GB2312" w:cs="仿宋_GB2312"/>
          <w:sz w:val="30"/>
          <w:szCs w:val="30"/>
          <w:lang w:val="en-US" w:eastAsia="zh-CN"/>
        </w:rPr>
        <w:t>29</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人；</w:t>
      </w:r>
      <w:r>
        <w:rPr>
          <w:rFonts w:hint="eastAsia" w:ascii="仿宋_GB2312" w:hAnsi="仿宋_GB2312" w:eastAsia="仿宋_GB2312" w:cs="仿宋_GB2312"/>
          <w:sz w:val="30"/>
          <w:szCs w:val="30"/>
          <w:lang w:eastAsia="zh-CN"/>
        </w:rPr>
        <w:t>遗嘱补助人员</w:t>
      </w:r>
      <w:r>
        <w:rPr>
          <w:rFonts w:hint="eastAsia" w:ascii="仿宋_GB2312" w:hAnsi="仿宋_GB2312" w:eastAsia="仿宋_GB2312" w:cs="仿宋_GB2312"/>
          <w:sz w:val="30"/>
          <w:szCs w:val="30"/>
          <w:lang w:val="en-US" w:eastAsia="zh-CN"/>
        </w:rPr>
        <w:t>13人，其他人员50人</w:t>
      </w:r>
      <w:r>
        <w:rPr>
          <w:rFonts w:hint="eastAsia" w:ascii="仿宋_GB2312" w:hAnsi="仿宋_GB2312" w:eastAsia="仿宋_GB2312" w:cs="仿宋_GB2312"/>
          <w:sz w:val="30"/>
          <w:szCs w:val="30"/>
        </w:rPr>
        <w:t>。</w:t>
      </w:r>
    </w:p>
    <w:p>
      <w:pPr>
        <w:spacing w:line="240" w:lineRule="exact"/>
        <w:ind w:firstLine="629"/>
        <w:jc w:val="left"/>
        <w:rPr>
          <w:rFonts w:ascii="仿宋_GB2312" w:hAnsi="仿宋_GB2312" w:eastAsia="仿宋_GB2312"/>
          <w:sz w:val="30"/>
          <w:szCs w:val="30"/>
        </w:rPr>
      </w:pPr>
    </w:p>
    <w:p>
      <w:pPr>
        <w:widowControl/>
        <w:spacing w:line="560" w:lineRule="exact"/>
        <w:ind w:firstLine="640"/>
        <w:jc w:val="center"/>
        <w:rPr>
          <w:rFonts w:ascii="黑体" w:hAnsi="黑体" w:eastAsia="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2017</w:t>
      </w:r>
      <w:r>
        <w:rPr>
          <w:rFonts w:hint="eastAsia" w:ascii="黑体" w:hAnsi="黑体" w:eastAsia="黑体" w:cs="黑体"/>
          <w:sz w:val="32"/>
          <w:szCs w:val="32"/>
        </w:rPr>
        <w:t>年度部门决算表</w:t>
      </w:r>
    </w:p>
    <w:p>
      <w:pPr>
        <w:spacing w:line="580" w:lineRule="exact"/>
        <w:ind w:firstLine="629"/>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见附表</w:t>
      </w:r>
    </w:p>
    <w:p>
      <w:pPr>
        <w:widowControl/>
        <w:spacing w:line="560" w:lineRule="exact"/>
        <w:ind w:firstLine="640"/>
        <w:jc w:val="center"/>
        <w:rPr>
          <w:rFonts w:ascii="黑体" w:hAnsi="黑体" w:eastAsia="黑体"/>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2017</w:t>
      </w:r>
      <w:r>
        <w:rPr>
          <w:rFonts w:hint="eastAsia" w:ascii="黑体" w:hAnsi="黑体" w:eastAsia="黑体" w:cs="黑体"/>
          <w:sz w:val="32"/>
          <w:szCs w:val="32"/>
        </w:rPr>
        <w:t>年度部门决算情况说明</w:t>
      </w:r>
    </w:p>
    <w:p>
      <w:pPr>
        <w:widowControl/>
        <w:spacing w:line="240" w:lineRule="exact"/>
        <w:jc w:val="center"/>
        <w:rPr>
          <w:rFonts w:ascii="黑体" w:hAnsi="黑体" w:eastAsia="黑体"/>
          <w:b/>
          <w:bCs/>
          <w:sz w:val="32"/>
          <w:szCs w:val="32"/>
        </w:rPr>
      </w:pPr>
    </w:p>
    <w:p>
      <w:pPr>
        <w:widowControl/>
        <w:spacing w:line="600" w:lineRule="exact"/>
        <w:ind w:firstLine="640" w:firstLineChars="200"/>
        <w:rPr>
          <w:rFonts w:ascii="黑体" w:hAnsi="黑体" w:eastAsia="黑体"/>
          <w:sz w:val="32"/>
          <w:szCs w:val="32"/>
        </w:rPr>
      </w:pPr>
      <w:r>
        <w:rPr>
          <w:rFonts w:hint="eastAsia" w:ascii="黑体" w:hAnsi="黑体" w:eastAsia="黑体" w:cs="黑体"/>
          <w:sz w:val="32"/>
          <w:szCs w:val="32"/>
        </w:rPr>
        <w:t>一、收入决算情况说明</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年度收入总计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13414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万元，其中年初结转和结余</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1245.5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1486.5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12.46</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；本年收入合计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12144.5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1882.44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18.34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项目资金的增加和医疗服务能力的提升，收入趋于上升趋势</w:t>
      </w:r>
      <w:r>
        <w:rPr>
          <w:rFonts w:hint="eastAsia" w:ascii="仿宋_GB2312" w:hAnsi="仿宋_GB2312" w:eastAsia="仿宋_GB2312" w:cs="仿宋_GB2312"/>
          <w:sz w:val="32"/>
          <w:szCs w:val="32"/>
        </w:rPr>
        <w:t>。</w:t>
      </w:r>
    </w:p>
    <w:p>
      <w:pPr>
        <w:pStyle w:val="6"/>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本年收入的具体构成为：财政拨款收入</w:t>
      </w:r>
      <w:r>
        <w:rPr>
          <w:rFonts w:hint="eastAsia" w:ascii="仿宋_GB2312" w:hAnsi="仿宋_GB2312" w:eastAsia="仿宋_GB2312" w:cs="仿宋_GB2312"/>
          <w:sz w:val="32"/>
          <w:szCs w:val="32"/>
          <w:lang w:val="en-US" w:eastAsia="zh-CN"/>
        </w:rPr>
        <w:t>6389.23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52.6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5561.74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45.8</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193.53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1.6</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ind w:firstLine="630"/>
        <w:jc w:val="left"/>
        <w:rPr>
          <w:rFonts w:ascii="黑体" w:hAnsi="黑体" w:eastAsia="黑体"/>
          <w:sz w:val="32"/>
          <w:szCs w:val="32"/>
        </w:rPr>
      </w:pPr>
      <w:r>
        <w:rPr>
          <w:rFonts w:hint="eastAsia" w:ascii="黑体" w:hAnsi="黑体" w:eastAsia="黑体" w:cs="黑体"/>
          <w:sz w:val="32"/>
          <w:szCs w:val="32"/>
        </w:rPr>
        <w:t>二、支出决算情况说明</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年度支出总计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13414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万元，其中本年支出合计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11501.4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923.9</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8.73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项目资金的增加及收入支出成正比</w:t>
      </w:r>
      <w:r>
        <w:rPr>
          <w:rFonts w:hint="eastAsia" w:ascii="仿宋_GB2312" w:hAnsi="仿宋_GB2312" w:eastAsia="仿宋_GB2312" w:cs="仿宋_GB2312"/>
          <w:sz w:val="32"/>
          <w:szCs w:val="32"/>
        </w:rPr>
        <w:t>；年末结转和结余</w:t>
      </w:r>
      <w:r>
        <w:rPr>
          <w:rFonts w:hint="eastAsia" w:ascii="仿宋_GB2312" w:hAnsi="仿宋_GB2312" w:eastAsia="仿宋_GB2312" w:cs="仿宋_GB2312"/>
          <w:sz w:val="32"/>
          <w:szCs w:val="32"/>
          <w:lang w:val="en-US" w:eastAsia="zh-CN"/>
        </w:rPr>
        <w:t>1539.55</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284.71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22.69</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项目资金的连续使用</w:t>
      </w:r>
      <w:r>
        <w:rPr>
          <w:rFonts w:hint="eastAsia" w:ascii="仿宋_GB2312" w:hAnsi="仿宋_GB2312" w:eastAsia="仿宋_GB2312" w:cs="仿宋_GB2312"/>
          <w:sz w:val="32"/>
          <w:szCs w:val="32"/>
        </w:rPr>
        <w:t>。</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本年支出的具体构成为：基本支出</w:t>
      </w:r>
      <w:r>
        <w:rPr>
          <w:rFonts w:hint="eastAsia" w:ascii="仿宋_GB2312" w:hAnsi="仿宋_GB2312" w:eastAsia="仿宋_GB2312" w:cs="仿宋_GB2312"/>
          <w:sz w:val="32"/>
          <w:szCs w:val="32"/>
          <w:lang w:val="en-US" w:eastAsia="zh-CN"/>
        </w:rPr>
        <w:t>9557.9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83.1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1943.47</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16.9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；其他支出（对附属单位补助支出、上缴上级支出）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p>
    <w:p>
      <w:pPr>
        <w:ind w:firstLine="630"/>
        <w:jc w:val="left"/>
        <w:rPr>
          <w:rFonts w:ascii="黑体" w:hAnsi="黑体" w:eastAsia="黑体"/>
          <w:sz w:val="32"/>
          <w:szCs w:val="32"/>
        </w:rPr>
      </w:pPr>
      <w:r>
        <w:rPr>
          <w:rFonts w:hint="eastAsia" w:ascii="黑体" w:hAnsi="黑体" w:eastAsia="黑体" w:cs="黑体"/>
          <w:sz w:val="32"/>
          <w:szCs w:val="32"/>
        </w:rPr>
        <w:t>三、财政拨款支出决算情况说明</w:t>
      </w:r>
    </w:p>
    <w:p>
      <w:pPr>
        <w:pStyle w:val="6"/>
        <w:spacing w:line="56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年度财政拨款本年支出年初预算数为</w:t>
      </w:r>
      <w:r>
        <w:rPr>
          <w:rFonts w:hint="eastAsia" w:ascii="仿宋_GB2312" w:hAnsi="仿宋_GB2312" w:eastAsia="仿宋_GB2312" w:cs="仿宋_GB2312"/>
          <w:sz w:val="32"/>
          <w:szCs w:val="32"/>
          <w:lang w:val="en-US" w:eastAsia="zh-CN"/>
        </w:rPr>
        <w:t>3999.35</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6095.19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152.4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pStyle w:val="6"/>
        <w:spacing w:line="360" w:lineRule="auto"/>
        <w:ind w:firstLine="601"/>
        <w:rPr>
          <w:rFonts w:hint="eastAsia" w:ascii="仿宋" w:hAnsi="仿宋" w:eastAsia="仿宋" w:cs="仿宋"/>
          <w:sz w:val="32"/>
          <w:szCs w:val="32"/>
          <w:lang w:val="en-US" w:eastAsia="zh-CN"/>
        </w:rPr>
      </w:pPr>
      <w:r>
        <w:rPr>
          <w:rFonts w:hint="eastAsia" w:ascii="仿宋" w:hAnsi="仿宋" w:eastAsia="仿宋" w:cs="仿宋"/>
          <w:sz w:val="32"/>
          <w:szCs w:val="32"/>
        </w:rPr>
        <w:t xml:space="preserve">（一）社会保障和就业支出年初预算数为 </w:t>
      </w:r>
      <w:r>
        <w:rPr>
          <w:rFonts w:hint="eastAsia" w:ascii="仿宋" w:hAnsi="仿宋" w:eastAsia="仿宋" w:cs="仿宋"/>
          <w:sz w:val="32"/>
          <w:szCs w:val="32"/>
          <w:lang w:val="en-US" w:eastAsia="zh-CN"/>
        </w:rPr>
        <w:t>18.08</w:t>
      </w:r>
      <w:r>
        <w:rPr>
          <w:rFonts w:hint="eastAsia" w:ascii="仿宋" w:hAnsi="仿宋" w:eastAsia="仿宋" w:cs="仿宋"/>
          <w:sz w:val="32"/>
          <w:szCs w:val="32"/>
        </w:rPr>
        <w:t>万元，决算数为</w:t>
      </w:r>
      <w:r>
        <w:rPr>
          <w:rFonts w:hint="eastAsia" w:ascii="仿宋" w:hAnsi="仿宋" w:eastAsia="仿宋" w:cs="仿宋"/>
          <w:sz w:val="32"/>
          <w:szCs w:val="32"/>
          <w:lang w:val="en-US" w:eastAsia="zh-CN"/>
        </w:rPr>
        <w:t>18.08</w:t>
      </w:r>
      <w:r>
        <w:rPr>
          <w:rFonts w:hint="eastAsia" w:ascii="仿宋" w:hAnsi="仿宋" w:eastAsia="仿宋" w:cs="仿宋"/>
          <w:sz w:val="32"/>
          <w:szCs w:val="32"/>
        </w:rPr>
        <w:t xml:space="preserve"> 万元，完成年初预算的 </w:t>
      </w:r>
      <w:r>
        <w:rPr>
          <w:rFonts w:hint="eastAsia" w:ascii="仿宋" w:hAnsi="仿宋" w:eastAsia="仿宋" w:cs="仿宋"/>
          <w:sz w:val="32"/>
          <w:szCs w:val="32"/>
          <w:lang w:val="en-US" w:eastAsia="zh-CN"/>
        </w:rPr>
        <w:t>100</w:t>
      </w:r>
      <w:r>
        <w:rPr>
          <w:rFonts w:hint="eastAsia" w:ascii="仿宋" w:hAnsi="仿宋" w:eastAsia="仿宋" w:cs="仿宋"/>
          <w:sz w:val="32"/>
          <w:szCs w:val="32"/>
        </w:rPr>
        <w:t xml:space="preserve"> %</w:t>
      </w:r>
      <w:r>
        <w:rPr>
          <w:rFonts w:hint="eastAsia" w:ascii="仿宋" w:hAnsi="仿宋" w:eastAsia="仿宋" w:cs="仿宋"/>
          <w:sz w:val="32"/>
          <w:szCs w:val="32"/>
          <w:lang w:eastAsia="zh-CN"/>
        </w:rPr>
        <w:t>。</w:t>
      </w:r>
    </w:p>
    <w:p>
      <w:pPr>
        <w:pStyle w:val="6"/>
        <w:spacing w:line="560" w:lineRule="exact"/>
        <w:ind w:firstLine="601"/>
        <w:rPr>
          <w:rFonts w:hint="eastAsia" w:ascii="仿宋" w:hAnsi="仿宋" w:eastAsia="仿宋" w:cs="仿宋"/>
          <w:sz w:val="32"/>
          <w:szCs w:val="32"/>
          <w:lang w:eastAsia="zh-CN"/>
        </w:rPr>
      </w:pPr>
      <w:r>
        <w:rPr>
          <w:rFonts w:hint="eastAsia" w:ascii="仿宋" w:hAnsi="仿宋" w:eastAsia="仿宋" w:cs="仿宋"/>
          <w:sz w:val="32"/>
          <w:szCs w:val="32"/>
        </w:rPr>
        <w:t>（二）医疗卫生与计划生育支出年初预算数为</w:t>
      </w:r>
      <w:r>
        <w:rPr>
          <w:rFonts w:hint="eastAsia" w:ascii="仿宋" w:hAnsi="仿宋" w:eastAsia="仿宋" w:cs="仿宋"/>
          <w:sz w:val="32"/>
          <w:szCs w:val="32"/>
          <w:lang w:val="en-US" w:eastAsia="zh-CN"/>
        </w:rPr>
        <w:t>3935.09</w:t>
      </w:r>
      <w:r>
        <w:rPr>
          <w:rFonts w:hint="eastAsia" w:ascii="仿宋" w:hAnsi="仿宋" w:eastAsia="仿宋" w:cs="仿宋"/>
          <w:sz w:val="32"/>
          <w:szCs w:val="32"/>
        </w:rPr>
        <w:t>万元，决算数为</w:t>
      </w:r>
      <w:r>
        <w:rPr>
          <w:rFonts w:hint="eastAsia" w:ascii="仿宋" w:hAnsi="仿宋" w:eastAsia="仿宋" w:cs="仿宋"/>
          <w:sz w:val="32"/>
          <w:szCs w:val="32"/>
          <w:lang w:val="en-US" w:eastAsia="zh-CN"/>
        </w:rPr>
        <w:t>6012.84</w:t>
      </w:r>
      <w:r>
        <w:rPr>
          <w:rFonts w:hint="eastAsia" w:ascii="仿宋" w:hAnsi="仿宋" w:eastAsia="仿宋" w:cs="仿宋"/>
          <w:sz w:val="32"/>
          <w:szCs w:val="32"/>
        </w:rPr>
        <w:t xml:space="preserve">万元，完成年初预算的 </w:t>
      </w:r>
      <w:r>
        <w:rPr>
          <w:rFonts w:hint="eastAsia" w:ascii="仿宋" w:hAnsi="仿宋" w:eastAsia="仿宋" w:cs="仿宋"/>
          <w:sz w:val="32"/>
          <w:szCs w:val="32"/>
          <w:lang w:val="en-US" w:eastAsia="zh-CN"/>
        </w:rPr>
        <w:t>152.8</w:t>
      </w:r>
      <w:r>
        <w:rPr>
          <w:rFonts w:hint="eastAsia" w:ascii="仿宋" w:hAnsi="仿宋" w:eastAsia="仿宋" w:cs="仿宋"/>
          <w:sz w:val="32"/>
          <w:szCs w:val="32"/>
        </w:rPr>
        <w:t>%，主要原因是：</w:t>
      </w:r>
      <w:r>
        <w:rPr>
          <w:rFonts w:hint="eastAsia" w:ascii="仿宋" w:hAnsi="仿宋" w:eastAsia="仿宋" w:cs="仿宋"/>
          <w:sz w:val="32"/>
          <w:szCs w:val="32"/>
          <w:lang w:eastAsia="zh-CN"/>
        </w:rPr>
        <w:t>项目支出提高，医疗服务能力提升。</w:t>
      </w:r>
    </w:p>
    <w:p>
      <w:pPr>
        <w:pStyle w:val="6"/>
        <w:spacing w:line="560" w:lineRule="exact"/>
        <w:ind w:firstLine="601"/>
        <w:rPr>
          <w:rFonts w:hint="eastAsia" w:ascii="仿宋" w:hAnsi="仿宋" w:eastAsia="仿宋" w:cs="仿宋"/>
          <w:sz w:val="32"/>
          <w:szCs w:val="32"/>
          <w:lang w:eastAsia="zh-CN"/>
        </w:rPr>
      </w:pPr>
      <w:r>
        <w:rPr>
          <w:rFonts w:hint="eastAsia" w:ascii="仿宋" w:hAnsi="仿宋" w:eastAsia="仿宋" w:cs="仿宋"/>
          <w:sz w:val="32"/>
          <w:szCs w:val="32"/>
          <w:lang w:eastAsia="zh-CN"/>
        </w:rPr>
        <w:t>（三）住房保障支出</w:t>
      </w:r>
      <w:r>
        <w:rPr>
          <w:rFonts w:hint="eastAsia" w:ascii="仿宋" w:hAnsi="仿宋" w:eastAsia="仿宋" w:cs="仿宋"/>
          <w:sz w:val="32"/>
          <w:szCs w:val="32"/>
        </w:rPr>
        <w:t>年初预算数为</w:t>
      </w:r>
      <w:r>
        <w:rPr>
          <w:rFonts w:hint="eastAsia" w:ascii="仿宋" w:hAnsi="仿宋" w:eastAsia="仿宋" w:cs="仿宋"/>
          <w:sz w:val="32"/>
          <w:szCs w:val="32"/>
          <w:lang w:val="en-US" w:eastAsia="zh-CN"/>
        </w:rPr>
        <w:t>46.18</w:t>
      </w:r>
      <w:r>
        <w:rPr>
          <w:rFonts w:hint="eastAsia" w:ascii="仿宋" w:hAnsi="仿宋" w:eastAsia="仿宋" w:cs="仿宋"/>
          <w:sz w:val="32"/>
          <w:szCs w:val="32"/>
        </w:rPr>
        <w:t>万元，决算数为</w:t>
      </w:r>
      <w:r>
        <w:rPr>
          <w:rFonts w:hint="eastAsia" w:ascii="仿宋" w:hAnsi="仿宋" w:eastAsia="仿宋" w:cs="仿宋"/>
          <w:sz w:val="32"/>
          <w:szCs w:val="32"/>
          <w:lang w:val="en-US" w:eastAsia="zh-CN"/>
        </w:rPr>
        <w:t>64.27</w:t>
      </w:r>
      <w:r>
        <w:rPr>
          <w:rFonts w:hint="eastAsia" w:ascii="仿宋" w:hAnsi="仿宋" w:eastAsia="仿宋" w:cs="仿宋"/>
          <w:sz w:val="32"/>
          <w:szCs w:val="32"/>
        </w:rPr>
        <w:t xml:space="preserve">万元，完成年初预算的 </w:t>
      </w:r>
      <w:r>
        <w:rPr>
          <w:rFonts w:hint="eastAsia" w:ascii="仿宋" w:hAnsi="仿宋" w:eastAsia="仿宋" w:cs="仿宋"/>
          <w:sz w:val="32"/>
          <w:szCs w:val="32"/>
          <w:lang w:val="en-US" w:eastAsia="zh-CN"/>
        </w:rPr>
        <w:t>139.17</w:t>
      </w:r>
      <w:r>
        <w:rPr>
          <w:rFonts w:hint="eastAsia" w:ascii="仿宋" w:hAnsi="仿宋" w:eastAsia="仿宋" w:cs="仿宋"/>
          <w:sz w:val="32"/>
          <w:szCs w:val="32"/>
        </w:rPr>
        <w:t>%，主要原因是：</w:t>
      </w:r>
      <w:r>
        <w:rPr>
          <w:rFonts w:hint="eastAsia" w:ascii="仿宋" w:hAnsi="仿宋" w:eastAsia="仿宋" w:cs="仿宋"/>
          <w:sz w:val="32"/>
          <w:szCs w:val="32"/>
          <w:lang w:eastAsia="zh-CN"/>
        </w:rPr>
        <w:t>住房公积金的提高及人员变动。</w:t>
      </w:r>
      <w:bookmarkStart w:id="0" w:name="_GoBack"/>
      <w:bookmarkEnd w:id="0"/>
    </w:p>
    <w:p>
      <w:pPr>
        <w:ind w:firstLine="630"/>
        <w:jc w:val="left"/>
        <w:rPr>
          <w:rFonts w:ascii="黑体" w:hAnsi="黑体" w:eastAsia="黑体"/>
          <w:sz w:val="32"/>
          <w:szCs w:val="32"/>
        </w:rPr>
      </w:pPr>
      <w:r>
        <w:rPr>
          <w:rFonts w:hint="eastAsia" w:ascii="黑体" w:hAnsi="黑体" w:eastAsia="黑体" w:cs="黑体"/>
          <w:sz w:val="32"/>
          <w:szCs w:val="32"/>
        </w:rPr>
        <w:t>四、一般公共预算财政拨款基本支出决算情况说明</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6095.2</w:t>
      </w:r>
      <w:r>
        <w:rPr>
          <w:rFonts w:hint="eastAsia" w:ascii="仿宋_GB2312" w:hAnsi="仿宋_GB2312" w:eastAsia="仿宋_GB2312" w:cs="仿宋_GB2312"/>
          <w:sz w:val="32"/>
          <w:szCs w:val="32"/>
        </w:rPr>
        <w:t>万元，其中：</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（一）工资福利支出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3648.85</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5.7</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0.16</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人员变动</w:t>
      </w:r>
      <w:r>
        <w:rPr>
          <w:rFonts w:hint="eastAsia" w:ascii="仿宋_GB2312" w:hAnsi="仿宋_GB2312" w:eastAsia="仿宋_GB2312" w:cs="仿宋_GB2312"/>
          <w:sz w:val="32"/>
          <w:szCs w:val="32"/>
        </w:rPr>
        <w:t>。</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（二）商品和服务支出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1644.3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1598.18</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49.29</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节约开支</w:t>
      </w:r>
      <w:r>
        <w:rPr>
          <w:rFonts w:hint="eastAsia" w:ascii="仿宋_GB2312" w:hAnsi="仿宋_GB2312" w:eastAsia="仿宋_GB2312" w:cs="仿宋_GB2312"/>
          <w:sz w:val="32"/>
          <w:szCs w:val="32"/>
        </w:rPr>
        <w:t>。</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（三）对个人和家庭补助支出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676.76</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497.96</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42.39</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退休人员纳入社保管理</w:t>
      </w:r>
      <w:r>
        <w:rPr>
          <w:rFonts w:hint="eastAsia" w:ascii="仿宋_GB2312" w:hAnsi="仿宋_GB2312" w:eastAsia="仿宋_GB2312" w:cs="仿宋_GB2312"/>
          <w:sz w:val="32"/>
          <w:szCs w:val="32"/>
        </w:rPr>
        <w:t>。</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（四）其他资本性支出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125.28</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132.9</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51.48</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设备购置减少</w:t>
      </w:r>
      <w:r>
        <w:rPr>
          <w:rFonts w:hint="eastAsia" w:ascii="仿宋_GB2312" w:hAnsi="仿宋_GB2312" w:eastAsia="仿宋_GB2312" w:cs="仿宋_GB2312"/>
          <w:sz w:val="32"/>
          <w:szCs w:val="32"/>
        </w:rPr>
        <w:t>。</w:t>
      </w:r>
    </w:p>
    <w:p>
      <w:pPr>
        <w:pStyle w:val="6"/>
        <w:spacing w:line="560" w:lineRule="exact"/>
        <w:ind w:firstLine="601"/>
        <w:rPr>
          <w:rFonts w:ascii="黑体" w:hAnsi="黑体" w:eastAsia="黑体"/>
          <w:kern w:val="2"/>
          <w:sz w:val="32"/>
          <w:szCs w:val="32"/>
        </w:rPr>
      </w:pPr>
      <w:r>
        <w:rPr>
          <w:rFonts w:hint="eastAsia" w:ascii="黑体" w:hAnsi="黑体" w:eastAsia="黑体" w:cs="黑体"/>
          <w:kern w:val="2"/>
          <w:sz w:val="32"/>
          <w:szCs w:val="32"/>
        </w:rPr>
        <w:t>五、一般公共预算财政拨款“三公”经费支出决算情况说明</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年度一般公共预算财政拨款“三公”经费支出年初预算数为</w:t>
      </w: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44.5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58.55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40.59</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47.7</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，其中：</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（一）因公出国（境）支出年初预算数为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年增加（减少）</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万元，增长（下降）</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（二）公务接待费支出年初预算数为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63.8</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34.5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54.08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25.7</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42.69</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减少了来人招待，节约了招待开支</w:t>
      </w:r>
      <w:r>
        <w:rPr>
          <w:rFonts w:hint="eastAsia" w:ascii="仿宋_GB2312" w:hAnsi="仿宋_GB2312" w:eastAsia="仿宋_GB2312" w:cs="仿宋_GB2312"/>
          <w:sz w:val="32"/>
          <w:szCs w:val="32"/>
        </w:rPr>
        <w:t>。</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（三）公务用车购置及运行维护费支出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12.4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万元，其中公务用车购置年初预算数为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年增加（减少）</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万元，增长（下降）</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。主要原因是：……；公务用车运行维护费支出年初预算数为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12.4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10.2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82.26</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14.7</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52.69</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公车改革节约了交通开支</w:t>
      </w:r>
      <w:r>
        <w:rPr>
          <w:rFonts w:hint="eastAsia" w:ascii="仿宋_GB2312" w:hAnsi="仿宋_GB2312" w:eastAsia="仿宋_GB2312" w:cs="仿宋_GB2312"/>
          <w:sz w:val="32"/>
          <w:szCs w:val="32"/>
        </w:rPr>
        <w:t>。</w:t>
      </w:r>
    </w:p>
    <w:p>
      <w:pPr>
        <w:pStyle w:val="6"/>
        <w:spacing w:line="560" w:lineRule="exact"/>
        <w:ind w:firstLine="601"/>
        <w:rPr>
          <w:rFonts w:ascii="黑体" w:hAnsi="黑体" w:eastAsia="黑体"/>
          <w:kern w:val="2"/>
          <w:sz w:val="32"/>
          <w:szCs w:val="32"/>
        </w:rPr>
      </w:pPr>
      <w:r>
        <w:rPr>
          <w:rFonts w:hint="eastAsia" w:ascii="黑体" w:hAnsi="黑体" w:eastAsia="黑体" w:cs="黑体"/>
          <w:kern w:val="2"/>
          <w:sz w:val="32"/>
          <w:szCs w:val="32"/>
        </w:rPr>
        <w:t>六、机关运行经费支出情况说明</w:t>
      </w:r>
    </w:p>
    <w:p>
      <w:pPr>
        <w:pStyle w:val="6"/>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年度机关运行经费支出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254.96</w:t>
      </w:r>
      <w:r>
        <w:rPr>
          <w:rFonts w:hint="eastAsia" w:ascii="仿宋_GB2312" w:hAnsi="仿宋_GB2312" w:eastAsia="仿宋_GB2312" w:cs="仿宋_GB2312"/>
          <w:sz w:val="32"/>
          <w:szCs w:val="32"/>
        </w:rPr>
        <w:t>万元（与部门决算中行政单位和参照公务员法管理事业单位一般公共预算财政拨款基本支出中公用经费保持一致），较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110.96</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77</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各项开支成本提高</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pStyle w:val="6"/>
        <w:spacing w:line="560" w:lineRule="exact"/>
        <w:ind w:firstLine="601"/>
        <w:rPr>
          <w:rFonts w:ascii="黑体" w:hAnsi="黑体" w:eastAsia="黑体"/>
          <w:kern w:val="2"/>
          <w:sz w:val="32"/>
          <w:szCs w:val="32"/>
        </w:rPr>
      </w:pPr>
      <w:r>
        <w:rPr>
          <w:rFonts w:hint="eastAsia" w:ascii="黑体" w:hAnsi="黑体" w:eastAsia="黑体" w:cs="黑体"/>
          <w:kern w:val="2"/>
          <w:sz w:val="32"/>
          <w:szCs w:val="32"/>
        </w:rPr>
        <w:t>七、政府采购支出情况说明</w:t>
      </w:r>
    </w:p>
    <w:p>
      <w:pPr>
        <w:pStyle w:val="6"/>
        <w:spacing w:line="600" w:lineRule="exact"/>
        <w:ind w:firstLine="600"/>
        <w:rPr>
          <w:rFonts w:ascii="仿宋_GB2312" w:hAnsi="仿宋_GB2312" w:eastAsia="仿宋_GB2312"/>
          <w:sz w:val="32"/>
          <w:szCs w:val="32"/>
        </w:rPr>
      </w:pPr>
      <w:r>
        <w:rPr>
          <w:rFonts w:hint="eastAsia" w:ascii="仿宋_GB2312" w:hAnsi="仿宋_GB2312" w:eastAsia="仿宋_GB2312" w:cs="仿宋_GB2312"/>
          <w:sz w:val="32"/>
          <w:szCs w:val="32"/>
          <w:lang w:val="en-US" w:eastAsia="zh-CN"/>
        </w:rPr>
        <w:t>2017年部门决算数据无反应</w:t>
      </w:r>
      <w:r>
        <w:rPr>
          <w:rFonts w:hint="eastAsia" w:ascii="仿宋_GB2312" w:hAnsi="仿宋_GB2312" w:eastAsia="仿宋_GB2312" w:cs="仿宋_GB2312"/>
          <w:sz w:val="32"/>
          <w:szCs w:val="32"/>
        </w:rPr>
        <w:t>（市级部门公开的政府采购金额的计算口径为：本部门纳入</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年部门预算范围的各项政府采购支出金额之和，并做好与</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年度政府采购信息统计报表中“政府采购资金情况表”有关数据的衔接。）</w:t>
      </w:r>
    </w:p>
    <w:p>
      <w:pPr>
        <w:spacing w:line="600" w:lineRule="exact"/>
        <w:ind w:firstLine="630"/>
        <w:jc w:val="left"/>
        <w:rPr>
          <w:rFonts w:ascii="黑体" w:hAnsi="黑体" w:eastAsia="黑体"/>
          <w:sz w:val="32"/>
          <w:szCs w:val="32"/>
        </w:rPr>
      </w:pPr>
      <w:r>
        <w:rPr>
          <w:rFonts w:hint="eastAsia" w:ascii="黑体" w:hAnsi="黑体" w:eastAsia="黑体" w:cs="黑体"/>
          <w:sz w:val="32"/>
          <w:szCs w:val="32"/>
        </w:rPr>
        <w:t>八、预算绩效情况说明</w:t>
      </w:r>
    </w:p>
    <w:p>
      <w:pPr>
        <w:autoSpaceDE w:val="0"/>
        <w:autoSpaceDN w:val="0"/>
        <w:adjustRightInd w:val="0"/>
        <w:spacing w:line="600" w:lineRule="exact"/>
        <w:ind w:firstLine="640"/>
        <w:jc w:val="left"/>
        <w:rPr>
          <w:rFonts w:hint="eastAsia" w:ascii="仿宋_GB2312" w:hAnsi="仿宋_GB2312" w:eastAsia="仿宋_GB2312"/>
          <w:kern w:val="0"/>
          <w:sz w:val="32"/>
          <w:szCs w:val="32"/>
          <w:lang w:eastAsia="zh-CN"/>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本部门无绩效评价指标</w:t>
      </w:r>
    </w:p>
    <w:p>
      <w:pPr>
        <w:autoSpaceDE w:val="0"/>
        <w:autoSpaceDN w:val="0"/>
        <w:adjustRightInd w:val="0"/>
        <w:spacing w:line="600" w:lineRule="exact"/>
        <w:ind w:firstLine="641"/>
        <w:jc w:val="left"/>
        <w:rPr>
          <w:rFonts w:ascii="仿宋_GB2312" w:hAnsi="仿宋_GB2312" w:eastAsia="仿宋_GB2312"/>
          <w:kern w:val="0"/>
          <w:sz w:val="32"/>
          <w:szCs w:val="32"/>
        </w:rPr>
      </w:pPr>
    </w:p>
    <w:p>
      <w:pPr>
        <w:widowControl/>
        <w:spacing w:line="600" w:lineRule="exact"/>
        <w:ind w:firstLine="640"/>
        <w:jc w:val="center"/>
        <w:rPr>
          <w:rFonts w:hint="eastAsia" w:ascii="黑体" w:hAnsi="黑体" w:eastAsia="黑体" w:cs="黑体"/>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widowControl/>
        <w:spacing w:line="600" w:lineRule="exact"/>
        <w:ind w:firstLine="640"/>
        <w:jc w:val="center"/>
        <w:rPr>
          <w:rFonts w:hint="eastAsia" w:ascii="黑体" w:hAnsi="黑体" w:eastAsia="黑体" w:cs="黑体"/>
          <w:sz w:val="10"/>
          <w:szCs w:val="10"/>
        </w:rPr>
      </w:pPr>
    </w:p>
    <w:p>
      <w:pPr>
        <w:widowControl/>
        <w:shd w:val="clear" w:color="auto" w:fill="FFFFFF"/>
        <w:spacing w:line="400" w:lineRule="exact"/>
        <w:ind w:firstLine="640" w:firstLineChars="200"/>
        <w:jc w:val="left"/>
        <w:rPr>
          <w:rFonts w:hint="eastAsia" w:ascii="仿宋" w:hAnsi="仿宋" w:eastAsia="仿宋"/>
          <w:color w:val="333333"/>
          <w:kern w:val="0"/>
          <w:sz w:val="32"/>
          <w:szCs w:val="32"/>
        </w:rPr>
      </w:pPr>
      <w:r>
        <w:rPr>
          <w:rFonts w:hint="eastAsia" w:ascii="仿宋" w:hAnsi="仿宋" w:eastAsia="仿宋"/>
          <w:color w:val="333333"/>
          <w:kern w:val="0"/>
          <w:sz w:val="32"/>
          <w:szCs w:val="32"/>
        </w:rPr>
        <w:t>对部门决算中涉及的收入科目、支出功能分类科目（明细到项级），结合部门实际，参照《2017年政府收支分类科目》的规范说明进行解释。</w:t>
      </w:r>
    </w:p>
    <w:p>
      <w:pPr>
        <w:widowControl/>
        <w:shd w:val="clear" w:color="auto" w:fill="FFFFFF"/>
        <w:spacing w:line="400" w:lineRule="exact"/>
        <w:ind w:firstLine="640" w:firstLineChars="200"/>
        <w:jc w:val="left"/>
        <w:rPr>
          <w:rFonts w:hint="eastAsia" w:ascii="仿宋" w:hAnsi="仿宋" w:eastAsia="仿宋"/>
          <w:color w:val="333333"/>
          <w:kern w:val="0"/>
          <w:sz w:val="32"/>
          <w:szCs w:val="32"/>
        </w:rPr>
      </w:pPr>
      <w:r>
        <w:rPr>
          <w:rFonts w:hint="eastAsia" w:ascii="仿宋" w:hAnsi="仿宋" w:eastAsia="仿宋"/>
          <w:color w:val="333333"/>
          <w:kern w:val="0"/>
          <w:sz w:val="32"/>
          <w:szCs w:val="32"/>
        </w:rPr>
        <w:t>（一）财政拨款：指市级财政当年拨付的资金。</w:t>
      </w:r>
    </w:p>
    <w:p>
      <w:pPr>
        <w:widowControl/>
        <w:shd w:val="clear" w:color="auto" w:fill="FFFFFF"/>
        <w:spacing w:line="400" w:lineRule="exact"/>
        <w:ind w:firstLine="640" w:firstLineChars="200"/>
        <w:jc w:val="left"/>
        <w:rPr>
          <w:rFonts w:hint="eastAsia" w:ascii="仿宋" w:hAnsi="仿宋" w:eastAsia="仿宋"/>
          <w:color w:val="333333"/>
          <w:kern w:val="0"/>
          <w:sz w:val="32"/>
          <w:szCs w:val="32"/>
        </w:rPr>
      </w:pPr>
      <w:r>
        <w:rPr>
          <w:rFonts w:hint="eastAsia" w:ascii="仿宋" w:hAnsi="仿宋" w:eastAsia="仿宋"/>
          <w:color w:val="333333"/>
          <w:kern w:val="0"/>
          <w:sz w:val="32"/>
          <w:szCs w:val="32"/>
        </w:rPr>
        <w:t>（二）事业收入：指事业单位开展专业业务活动及辅助活动取得的收入。</w:t>
      </w:r>
    </w:p>
    <w:p>
      <w:pPr>
        <w:widowControl/>
        <w:shd w:val="clear" w:color="auto" w:fill="FFFFFF"/>
        <w:spacing w:line="400" w:lineRule="exact"/>
        <w:ind w:firstLine="640" w:firstLineChars="200"/>
        <w:jc w:val="left"/>
        <w:rPr>
          <w:rFonts w:hint="eastAsia" w:ascii="仿宋" w:hAnsi="仿宋" w:eastAsia="仿宋"/>
          <w:color w:val="333333"/>
          <w:kern w:val="0"/>
          <w:sz w:val="32"/>
          <w:szCs w:val="32"/>
        </w:rPr>
      </w:pPr>
      <w:r>
        <w:rPr>
          <w:rFonts w:hint="eastAsia" w:ascii="仿宋" w:hAnsi="仿宋" w:eastAsia="仿宋"/>
          <w:color w:val="333333"/>
          <w:kern w:val="0"/>
          <w:sz w:val="32"/>
          <w:szCs w:val="32"/>
        </w:rPr>
        <w:t>（三）行政运行：反映行政单位（包括参公单位）的基本支出。</w:t>
      </w:r>
    </w:p>
    <w:p>
      <w:pPr>
        <w:widowControl/>
        <w:shd w:val="clear" w:color="auto" w:fill="FFFFFF"/>
        <w:spacing w:line="400" w:lineRule="exact"/>
        <w:ind w:firstLine="640" w:firstLineChars="200"/>
        <w:jc w:val="left"/>
        <w:rPr>
          <w:rFonts w:hint="eastAsia" w:ascii="仿宋" w:hAnsi="仿宋" w:eastAsia="仿宋"/>
          <w:color w:val="333333"/>
          <w:kern w:val="0"/>
          <w:sz w:val="32"/>
          <w:szCs w:val="32"/>
        </w:rPr>
      </w:pPr>
      <w:r>
        <w:rPr>
          <w:rFonts w:hint="eastAsia" w:ascii="仿宋" w:hAnsi="仿宋" w:eastAsia="仿宋"/>
          <w:color w:val="333333"/>
          <w:kern w:val="0"/>
          <w:sz w:val="32"/>
          <w:szCs w:val="32"/>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widowControl/>
        <w:shd w:val="clear" w:color="auto" w:fill="FFFFFF"/>
        <w:spacing w:line="400" w:lineRule="exact"/>
        <w:ind w:firstLine="640" w:firstLineChars="200"/>
        <w:jc w:val="left"/>
        <w:rPr>
          <w:rFonts w:hint="eastAsia" w:ascii="仿宋" w:hAnsi="仿宋" w:eastAsia="仿宋"/>
          <w:color w:val="333333"/>
          <w:kern w:val="0"/>
          <w:sz w:val="32"/>
          <w:szCs w:val="32"/>
        </w:rPr>
      </w:pPr>
      <w:r>
        <w:rPr>
          <w:rFonts w:hint="eastAsia" w:ascii="仿宋" w:hAnsi="仿宋" w:eastAsia="仿宋"/>
          <w:color w:val="333333"/>
          <w:kern w:val="0"/>
          <w:sz w:val="32"/>
          <w:szCs w:val="32"/>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spacing w:line="560" w:lineRule="exact"/>
        <w:ind w:firstLine="630"/>
        <w:jc w:val="left"/>
        <w:rPr>
          <w:rFonts w:ascii="仿宋_GB2312" w:hAnsi="仿宋_GB2312" w:eastAsia="仿宋_GB2312"/>
          <w:sz w:val="30"/>
          <w:szCs w:val="30"/>
        </w:rPr>
      </w:pPr>
    </w:p>
    <w:p>
      <w:pPr>
        <w:spacing w:line="560" w:lineRule="exact"/>
        <w:rPr>
          <w:rFonts w:ascii="仿宋_GB2312" w:hAnsi="仿宋_GB2312" w:eastAsia="仿宋_GB2312"/>
        </w:rPr>
      </w:pPr>
    </w:p>
    <w:sectPr>
      <w:footerReference r:id="rId3" w:type="default"/>
      <w:pgSz w:w="11906" w:h="16838"/>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宋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12</w:t>
    </w:r>
    <w:r>
      <w:rPr>
        <w:rStyle w:val="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9DD"/>
    <w:rsid w:val="002C526D"/>
    <w:rsid w:val="00487D11"/>
    <w:rsid w:val="00562B10"/>
    <w:rsid w:val="00951DC7"/>
    <w:rsid w:val="00A6101F"/>
    <w:rsid w:val="00C6247D"/>
    <w:rsid w:val="00D3707B"/>
    <w:rsid w:val="00DE7B48"/>
    <w:rsid w:val="00F369DD"/>
    <w:rsid w:val="00F5165F"/>
    <w:rsid w:val="00F76C24"/>
    <w:rsid w:val="02C57CF5"/>
    <w:rsid w:val="044024ED"/>
    <w:rsid w:val="0CBC2516"/>
    <w:rsid w:val="0D9837FE"/>
    <w:rsid w:val="0E13271D"/>
    <w:rsid w:val="1631013A"/>
    <w:rsid w:val="27B55173"/>
    <w:rsid w:val="2A2A0D0E"/>
    <w:rsid w:val="2B14102B"/>
    <w:rsid w:val="33AB1D4A"/>
    <w:rsid w:val="3AA93ED6"/>
    <w:rsid w:val="3AC82104"/>
    <w:rsid w:val="46567CB6"/>
    <w:rsid w:val="57661723"/>
    <w:rsid w:val="61261E06"/>
    <w:rsid w:val="69E52CDA"/>
    <w:rsid w:val="6C694985"/>
    <w:rsid w:val="6C6F0E55"/>
    <w:rsid w:val="78EB1866"/>
    <w:rsid w:val="7A530A5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character" w:styleId="4">
    <w:name w:val="page number"/>
    <w:basedOn w:val="3"/>
    <w:qFormat/>
    <w:uiPriority w:val="99"/>
  </w:style>
  <w:style w:type="paragraph" w:customStyle="1" w:styleId="6">
    <w:name w:val="p0"/>
    <w:basedOn w:val="1"/>
    <w:qFormat/>
    <w:uiPriority w:val="99"/>
    <w:pPr>
      <w:widowControl/>
    </w:pPr>
    <w:rPr>
      <w:kern w:val="0"/>
    </w:rPr>
  </w:style>
  <w:style w:type="character" w:customStyle="1" w:styleId="7">
    <w:name w:val="Footer Char"/>
    <w:basedOn w:val="3"/>
    <w:link w:val="2"/>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12</Pages>
  <Words>473</Words>
  <Characters>2702</Characters>
  <Lines>0</Lines>
  <Paragraphs>0</Paragraphs>
  <TotalTime>107</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2018-09-21T08:10:00Z</dcterms:created>
  <dc:creator>qingshuiban</dc:creator>
  <cp:lastModifiedBy>Hong</cp:lastModifiedBy>
  <cp:lastPrinted>2018-09-21T08:13:00Z</cp:lastPrinted>
  <dcterms:modified xsi:type="dcterms:W3CDTF">2018-10-26T05:31:49Z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