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浮梁县卫生健康委员会 2022年部门预算</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浮梁县xx局概况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浮梁县xx局2022年部门预算表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浮梁县XX局2022年部门预算情况说明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浮梁县XX局概况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spacing w:line="600" w:lineRule="exact"/>
        <w:ind w:firstLine="600" w:firstLineChars="200"/>
        <w:rPr>
          <w:rFonts w:hint="eastAsia" w:ascii="仿宋_GB2312" w:hAnsi="仿宋_GB2312" w:eastAsia="仿宋_GB2312" w:cs="仿宋_GB2312"/>
          <w:sz w:val="32"/>
          <w:szCs w:val="32"/>
        </w:rPr>
      </w:pPr>
      <w:r>
        <w:rPr>
          <w:rFonts w:hint="eastAsia" w:ascii="仿宋" w:hAnsi="仿宋" w:eastAsia="仿宋"/>
          <w:sz w:val="30"/>
          <w:szCs w:val="30"/>
        </w:rPr>
        <w:t>1．</w:t>
      </w:r>
      <w:r>
        <w:rPr>
          <w:rFonts w:hint="eastAsia" w:ascii="仿宋_GB2312" w:hAnsi="仿宋_GB2312" w:eastAsia="仿宋_GB2312" w:cs="仿宋_GB2312"/>
          <w:sz w:val="32"/>
          <w:szCs w:val="32"/>
        </w:rPr>
        <w:t>贯彻执行国家和省、市有关卫生和计划生育、中医药事业发展的规划和政策措施，负责起草我县卫生和计划生育、中医药事业发展规划和政策措施，组织制定有关标准和技术规范。负责协调推进医药卫生体制改革和医疗保障，统筹规划卫生和计划生育服务资源配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贯彻执行国家疾病预防控制规划、国家免疫规划，制定严重危害人民健康的公共卫生问题的干预措施并组织落实，制定卫生应急和紧急医学救援预案、突发公共卫生事件监测和风险评估计划，组织和指导突发公共卫生事件预防控制和各类突发公共事件的医疗卫生救援，发布法定报告传染病疫情信息、突发公共卫生事件应急处置信息。</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贯彻落实职责范围内的职业卫生、放射卫生、环境卫生、学校卫生、公共场所卫生、饮用水卫生管理规范、标准和政策措施，组织开展相关监测、调查、评估和监督，负责传染病防治监督。组织开展食品安全风险监测、评估。</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拟订并实施基层卫生和计划生育服务、妇幼卫生发展规划和政策措施，指导全县基层卫生和计划生育、妇幼卫生服务体系建设，推进基本公共卫生和计划生育服务均等化，完善基层运行新机制和乡村医生管理制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5.贯彻医疗机构和医疗服务全行业管理办法。落实医疗机构及其医疗服务、医疗技术、医疗质量、医疗安全以及采供血机构管理的规范、标准，</w:t>
      </w:r>
      <w:r>
        <w:rPr>
          <w:rFonts w:hint="eastAsia" w:ascii="仿宋_GB2312" w:eastAsia="仿宋_GB2312"/>
          <w:sz w:val="32"/>
          <w:szCs w:val="32"/>
        </w:rPr>
        <w:t>组织实施医疗机构执业许可证制度和医务人员执业许可证制度，会同有关部门贯彻执行国家卫生专业技术人员准入、资格标准，</w:t>
      </w:r>
      <w:r>
        <w:rPr>
          <w:rFonts w:hint="eastAsia" w:ascii="仿宋_GB2312" w:hAnsi="仿宋_GB2312" w:eastAsia="仿宋_GB2312" w:cs="仿宋_GB2312"/>
          <w:sz w:val="32"/>
          <w:szCs w:val="32"/>
        </w:rPr>
        <w:t>组织实施卫生专业技术人员执业规则和服务规范，建立医疗服务评价和监督管理体系。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6.负责组织推进公立医院改革，建立公益性为导向的绩效考核和评价运行机制，建设和谐医患关系，提出医疗服务和药品价格政策的建议。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7.贯彻落实国家药物政策、国家基本药物制度和基本药物采购、配送、使用的管理制度，协助有关部门参与执行国家药品法典，执行国家基本药物目录。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贯彻落实国家计划生育政策，负责完善生育政策措施，组织实施促进出生人口性别平衡的政策措施，组织监测计划生育发展动态，提出发布计划生育安全预警预报信息建议。制定计划生育技术服务管理制度并监督实施，制定优生优育和提高出生人口素质的政策措施并组织实施，实施计划生育生殖健康促进计划，降低出生缺陷人口数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建立计划生育利益导向、计划生育特殊困难家庭扶助和促进计划生育家庭发展等机制。负责协调推进有关部门、群众团体履行计划生育工作相关政策职责，建立与经济社会发展政策的衔接机制，提出长期稳定低生育水平政策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10.制定全县流动人口计划生育服务管理制度并组织实施，建立流动人口卫生和计划生育信息共享和公共服务工作机制。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11.组织拟订全县卫生和计划生育人才发展规划，指导卫生和计划生育人才队伍建设。加强全科医生等急需紧缺专业人才培养，建立完善住院医师和专科医师规范化培训制度并指导实施。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12.组织拟订卫生和计划生育科技发展规划，组织实施卫生和计划生育相关科研项目。组织实施毕业后医学教育和继续医学教育。</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13.指导乡（镇）卫生和计划生育工作，完善综合监督执法体系，规范执法行为，监督检查法律法规和政策措施的落实，组织查处重大违法行为。监督落实计划生育一票否决制。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14.负责卫生和计划生育宣传、健康教育、健康促进和信</w:t>
      </w:r>
      <w:r>
        <w:rPr>
          <w:rFonts w:hint="eastAsia" w:ascii="仿宋_GB2312" w:hAnsi="仿宋_GB2312" w:eastAsia="仿宋_GB2312" w:cs="仿宋_GB2312"/>
          <w:spacing w:val="-6"/>
          <w:sz w:val="32"/>
          <w:szCs w:val="32"/>
        </w:rPr>
        <w:t>息化建设等工作，依法组织实施统计调查，参与人口基础信息库建设。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15.制定全县中医药中长期发展规划，将其纳入全县卫生和计划生育事业发展总体规划和战略目标，并组织实施。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16.负责县保健对象的医疗保健工作，负责重要会议与重大活动的医疗卫生保障。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17.承担县人民政府血吸虫病、地方病防治领导小组的具体工作，组织协调各有关部门开展血吸虫病、地方病的综合防治和科研监测工作。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18.承担县爱国卫生运动委员会、县人民政府深化医药卫</w:t>
      </w:r>
      <w:r>
        <w:rPr>
          <w:rFonts w:hint="eastAsia" w:ascii="仿宋_GB2312" w:hAnsi="仿宋_GB2312" w:eastAsia="仿宋_GB2312" w:cs="仿宋_GB2312"/>
          <w:spacing w:val="-6"/>
          <w:sz w:val="32"/>
          <w:szCs w:val="32"/>
        </w:rPr>
        <w:t>生体制改革领导小组、县人民政府防治艾滋病工作委员会的日常工作。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19.承办县人民政府交办的其他事项。</w:t>
      </w:r>
    </w:p>
    <w:p>
      <w:pPr>
        <w:ind w:firstLine="630"/>
        <w:jc w:val="left"/>
        <w:rPr>
          <w:rFonts w:hint="eastAsia" w:ascii="仿宋" w:hAnsi="仿宋" w:eastAsia="仿宋"/>
          <w:sz w:val="30"/>
          <w:szCs w:val="30"/>
        </w:rPr>
      </w:pPr>
      <w:r>
        <w:rPr>
          <w:rFonts w:ascii="仿宋" w:hAnsi="仿宋" w:eastAsia="仿宋"/>
          <w:sz w:val="30"/>
          <w:szCs w:val="30"/>
        </w:rPr>
        <w:t>……</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纳入本套部门决算汇编范围的单位共2</w:t>
      </w:r>
      <w:r>
        <w:rPr>
          <w:rFonts w:hint="eastAsia" w:ascii="仿宋" w:hAnsi="仿宋" w:eastAsia="仿宋"/>
          <w:sz w:val="30"/>
          <w:szCs w:val="30"/>
          <w:lang w:val="en-US" w:eastAsia="zh-CN"/>
        </w:rPr>
        <w:t>1</w:t>
      </w:r>
      <w:r>
        <w:rPr>
          <w:rFonts w:hint="eastAsia" w:ascii="仿宋" w:hAnsi="仿宋" w:eastAsia="仿宋"/>
          <w:sz w:val="30"/>
          <w:szCs w:val="30"/>
        </w:rPr>
        <w:t>个，包括：1、县</w:t>
      </w:r>
      <w:r>
        <w:rPr>
          <w:rFonts w:hint="eastAsia" w:ascii="仿宋" w:hAnsi="仿宋" w:eastAsia="仿宋"/>
          <w:sz w:val="30"/>
          <w:szCs w:val="30"/>
          <w:lang w:eastAsia="zh-CN"/>
        </w:rPr>
        <w:t>卫生健康</w:t>
      </w:r>
      <w:r>
        <w:rPr>
          <w:rFonts w:hint="eastAsia" w:ascii="仿宋" w:hAnsi="仿宋" w:eastAsia="仿宋"/>
          <w:sz w:val="30"/>
          <w:szCs w:val="30"/>
        </w:rPr>
        <w:t>委员会（本级）2、浮梁县疾病预防控制中心3、浮梁县卫生</w:t>
      </w:r>
      <w:r>
        <w:rPr>
          <w:rFonts w:hint="eastAsia" w:ascii="仿宋" w:hAnsi="仿宋" w:eastAsia="仿宋"/>
          <w:sz w:val="30"/>
          <w:szCs w:val="30"/>
          <w:lang w:eastAsia="zh-CN"/>
        </w:rPr>
        <w:t>计生综合监督执法局</w:t>
      </w:r>
      <w:r>
        <w:rPr>
          <w:rFonts w:hint="eastAsia" w:ascii="仿宋" w:hAnsi="仿宋" w:eastAsia="仿宋"/>
          <w:sz w:val="30"/>
          <w:szCs w:val="30"/>
        </w:rPr>
        <w:t>4、浮梁县中医院5、浮梁县妇幼保健院</w:t>
      </w:r>
      <w:r>
        <w:rPr>
          <w:rFonts w:hint="eastAsia" w:ascii="仿宋" w:hAnsi="仿宋" w:eastAsia="仿宋"/>
          <w:sz w:val="30"/>
          <w:szCs w:val="30"/>
          <w:lang w:val="en-US" w:eastAsia="zh-CN"/>
        </w:rPr>
        <w:t>6、</w:t>
      </w:r>
      <w:r>
        <w:rPr>
          <w:rFonts w:hint="eastAsia" w:ascii="仿宋" w:hAnsi="仿宋" w:eastAsia="仿宋"/>
          <w:sz w:val="30"/>
          <w:szCs w:val="30"/>
        </w:rPr>
        <w:t>浮梁县黄坛乡卫生院7、浮梁县鹅湖中心卫生院8、浮梁县蛟潭中心卫生院9、浮梁县经公桥中心卫生院10、浮梁县浮梁镇卫生院。11、浮梁县湘湖中心卫生院12、浮梁县勒功乡卫生院13、浮梁县西湖乡卫生院14、浮梁县三龙镇卫生院15、浮梁县江村乡卫生院16、浮梁县峙滩镇卫生院17、浮梁县兴田乡卫生院18、浮梁县瑶里镇卫生院19、浮梁县王港乡卫生院20、浮梁县庄湾湘卫生院21、浮梁县寿安镇卫生院</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2、纳入本部门2022年部门编制人数433人、实有人数746人（聘用人员313人）。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浮梁县卫健委2022年部门预算表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浮梁县卫健委2022年部门预算情况说明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widowControl w:val="0"/>
        <w:kinsoku/>
        <w:autoSpaceDE/>
        <w:autoSpaceDN/>
        <w:adjustRightInd/>
        <w:snapToGrid/>
        <w:spacing w:line="240" w:lineRule="auto"/>
        <w:ind w:firstLine="640" w:firstLineChars="200"/>
        <w:jc w:val="both"/>
        <w:textAlignment w:val="auto"/>
        <w:rPr>
          <w:rFonts w:hint="eastAsia" w:asciiTheme="minorEastAsia" w:hAnsiTheme="minorEastAsia" w:eastAsiaTheme="minorEastAsia"/>
          <w:color w:val="FF0000"/>
          <w:sz w:val="32"/>
          <w:szCs w:val="32"/>
          <w:u w:val="single"/>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年收入预算总额</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24870.1</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color w:val="FF0000"/>
          <w:sz w:val="32"/>
          <w:szCs w:val="32"/>
          <w:u w:val="single"/>
          <w:lang w:val="en-US" w:eastAsia="zh-CN"/>
        </w:rPr>
        <w:t>5183.09</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color w:val="FF0000"/>
          <w:sz w:val="32"/>
          <w:szCs w:val="32"/>
          <w:u w:val="single"/>
          <w:lang w:val="en-US" w:eastAsia="zh-CN"/>
        </w:rPr>
        <w:t>减少323.26</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实行零基预算。</w:t>
      </w:r>
      <w:r>
        <w:rPr>
          <w:rFonts w:hint="eastAsia" w:asciiTheme="minorEastAsia" w:hAnsiTheme="minorEastAsia" w:eastAsiaTheme="minorEastAsia"/>
          <w:color w:val="FF0000"/>
          <w:sz w:val="32"/>
          <w:szCs w:val="32"/>
          <w:u w:val="single"/>
        </w:rPr>
        <w:t xml:space="preserve">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spacing w:line="360" w:lineRule="auto"/>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年支出预算总额为</w:t>
      </w:r>
      <w:r>
        <w:rPr>
          <w:rFonts w:hint="eastAsia" w:asciiTheme="minorEastAsia" w:hAnsiTheme="minorEastAsia" w:eastAsiaTheme="minorEastAsia"/>
          <w:color w:val="FF0000"/>
          <w:sz w:val="32"/>
          <w:szCs w:val="32"/>
          <w:u w:val="single"/>
          <w:lang w:val="en-US" w:eastAsia="zh-CN"/>
        </w:rPr>
        <w:t>24870.1</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color w:val="FF0000"/>
          <w:sz w:val="32"/>
          <w:szCs w:val="32"/>
          <w:u w:val="single"/>
          <w:lang w:val="en-US" w:eastAsia="zh-CN"/>
        </w:rPr>
        <w:t>少323.26</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实施财政零基预算，减少了公用支出部分预算</w:t>
      </w:r>
      <w:r>
        <w:rPr>
          <w:rFonts w:hint="eastAsia" w:asciiTheme="minorEastAsia" w:hAnsiTheme="minorEastAsia" w:eastAsiaTheme="minorEastAsia"/>
          <w:sz w:val="32"/>
          <w:szCs w:val="32"/>
          <w:lang w:eastAsia="zh-CN"/>
        </w:rPr>
        <w:t>。</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color w:val="FF0000"/>
          <w:sz w:val="32"/>
          <w:szCs w:val="32"/>
          <w:u w:val="single"/>
          <w:lang w:val="en-US" w:eastAsia="zh-CN"/>
        </w:rPr>
        <w:t>24810.1</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FF0000"/>
          <w:sz w:val="32"/>
          <w:szCs w:val="32"/>
          <w:u w:val="single"/>
          <w:lang w:val="en-US" w:eastAsia="zh-CN"/>
        </w:rPr>
        <w:t>60</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color w:val="FF0000"/>
          <w:sz w:val="32"/>
          <w:szCs w:val="32"/>
          <w:u w:val="single"/>
          <w:lang w:val="en-US" w:eastAsia="zh-CN"/>
        </w:rPr>
        <w:t>事业</w:t>
      </w:r>
      <w:r>
        <w:rPr>
          <w:rFonts w:hint="eastAsia" w:asciiTheme="minorEastAsia" w:hAnsiTheme="minorEastAsia" w:eastAsiaTheme="minorEastAsia"/>
          <w:color w:val="FF0000"/>
          <w:sz w:val="32"/>
          <w:szCs w:val="32"/>
          <w:u w:val="single"/>
          <w:lang w:eastAsia="zh-CN"/>
        </w:rPr>
        <w:t>运行</w:t>
      </w:r>
      <w:r>
        <w:rPr>
          <w:rFonts w:hint="eastAsia" w:asciiTheme="minorEastAsia" w:hAnsiTheme="minorEastAsia" w:eastAsiaTheme="minorEastAsia"/>
          <w:color w:val="FF0000"/>
          <w:sz w:val="32"/>
          <w:szCs w:val="32"/>
          <w:u w:val="single"/>
          <w:lang w:val="en-US" w:eastAsia="zh-CN"/>
        </w:rPr>
        <w:t>346.59万元、社会保障和就业支出690.25万、行政单位医疗140.23万元、行政运行1373.19万元、综合医院12528.25万元、妇幼保健医院2343.77万元、乡镇卫生院6560.39万元、疾病预防控制机构799.07万元、卫生监督机构88.36</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14:textFill>
            <w14:solidFill>
              <w14:schemeClr w14:val="tx1"/>
            </w14:solidFill>
          </w14:textFill>
        </w:rPr>
        <w:t>工资福利支出</w:t>
      </w:r>
      <w:r>
        <w:rPr>
          <w:rFonts w:hint="eastAsia" w:asciiTheme="minorEastAsia" w:hAnsiTheme="minorEastAsia" w:eastAsiaTheme="minorEastAsia"/>
          <w:color w:val="FF0000"/>
          <w:sz w:val="32"/>
          <w:szCs w:val="32"/>
          <w:lang w:val="en-US" w:eastAsia="zh-CN"/>
        </w:rPr>
        <w:t>7009.48</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商品服务支出</w:t>
      </w:r>
      <w:r>
        <w:rPr>
          <w:rFonts w:hint="eastAsia" w:asciiTheme="minorEastAsia" w:hAnsiTheme="minorEastAsia" w:eastAsiaTheme="minorEastAsia"/>
          <w:color w:val="FF0000"/>
          <w:sz w:val="32"/>
          <w:szCs w:val="32"/>
          <w:lang w:val="en-US" w:eastAsia="zh-CN"/>
        </w:rPr>
        <w:t>13620.98</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对个人和家庭补助支出</w:t>
      </w:r>
      <w:r>
        <w:rPr>
          <w:rFonts w:hint="eastAsia" w:asciiTheme="minorEastAsia" w:hAnsiTheme="minorEastAsia" w:eastAsiaTheme="minorEastAsia"/>
          <w:color w:val="FF0000"/>
          <w:sz w:val="32"/>
          <w:szCs w:val="32"/>
          <w:lang w:val="en-US" w:eastAsia="zh-CN"/>
        </w:rPr>
        <w:t>20.8</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资本性支出</w:t>
      </w:r>
      <w:r>
        <w:rPr>
          <w:rFonts w:hint="eastAsia" w:asciiTheme="minorEastAsia" w:hAnsiTheme="minorEastAsia" w:eastAsiaTheme="minorEastAsia"/>
          <w:color w:val="FF0000"/>
          <w:sz w:val="32"/>
          <w:szCs w:val="32"/>
          <w:lang w:val="en-US" w:eastAsia="zh-CN"/>
        </w:rPr>
        <w:t>4158.84</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万</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其他运转类支出</w:t>
      </w:r>
      <w:r>
        <w:rPr>
          <w:rFonts w:hint="eastAsia" w:asciiTheme="minorEastAsia" w:hAnsiTheme="minorEastAsia" w:eastAsiaTheme="minorEastAsia"/>
          <w:color w:val="FF0000"/>
          <w:sz w:val="32"/>
          <w:szCs w:val="32"/>
          <w:lang w:val="en-US" w:eastAsia="zh-CN"/>
        </w:rPr>
        <w:t>60</w:t>
      </w:r>
      <w:r>
        <w:rPr>
          <w:rFonts w:hint="eastAsia" w:asciiTheme="minorEastAsia" w:hAnsiTheme="minorEastAsia" w:eastAsiaTheme="minorEastAsia"/>
          <w:color w:val="000000" w:themeColor="text1"/>
          <w:sz w:val="32"/>
          <w:szCs w:val="32"/>
          <w14:textFill>
            <w14:solidFill>
              <w14:schemeClr w14:val="tx1"/>
            </w14:solidFill>
          </w14:textFill>
        </w:rPr>
        <w:t>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年公共财政拨款支出预算为</w:t>
      </w:r>
      <w:r>
        <w:rPr>
          <w:rFonts w:hint="eastAsia" w:asciiTheme="minorEastAsia" w:hAnsiTheme="minorEastAsia" w:eastAsiaTheme="minorEastAsia"/>
          <w:color w:val="FF0000"/>
          <w:sz w:val="32"/>
          <w:szCs w:val="32"/>
          <w:u w:val="single"/>
          <w:lang w:val="en-US" w:eastAsia="zh-CN"/>
        </w:rPr>
        <w:t>5183.09</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964.25</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color w:val="FF0000"/>
          <w:sz w:val="32"/>
          <w:szCs w:val="32"/>
          <w:u w:val="single"/>
          <w:lang w:val="en-US" w:eastAsia="zh-CN"/>
        </w:rPr>
        <w:t>5183.09</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1089.58</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color w:val="FF0000"/>
          <w:sz w:val="32"/>
          <w:szCs w:val="32"/>
          <w:u w:val="single"/>
          <w:lang w:val="en-US" w:eastAsia="zh-CN"/>
        </w:rPr>
        <w:t>4925.48</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color w:val="FF0000"/>
          <w:sz w:val="32"/>
          <w:szCs w:val="32"/>
          <w:u w:val="single"/>
          <w:lang w:val="en-US" w:eastAsia="zh-CN"/>
        </w:rPr>
        <w:t>239.42</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color w:val="FF0000"/>
          <w:sz w:val="32"/>
          <w:szCs w:val="32"/>
          <w:u w:val="single"/>
          <w:lang w:val="en-US" w:eastAsia="zh-CN"/>
        </w:rPr>
        <w:t>18.19</w:t>
      </w:r>
      <w:r>
        <w:rPr>
          <w:rFonts w:hint="eastAsia" w:asciiTheme="minorEastAsia" w:hAnsiTheme="minorEastAsia" w:eastAsiaTheme="minorEastAsia"/>
          <w:sz w:val="32"/>
          <w:szCs w:val="32"/>
        </w:rPr>
        <w:t>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FF0000"/>
          <w:kern w:val="2"/>
          <w:sz w:val="32"/>
          <w:szCs w:val="32"/>
          <w:lang w:val="en-US" w:eastAsia="zh-CN" w:bidi="ar-SA"/>
        </w:rPr>
      </w:pPr>
      <w:r>
        <w:rPr>
          <w:rFonts w:hint="eastAsia" w:ascii="仿宋_GB2312" w:hAnsi="Times New Roman" w:eastAsia="仿宋_GB2312" w:cs="Times New Roman"/>
          <w:snapToGrid/>
          <w:color w:val="FF0000"/>
          <w:kern w:val="2"/>
          <w:sz w:val="32"/>
          <w:szCs w:val="32"/>
          <w:lang w:val="en-US" w:eastAsia="zh-CN" w:bidi="ar-SA"/>
        </w:rPr>
        <w:t>本年度预算无政府性基金预算额度。</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FF0000"/>
          <w:kern w:val="2"/>
          <w:sz w:val="32"/>
          <w:szCs w:val="32"/>
          <w:lang w:val="en-US" w:eastAsia="zh-CN" w:bidi="ar-SA"/>
        </w:rPr>
      </w:pPr>
      <w:r>
        <w:rPr>
          <w:rFonts w:hint="eastAsia" w:ascii="仿宋_GB2312" w:hAnsi="Times New Roman" w:eastAsia="仿宋_GB2312" w:cs="Times New Roman"/>
          <w:snapToGrid/>
          <w:color w:val="FF0000"/>
          <w:kern w:val="2"/>
          <w:sz w:val="32"/>
          <w:szCs w:val="32"/>
          <w:lang w:val="en-US" w:eastAsia="zh-CN" w:bidi="ar-SA"/>
        </w:rPr>
        <w:t>没有使用国有资本经营预算拨款安排的支出。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2022年部门机关运行费预算24870.1万元，比2021年预算减少  323.26  万元，、下降1.3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2022年部门所属各单位政府采购总额   1348  万元，其中:政府采购货物预算   1348 万元、政府采购工程预算      万元、政府采购服务预算  0   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截至2021年8月31日，部门共有车辆    19 辆，其中，一般公务用车   18   辆，执法执勤用车   1 辆。</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2022年部门预算安排购置车辆    0  辆，安排购置单位价值200万元以上大型设备具体为: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(九）无项目情况说明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二、2022年"三公”经费预算情况说明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2022年卫健委部门"三公"经费一般公共预算安排1164.4万元。其中:</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因公出国(境)费8万元，比上年增(减)8万元，主要原因是:2022年填报时误填。</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公务接待费156.4万元，比上年增(减)0万元，主要原因</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是:与上年持平。</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公务用车运行维护费52.36万元，比上年增(减）0万元，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主要原因是:与上年持平。</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公务用车购置费0万元，比上年增(减)0万元，主要原因是:无。</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w:t>
      </w:r>
      <w:bookmarkStart w:id="0" w:name="_GoBack"/>
      <w:bookmarkEnd w:id="0"/>
      <w:r>
        <w:rPr>
          <w:rFonts w:hint="eastAsia" w:ascii="黑体" w:hAnsi="黑体" w:eastAsia="黑体" w:cs="黑体"/>
          <w:snapToGrid/>
          <w:kern w:val="2"/>
          <w:sz w:val="32"/>
          <w:szCs w:val="32"/>
          <w:lang w:val="en-US" w:eastAsia="zh-CN" w:bidi="ar-SA"/>
        </w:rPr>
        <w:t xml:space="preserve">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(八)使用非财政拨款结余:填列历年滚存的非限定用途的非统计财政拨款结余弥补2022年收支差额的数额。</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0A0D7A"/>
    <w:rsid w:val="21F47CFA"/>
    <w:rsid w:val="28B74E8B"/>
    <w:rsid w:val="325D7BAC"/>
    <w:rsid w:val="474E6296"/>
    <w:rsid w:val="476D2917"/>
    <w:rsid w:val="535A3AA7"/>
    <w:rsid w:val="544A14D0"/>
    <w:rsid w:val="65672FDC"/>
    <w:rsid w:val="6C0006DE"/>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0</cp:lastModifiedBy>
  <dcterms:modified xsi:type="dcterms:W3CDTF">2022-03-07T07:41:11Z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2052-11.1.0.11365</vt:lpwstr>
  </property>
  <property fmtid="{D5CDD505-2E9C-101B-9397-08002B2CF9AE}" pid="5" name="ICV">
    <vt:lpwstr>88DC4E5DA5774A45A9990BB4EE0325F1</vt:lpwstr>
  </property>
</Properties>
</file>