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r>
        <w:rPr>
          <w:rFonts w:hint="eastAsia" w:ascii="宋体" w:hAnsi="宋体" w:eastAsia="宋体" w:cs="宋体"/>
          <w:b/>
          <w:bCs/>
          <w:color w:val="000000"/>
          <w:kern w:val="0"/>
          <w:sz w:val="43"/>
          <w:szCs w:val="43"/>
          <w:lang w:val="en-US" w:eastAsia="zh-CN" w:bidi="ar"/>
        </w:rPr>
        <w:t>浮梁县兴田乡2022年度部门决算</w:t>
      </w:r>
    </w:p>
    <w:p>
      <w:pPr>
        <w:keepNext w:val="0"/>
        <w:keepLines w:val="0"/>
        <w:widowControl/>
        <w:suppressLineNumbers w:val="0"/>
        <w:jc w:val="center"/>
      </w:pPr>
      <w:r>
        <w:rPr>
          <w:rFonts w:ascii="黑体" w:hAnsi="宋体" w:eastAsia="黑体" w:cs="黑体"/>
          <w:b/>
          <w:bCs/>
          <w:color w:val="000000"/>
          <w:kern w:val="0"/>
          <w:sz w:val="43"/>
          <w:szCs w:val="43"/>
          <w:lang w:val="en-US" w:eastAsia="zh-CN" w:bidi="ar"/>
        </w:rPr>
        <w:t>目</w:t>
      </w:r>
      <w:r>
        <w:rPr>
          <w:rFonts w:hint="eastAsia" w:ascii="黑体" w:hAnsi="宋体" w:eastAsia="黑体" w:cs="黑体"/>
          <w:b/>
          <w:bCs/>
          <w:color w:val="000000"/>
          <w:kern w:val="0"/>
          <w:sz w:val="43"/>
          <w:szCs w:val="43"/>
          <w:lang w:val="en-US" w:eastAsia="zh-CN" w:bidi="ar"/>
        </w:rPr>
        <w:t xml:space="preserve">   </w:t>
      </w:r>
      <w:r>
        <w:rPr>
          <w:rFonts w:ascii="黑体" w:hAnsi="宋体" w:eastAsia="黑体" w:cs="黑体"/>
          <w:b/>
          <w:bCs/>
          <w:color w:val="000000"/>
          <w:kern w:val="0"/>
          <w:sz w:val="43"/>
          <w:szCs w:val="43"/>
          <w:lang w:val="en-US" w:eastAsia="zh-CN" w:bidi="ar"/>
        </w:rPr>
        <w:t xml:space="preserve"> </w:t>
      </w:r>
      <w:r>
        <w:rPr>
          <w:rFonts w:hint="eastAsia" w:ascii="黑体" w:hAnsi="宋体" w:eastAsia="黑体" w:cs="黑体"/>
          <w:b/>
          <w:bCs/>
          <w:color w:val="000000"/>
          <w:kern w:val="0"/>
          <w:sz w:val="43"/>
          <w:szCs w:val="43"/>
          <w:lang w:val="en-US" w:eastAsia="zh-CN" w:bidi="ar"/>
        </w:rPr>
        <w:t>录</w:t>
      </w:r>
    </w:p>
    <w:p>
      <w:pPr>
        <w:keepNext w:val="0"/>
        <w:keepLines w:val="0"/>
        <w:widowControl/>
        <w:suppressLineNumbers w:val="0"/>
        <w:jc w:val="left"/>
      </w:pPr>
      <w:r>
        <w:rPr>
          <w:rFonts w:hint="eastAsia" w:ascii="黑体" w:hAnsi="宋体" w:eastAsia="黑体" w:cs="黑体"/>
          <w:b/>
          <w:bCs/>
          <w:color w:val="000000"/>
          <w:kern w:val="0"/>
          <w:sz w:val="31"/>
          <w:szCs w:val="31"/>
          <w:lang w:val="en-US" w:eastAsia="zh-CN" w:bidi="ar"/>
        </w:rPr>
        <w:t xml:space="preserve">第一部分  兴田乡人民政府部门概况 </w:t>
      </w:r>
    </w:p>
    <w:p>
      <w:pPr>
        <w:keepNext w:val="0"/>
        <w:keepLines w:val="0"/>
        <w:widowControl/>
        <w:suppressLineNumbers w:val="0"/>
        <w:jc w:val="left"/>
      </w:pPr>
      <w:r>
        <w:rPr>
          <w:rFonts w:ascii="仿宋" w:hAnsi="仿宋" w:eastAsia="仿宋" w:cs="仿宋"/>
          <w:color w:val="000000"/>
          <w:kern w:val="0"/>
          <w:sz w:val="31"/>
          <w:szCs w:val="31"/>
          <w:lang w:val="en-US" w:eastAsia="zh-CN" w:bidi="ar"/>
        </w:rPr>
        <w:t xml:space="preserve">一、部门主要职责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二、部门基本情况 </w:t>
      </w:r>
    </w:p>
    <w:p>
      <w:pPr>
        <w:keepNext w:val="0"/>
        <w:keepLines w:val="0"/>
        <w:widowControl/>
        <w:suppressLineNumbers w:val="0"/>
        <w:jc w:val="left"/>
      </w:pPr>
      <w:r>
        <w:rPr>
          <w:rFonts w:hint="eastAsia" w:ascii="黑体" w:hAnsi="宋体" w:eastAsia="黑体" w:cs="黑体"/>
          <w:b/>
          <w:bCs/>
          <w:color w:val="000000"/>
          <w:kern w:val="0"/>
          <w:sz w:val="31"/>
          <w:szCs w:val="31"/>
          <w:lang w:val="en-US" w:eastAsia="zh-CN" w:bidi="ar"/>
        </w:rPr>
        <w:t xml:space="preserve">第二部分  2023年度部门决算表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一、收入支出决算总表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二、 收入决算表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三、支出决算表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四 、财政拨款收入支出决算总表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五、 一般公共预算财政拨款支出决算表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六、 一般公共预算财政拨款基本支出决算表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七、政府性基金预算财政拨款收入支出决算表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八、 国有资本经营预算财政拨款支出决算表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九、财政拨款“三公”经费支出决算表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十 、国有资产占用情况表</w:t>
      </w:r>
      <w:r>
        <w:rPr>
          <w:rFonts w:hint="eastAsia" w:ascii="宋体" w:hAnsi="宋体" w:eastAsia="宋体" w:cs="宋体"/>
          <w:color w:val="000000"/>
          <w:kern w:val="0"/>
          <w:sz w:val="31"/>
          <w:szCs w:val="31"/>
          <w:lang w:val="en-US" w:eastAsia="zh-CN" w:bidi="ar"/>
        </w:rPr>
        <w:t xml:space="preserve">—2— </w:t>
      </w:r>
    </w:p>
    <w:p>
      <w:pPr>
        <w:keepNext w:val="0"/>
        <w:keepLines w:val="0"/>
        <w:widowControl/>
        <w:suppressLineNumbers w:val="0"/>
        <w:jc w:val="left"/>
      </w:pPr>
      <w:r>
        <w:rPr>
          <w:rFonts w:hint="eastAsia" w:ascii="黑体" w:hAnsi="宋体" w:eastAsia="黑体" w:cs="黑体"/>
          <w:b/>
          <w:bCs/>
          <w:color w:val="000000"/>
          <w:kern w:val="0"/>
          <w:sz w:val="31"/>
          <w:szCs w:val="31"/>
          <w:lang w:val="en-US" w:eastAsia="zh-CN" w:bidi="ar"/>
        </w:rPr>
        <w:t xml:space="preserve">第三部分  2023年度部门决算情况说明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一、收入决算情况说明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二、支出决算情况说明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三、财政拨款支出决算情况说明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四 、一般公共预算财政拨款基本支出决算情况说明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五、财政拨款“三公”经费支出决算情况说明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六、机关运行经费支出情况说明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七、政府采购支出情况说明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八 、国有资产占用情况说明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九、 预算绩效情况说明 </w:t>
      </w: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pPr>
      <w:r>
        <w:rPr>
          <w:rFonts w:hint="eastAsia" w:ascii="黑体" w:hAnsi="宋体" w:eastAsia="黑体" w:cs="黑体"/>
          <w:color w:val="000000"/>
          <w:kern w:val="0"/>
          <w:sz w:val="31"/>
          <w:szCs w:val="31"/>
          <w:lang w:val="en-US" w:eastAsia="zh-CN" w:bidi="ar"/>
        </w:rPr>
        <w:t xml:space="preserve">第四部分  名词解释 </w:t>
      </w: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sectPr>
          <w:pgSz w:w="11906" w:h="16838"/>
          <w:pgMar w:top="1440" w:right="1800" w:bottom="1440" w:left="1800" w:header="851" w:footer="992" w:gutter="0"/>
          <w:cols w:space="425" w:num="1"/>
          <w:docGrid w:type="lines" w:linePitch="312" w:charSpace="0"/>
        </w:sectPr>
      </w:pPr>
      <w:r>
        <w:rPr>
          <w:rFonts w:hint="eastAsia" w:ascii="黑体" w:hAnsi="宋体" w:eastAsia="黑体" w:cs="黑体"/>
          <w:color w:val="000000"/>
          <w:kern w:val="0"/>
          <w:sz w:val="31"/>
          <w:szCs w:val="31"/>
          <w:lang w:val="en-US" w:eastAsia="zh-CN" w:bidi="ar"/>
        </w:rPr>
        <w:t>第五部分  附件</w:t>
      </w:r>
    </w:p>
    <w:p>
      <w:pPr>
        <w:keepNext w:val="0"/>
        <w:keepLines w:val="0"/>
        <w:widowControl/>
        <w:suppressLineNumbers w:val="0"/>
        <w:jc w:val="center"/>
        <w:rPr>
          <w:rFonts w:hint="eastAsia" w:ascii="黑体" w:hAnsi="宋体" w:eastAsia="黑体" w:cs="黑体"/>
          <w:b/>
          <w:bCs/>
          <w:color w:val="000000"/>
          <w:kern w:val="0"/>
          <w:sz w:val="44"/>
          <w:szCs w:val="44"/>
          <w:lang w:val="en-US" w:eastAsia="zh-CN" w:bidi="ar"/>
        </w:rPr>
      </w:pPr>
      <w:r>
        <w:rPr>
          <w:rFonts w:hint="eastAsia" w:ascii="黑体" w:hAnsi="宋体" w:eastAsia="黑体" w:cs="黑体"/>
          <w:b/>
          <w:bCs/>
          <w:color w:val="000000"/>
          <w:kern w:val="0"/>
          <w:sz w:val="44"/>
          <w:szCs w:val="44"/>
          <w:lang w:val="en-US" w:eastAsia="zh-CN" w:bidi="ar"/>
        </w:rPr>
        <w:t>第一部分  兴田乡人民政府部门概况</w:t>
      </w:r>
    </w:p>
    <w:p>
      <w:pPr>
        <w:keepNext w:val="0"/>
        <w:keepLines w:val="0"/>
        <w:widowControl/>
        <w:suppressLineNumbers w:val="0"/>
        <w:jc w:val="both"/>
        <w:rPr>
          <w:rFonts w:hint="default" w:ascii="黑体" w:hAnsi="宋体" w:eastAsia="黑体" w:cs="黑体"/>
          <w:b w:val="0"/>
          <w:bCs w:val="0"/>
          <w:color w:val="000000"/>
          <w:kern w:val="0"/>
          <w:sz w:val="28"/>
          <w:szCs w:val="28"/>
          <w:lang w:val="en-US" w:eastAsia="zh-CN" w:bidi="ar"/>
        </w:rPr>
      </w:pPr>
      <w:r>
        <w:rPr>
          <w:rFonts w:hint="eastAsia" w:ascii="黑体" w:hAnsi="宋体" w:eastAsia="黑体" w:cs="黑体"/>
          <w:b/>
          <w:bCs/>
          <w:color w:val="000000"/>
          <w:kern w:val="0"/>
          <w:sz w:val="28"/>
          <w:szCs w:val="28"/>
          <w:lang w:val="en-US" w:eastAsia="zh-CN" w:bidi="ar"/>
        </w:rPr>
        <w:t xml:space="preserve">    </w:t>
      </w:r>
    </w:p>
    <w:p>
      <w:pPr>
        <w:ind w:firstLine="630"/>
        <w:jc w:val="left"/>
        <w:rPr>
          <w:rFonts w:ascii="黑体" w:hAnsi="黑体" w:eastAsia="黑体"/>
          <w:sz w:val="30"/>
          <w:szCs w:val="30"/>
        </w:rPr>
      </w:pPr>
      <w:r>
        <w:rPr>
          <w:rFonts w:hint="eastAsia" w:ascii="黑体" w:hAnsi="黑体" w:eastAsia="黑体"/>
          <w:sz w:val="30"/>
          <w:szCs w:val="30"/>
        </w:rPr>
        <w:t>一、主要职责</w:t>
      </w:r>
    </w:p>
    <w:p>
      <w:pPr>
        <w:ind w:firstLine="630"/>
        <w:jc w:val="left"/>
        <w:rPr>
          <w:rFonts w:ascii="仿宋_GB2312" w:hAnsi="仿宋" w:eastAsia="仿宋_GB2312"/>
          <w:sz w:val="32"/>
          <w:szCs w:val="32"/>
        </w:rPr>
      </w:pPr>
      <w:r>
        <w:rPr>
          <w:rFonts w:hint="eastAsia" w:ascii="仿宋_GB2312" w:hAnsi="仿宋" w:eastAsia="仿宋_GB2312"/>
          <w:sz w:val="32"/>
          <w:szCs w:val="32"/>
        </w:rPr>
        <w:t>（一）</w:t>
      </w:r>
      <w:r>
        <w:rPr>
          <w:rFonts w:hint="eastAsia" w:ascii="仿宋_GB2312" w:hAnsi="仿宋" w:eastAsia="仿宋_GB2312"/>
          <w:sz w:val="32"/>
          <w:szCs w:val="32"/>
          <w:lang w:val="zh-CN"/>
        </w:rPr>
        <w:t>负责组织和管理财政收入和支出，编制执行乡镇年度财政预算，监督单位预算执行，编制财政决算。</w:t>
      </w:r>
    </w:p>
    <w:p>
      <w:pPr>
        <w:ind w:firstLine="630"/>
        <w:jc w:val="left"/>
        <w:rPr>
          <w:rFonts w:ascii="仿宋_GB2312" w:hAnsi="仿宋" w:eastAsia="仿宋_GB2312"/>
          <w:sz w:val="32"/>
          <w:szCs w:val="32"/>
        </w:rPr>
      </w:pPr>
      <w:r>
        <w:rPr>
          <w:rFonts w:hint="eastAsia" w:ascii="仿宋_GB2312" w:hAnsi="仿宋" w:eastAsia="仿宋_GB2312"/>
          <w:sz w:val="32"/>
          <w:szCs w:val="32"/>
        </w:rPr>
        <w:t>（二）负责乡镇规费，政府性基金，等其他收入资金的管理，协调税收征管部门做好税收均衡入库。</w:t>
      </w:r>
    </w:p>
    <w:p>
      <w:pPr>
        <w:ind w:firstLine="630"/>
        <w:jc w:val="left"/>
        <w:rPr>
          <w:rFonts w:ascii="仿宋_GB2312" w:hAnsi="仿宋" w:eastAsia="仿宋_GB2312"/>
          <w:sz w:val="32"/>
          <w:szCs w:val="32"/>
        </w:rPr>
      </w:pPr>
      <w:r>
        <w:rPr>
          <w:rFonts w:hint="eastAsia" w:ascii="仿宋_GB2312" w:hAnsi="仿宋" w:eastAsia="仿宋_GB2312"/>
          <w:sz w:val="32"/>
          <w:szCs w:val="32"/>
        </w:rPr>
        <w:t>（三）负责涉农资金、惠农补贴资金、乡镇其他资金和监管。</w:t>
      </w:r>
    </w:p>
    <w:p>
      <w:pPr>
        <w:ind w:firstLine="630"/>
        <w:jc w:val="left"/>
        <w:rPr>
          <w:rFonts w:ascii="仿宋_GB2312" w:hAnsi="仿宋" w:eastAsia="仿宋_GB2312"/>
          <w:sz w:val="32"/>
          <w:szCs w:val="32"/>
        </w:rPr>
      </w:pPr>
      <w:r>
        <w:rPr>
          <w:rFonts w:hint="eastAsia" w:ascii="仿宋_GB2312" w:hAnsi="仿宋" w:eastAsia="仿宋_GB2312"/>
          <w:sz w:val="32"/>
          <w:szCs w:val="32"/>
        </w:rPr>
        <w:t>（四）负责对乡镇国有资产购置、登记、处置的管理，确保乡镇国有资产安全保值增值。</w:t>
      </w:r>
    </w:p>
    <w:p>
      <w:pPr>
        <w:ind w:firstLine="630"/>
        <w:jc w:val="left"/>
        <w:rPr>
          <w:rFonts w:ascii="仿宋_GB2312" w:hAnsi="仿宋" w:eastAsia="仿宋_GB2312"/>
          <w:sz w:val="32"/>
          <w:szCs w:val="32"/>
        </w:rPr>
      </w:pPr>
      <w:r>
        <w:rPr>
          <w:rFonts w:hint="eastAsia" w:ascii="仿宋_GB2312" w:hAnsi="仿宋" w:eastAsia="仿宋_GB2312"/>
          <w:sz w:val="32"/>
          <w:szCs w:val="32"/>
        </w:rPr>
        <w:t>（五）负责乡镇各单位的会计核算，指导和代理村级会计核算工作。</w:t>
      </w:r>
    </w:p>
    <w:p>
      <w:pPr>
        <w:ind w:firstLine="630"/>
        <w:jc w:val="left"/>
        <w:rPr>
          <w:rFonts w:ascii="黑体" w:hAnsi="黑体" w:eastAsia="黑体" w:cs="黑体"/>
          <w:sz w:val="28"/>
          <w:szCs w:val="28"/>
        </w:rPr>
      </w:pPr>
      <w:r>
        <w:rPr>
          <w:rFonts w:hint="eastAsia" w:ascii="仿宋_GB2312" w:hAnsi="仿宋" w:eastAsia="仿宋_GB2312"/>
          <w:sz w:val="32"/>
          <w:szCs w:val="32"/>
        </w:rPr>
        <w:t>（六）负责执行国家财政法律法规，依法监管会计人员从业资格和会计信息，培训会计人员督促会计人员依法履职。</w:t>
      </w:r>
    </w:p>
    <w:p>
      <w:pPr>
        <w:ind w:firstLine="630"/>
        <w:jc w:val="left"/>
        <w:rPr>
          <w:rFonts w:ascii="黑体" w:hAnsi="黑体" w:eastAsia="黑体"/>
          <w:sz w:val="30"/>
          <w:szCs w:val="30"/>
        </w:rPr>
      </w:pPr>
      <w:r>
        <w:rPr>
          <w:rFonts w:hint="eastAsia" w:ascii="黑体" w:hAnsi="黑体" w:eastAsia="黑体"/>
          <w:sz w:val="30"/>
          <w:szCs w:val="30"/>
        </w:rPr>
        <w:t>二、基本情况</w:t>
      </w:r>
    </w:p>
    <w:p>
      <w:pPr>
        <w:ind w:firstLine="630"/>
        <w:jc w:val="left"/>
        <w:rPr>
          <w:rFonts w:ascii="仿宋_GB2312" w:hAnsi="仿宋" w:eastAsia="仿宋_GB2312"/>
          <w:sz w:val="32"/>
          <w:szCs w:val="32"/>
        </w:rPr>
      </w:pPr>
      <w:r>
        <w:rPr>
          <w:rFonts w:hint="eastAsia" w:ascii="仿宋_GB2312" w:hAnsi="仿宋" w:eastAsia="仿宋_GB2312"/>
          <w:sz w:val="32"/>
          <w:szCs w:val="32"/>
        </w:rPr>
        <w:t>（一）机构情况</w:t>
      </w:r>
    </w:p>
    <w:p>
      <w:pPr>
        <w:ind w:firstLine="630"/>
        <w:jc w:val="left"/>
        <w:rPr>
          <w:rFonts w:ascii="仿宋_GB2312" w:hAnsi="仿宋" w:eastAsia="仿宋_GB2312"/>
          <w:sz w:val="32"/>
          <w:szCs w:val="32"/>
        </w:rPr>
      </w:pPr>
      <w:r>
        <w:rPr>
          <w:rFonts w:hint="eastAsia" w:ascii="仿宋_GB2312" w:hAnsi="仿宋" w:eastAsia="仿宋_GB2312"/>
          <w:sz w:val="32"/>
          <w:szCs w:val="32"/>
        </w:rPr>
        <w:t>纳入本套部门决算汇编范围的单位共1个。</w:t>
      </w:r>
    </w:p>
    <w:p>
      <w:pPr>
        <w:numPr>
          <w:ilvl w:val="0"/>
          <w:numId w:val="1"/>
        </w:numPr>
        <w:ind w:firstLine="630"/>
        <w:jc w:val="left"/>
        <w:rPr>
          <w:rFonts w:ascii="仿宋_GB2312" w:hAnsi="仿宋" w:eastAsia="仿宋_GB2312"/>
          <w:sz w:val="32"/>
          <w:szCs w:val="32"/>
        </w:rPr>
      </w:pPr>
      <w:r>
        <w:rPr>
          <w:rFonts w:hint="eastAsia" w:ascii="仿宋_GB2312" w:hAnsi="仿宋" w:eastAsia="仿宋_GB2312"/>
          <w:sz w:val="32"/>
          <w:szCs w:val="32"/>
        </w:rPr>
        <w:t>人员情况</w:t>
      </w:r>
    </w:p>
    <w:p>
      <w:pPr>
        <w:ind w:firstLine="640" w:firstLineChars="200"/>
        <w:jc w:val="left"/>
        <w:rPr>
          <w:rFonts w:hint="default" w:ascii="仿宋_GB2312" w:hAnsi="仿宋" w:eastAsia="仿宋_GB2312"/>
          <w:sz w:val="32"/>
          <w:szCs w:val="32"/>
          <w:lang w:val="en-US" w:eastAsia="zh-CN"/>
        </w:rPr>
      </w:pPr>
      <w:r>
        <w:rPr>
          <w:rFonts w:hint="eastAsia" w:ascii="仿宋_GB2312" w:hAnsi="仿宋" w:eastAsia="仿宋_GB2312"/>
          <w:sz w:val="32"/>
          <w:szCs w:val="32"/>
        </w:rPr>
        <w:t>我乡202</w:t>
      </w:r>
      <w:r>
        <w:rPr>
          <w:rFonts w:hint="eastAsia" w:ascii="仿宋_GB2312" w:hAnsi="仿宋" w:eastAsia="仿宋_GB2312"/>
          <w:sz w:val="32"/>
          <w:szCs w:val="32"/>
          <w:lang w:val="en-US" w:eastAsia="zh-CN"/>
        </w:rPr>
        <w:t>2</w:t>
      </w:r>
      <w:r>
        <w:rPr>
          <w:rFonts w:hint="eastAsia" w:ascii="仿宋_GB2312" w:hAnsi="仿宋" w:eastAsia="仿宋_GB2312"/>
          <w:sz w:val="32"/>
          <w:szCs w:val="32"/>
        </w:rPr>
        <w:t>年年末在编制人数</w:t>
      </w:r>
      <w:r>
        <w:rPr>
          <w:rFonts w:hint="eastAsia" w:ascii="仿宋_GB2312" w:hAnsi="仿宋" w:eastAsia="仿宋_GB2312"/>
          <w:sz w:val="32"/>
          <w:szCs w:val="32"/>
          <w:lang w:val="en-US" w:eastAsia="zh-CN"/>
        </w:rPr>
        <w:t>42</w:t>
      </w:r>
      <w:r>
        <w:rPr>
          <w:rFonts w:hint="eastAsia" w:ascii="仿宋_GB2312" w:hAnsi="仿宋" w:eastAsia="仿宋_GB2312"/>
          <w:sz w:val="32"/>
          <w:szCs w:val="32"/>
        </w:rPr>
        <w:t>人，其中行政编制</w:t>
      </w:r>
      <w:r>
        <w:rPr>
          <w:rFonts w:hint="eastAsia" w:ascii="仿宋_GB2312" w:hAnsi="仿宋" w:eastAsia="仿宋_GB2312"/>
          <w:sz w:val="32"/>
          <w:szCs w:val="32"/>
          <w:lang w:val="en-US" w:eastAsia="zh-CN"/>
        </w:rPr>
        <w:t>20</w:t>
      </w:r>
      <w:r>
        <w:rPr>
          <w:rFonts w:hint="eastAsia" w:ascii="仿宋_GB2312" w:hAnsi="仿宋" w:eastAsia="仿宋_GB2312"/>
          <w:sz w:val="32"/>
          <w:szCs w:val="32"/>
        </w:rPr>
        <w:t>人，事业编制</w:t>
      </w:r>
      <w:r>
        <w:rPr>
          <w:rFonts w:hint="eastAsia" w:ascii="仿宋_GB2312" w:hAnsi="仿宋" w:eastAsia="仿宋_GB2312"/>
          <w:sz w:val="32"/>
          <w:szCs w:val="32"/>
          <w:lang w:val="en-US" w:eastAsia="zh-CN"/>
        </w:rPr>
        <w:t>22</w:t>
      </w:r>
      <w:r>
        <w:rPr>
          <w:rFonts w:hint="eastAsia" w:ascii="仿宋_GB2312" w:hAnsi="仿宋" w:eastAsia="仿宋_GB2312"/>
          <w:sz w:val="32"/>
          <w:szCs w:val="32"/>
        </w:rPr>
        <w:t>人；年末其他人员21人</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由养老保险基金发放养老金的退休人员8人。</w:t>
      </w:r>
    </w:p>
    <w:p>
      <w:pPr>
        <w:ind w:firstLine="630"/>
        <w:jc w:val="left"/>
        <w:rPr>
          <w:rFonts w:ascii="仿宋_GB2312" w:hAnsi="仿宋" w:eastAsia="仿宋_GB2312"/>
          <w:sz w:val="32"/>
          <w:szCs w:val="32"/>
        </w:rPr>
      </w:pPr>
      <w:r>
        <w:rPr>
          <w:rFonts w:hint="eastAsia" w:ascii="仿宋_GB2312" w:hAnsi="仿宋" w:eastAsia="仿宋_GB2312"/>
          <w:sz w:val="32"/>
          <w:szCs w:val="32"/>
        </w:rPr>
        <w:t>（三）当年取得的主要事业成效</w:t>
      </w:r>
    </w:p>
    <w:p>
      <w:pPr>
        <w:ind w:firstLine="630"/>
        <w:jc w:val="left"/>
        <w:rPr>
          <w:rFonts w:ascii="仿宋_GB2312" w:hAnsi="仿宋" w:eastAsia="仿宋_GB2312"/>
          <w:sz w:val="32"/>
          <w:szCs w:val="32"/>
        </w:rPr>
      </w:pPr>
      <w:r>
        <w:rPr>
          <w:rFonts w:hint="eastAsia" w:ascii="仿宋_GB2312" w:hAnsi="仿宋" w:eastAsia="仿宋_GB2312"/>
          <w:sz w:val="32"/>
          <w:szCs w:val="32"/>
        </w:rPr>
        <w:t>1.预算执行情况良好，财政保障有力有效，确保乡村两级政权正常运转。</w:t>
      </w:r>
    </w:p>
    <w:p>
      <w:pPr>
        <w:ind w:firstLine="630"/>
        <w:jc w:val="left"/>
        <w:rPr>
          <w:rFonts w:ascii="仿宋_GB2312" w:hAnsi="仿宋" w:eastAsia="仿宋_GB2312"/>
          <w:sz w:val="32"/>
          <w:szCs w:val="32"/>
        </w:rPr>
      </w:pPr>
      <w:r>
        <w:rPr>
          <w:rFonts w:hint="eastAsia" w:ascii="仿宋_GB2312" w:hAnsi="仿宋" w:eastAsia="仿宋_GB2312"/>
          <w:sz w:val="32"/>
          <w:szCs w:val="32"/>
        </w:rPr>
        <w:t>2.加大乡域内新农村建设、小型基础设施等项目建设，促进农村社会经济发展。</w:t>
      </w:r>
    </w:p>
    <w:p>
      <w:pPr>
        <w:ind w:firstLine="630"/>
        <w:jc w:val="left"/>
        <w:rPr>
          <w:rFonts w:ascii="仿宋_GB2312" w:hAnsi="仿宋" w:eastAsia="仿宋_GB2312"/>
          <w:sz w:val="32"/>
          <w:szCs w:val="32"/>
        </w:rPr>
      </w:pPr>
      <w:r>
        <w:rPr>
          <w:rFonts w:hint="eastAsia" w:ascii="仿宋_GB2312" w:hAnsi="仿宋" w:eastAsia="仿宋_GB2312"/>
          <w:sz w:val="32"/>
          <w:szCs w:val="32"/>
        </w:rPr>
        <w:t>3.加大各种惠农资金和社会保障资金的发放力度，提高人民生活水平。</w:t>
      </w:r>
    </w:p>
    <w:p>
      <w:pPr>
        <w:keepNext w:val="0"/>
        <w:keepLines w:val="0"/>
        <w:widowControl/>
        <w:suppressLineNumbers w:val="0"/>
        <w:jc w:val="left"/>
        <w:rPr>
          <w:rFonts w:hint="eastAsia" w:ascii="黑体" w:hAnsi="宋体" w:eastAsia="黑体" w:cs="黑体"/>
          <w:b/>
          <w:bCs/>
          <w:color w:val="000000"/>
          <w:kern w:val="0"/>
          <w:sz w:val="28"/>
          <w:szCs w:val="28"/>
          <w:lang w:val="en-US" w:eastAsia="zh-CN" w:bidi="ar"/>
        </w:rPr>
        <w:sectPr>
          <w:pgSz w:w="11906" w:h="16838"/>
          <w:pgMar w:top="1440" w:right="1800" w:bottom="1440" w:left="1800" w:header="851" w:footer="992" w:gutter="0"/>
          <w:cols w:space="425" w:num="1"/>
          <w:docGrid w:type="lines" w:linePitch="312" w:charSpace="0"/>
        </w:sectPr>
      </w:pPr>
    </w:p>
    <w:p>
      <w:pPr>
        <w:keepNext w:val="0"/>
        <w:keepLines w:val="0"/>
        <w:widowControl/>
        <w:numPr>
          <w:ilvl w:val="0"/>
          <w:numId w:val="2"/>
        </w:numPr>
        <w:suppressLineNumbers w:val="0"/>
        <w:jc w:val="center"/>
        <w:rPr>
          <w:rFonts w:hint="default" w:ascii="黑体" w:hAnsi="宋体" w:eastAsia="黑体" w:cs="黑体"/>
          <w:b/>
          <w:bCs/>
          <w:color w:val="000000"/>
          <w:kern w:val="0"/>
          <w:sz w:val="36"/>
          <w:szCs w:val="36"/>
          <w:lang w:val="en-US" w:eastAsia="zh-CN" w:bidi="ar"/>
        </w:rPr>
      </w:pPr>
      <w:r>
        <w:rPr>
          <w:rFonts w:hint="eastAsia" w:ascii="黑体" w:hAnsi="宋体" w:eastAsia="黑体" w:cs="黑体"/>
          <w:b/>
          <w:bCs/>
          <w:color w:val="000000"/>
          <w:kern w:val="0"/>
          <w:sz w:val="36"/>
          <w:szCs w:val="36"/>
          <w:lang w:val="en-US" w:eastAsia="zh-CN" w:bidi="ar"/>
        </w:rPr>
        <w:t xml:space="preserve">  2022年度部门决算报表</w:t>
      </w:r>
    </w:p>
    <w:p>
      <w:pPr>
        <w:keepNext w:val="0"/>
        <w:keepLines w:val="0"/>
        <w:widowControl/>
        <w:numPr>
          <w:ilvl w:val="0"/>
          <w:numId w:val="0"/>
        </w:numPr>
        <w:suppressLineNumbers w:val="0"/>
        <w:jc w:val="both"/>
        <w:rPr>
          <w:rFonts w:hint="default" w:ascii="黑体" w:hAnsi="宋体" w:eastAsia="黑体" w:cs="黑体"/>
          <w:b/>
          <w:bCs/>
          <w:color w:val="000000"/>
          <w:kern w:val="0"/>
          <w:sz w:val="28"/>
          <w:szCs w:val="28"/>
          <w:lang w:val="en-US" w:eastAsia="zh-CN" w:bidi="ar"/>
        </w:rPr>
      </w:pPr>
    </w:p>
    <w:p>
      <w:pPr>
        <w:keepNext w:val="0"/>
        <w:keepLines w:val="0"/>
        <w:widowControl/>
        <w:numPr>
          <w:ilvl w:val="0"/>
          <w:numId w:val="0"/>
        </w:numPr>
        <w:suppressLineNumbers w:val="0"/>
        <w:jc w:val="center"/>
        <w:rPr>
          <w:rFonts w:hint="default" w:ascii="黑体" w:hAnsi="宋体" w:eastAsia="黑体" w:cs="黑体"/>
          <w:b/>
          <w:bCs/>
          <w:color w:val="000000"/>
          <w:kern w:val="0"/>
          <w:sz w:val="28"/>
          <w:szCs w:val="28"/>
          <w:lang w:val="en-US" w:eastAsia="zh-CN" w:bidi="ar"/>
        </w:rPr>
        <w:sectPr>
          <w:pgSz w:w="11906" w:h="16838"/>
          <w:pgMar w:top="1440" w:right="1800" w:bottom="1440" w:left="1800" w:header="851" w:footer="992" w:gutter="0"/>
          <w:cols w:space="425" w:num="1"/>
          <w:docGrid w:type="lines" w:linePitch="312" w:charSpace="0"/>
        </w:sectPr>
      </w:pPr>
      <w:r>
        <w:drawing>
          <wp:inline distT="0" distB="0" distL="114300" distR="114300">
            <wp:extent cx="5272405" cy="4864100"/>
            <wp:effectExtent l="0" t="0" r="444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486410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5420" cy="3907790"/>
            <wp:effectExtent l="0" t="0" r="1143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390779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drawing>
          <wp:inline distT="0" distB="0" distL="114300" distR="114300">
            <wp:extent cx="5270500" cy="3750945"/>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375094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drawing>
          <wp:inline distT="0" distB="0" distL="114300" distR="114300">
            <wp:extent cx="5265420" cy="3850640"/>
            <wp:effectExtent l="0" t="0" r="1143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5420" cy="385064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drawing>
          <wp:inline distT="0" distB="0" distL="114300" distR="114300">
            <wp:extent cx="5267960" cy="48761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960" cy="487616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drawing>
          <wp:inline distT="0" distB="0" distL="114300" distR="114300">
            <wp:extent cx="5269230" cy="48310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9230" cy="483108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drawing>
          <wp:inline distT="0" distB="0" distL="114300" distR="114300">
            <wp:extent cx="5266055" cy="4800600"/>
            <wp:effectExtent l="0" t="0" r="1079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6055" cy="480060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7325" cy="3804285"/>
            <wp:effectExtent l="0" t="0" r="952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7325" cy="380428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135" cy="5609590"/>
            <wp:effectExtent l="0" t="0" r="571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1135" cy="560959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0500" cy="2620645"/>
            <wp:effectExtent l="0" t="0" r="635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0500" cy="262064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drawing>
          <wp:inline distT="0" distB="0" distL="114300" distR="114300">
            <wp:extent cx="5269865" cy="5668010"/>
            <wp:effectExtent l="0" t="0" r="698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69865" cy="566801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135" cy="2196465"/>
            <wp:effectExtent l="0" t="0" r="5715"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1135" cy="219646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135" cy="3773170"/>
            <wp:effectExtent l="0" t="0" r="5715"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1135" cy="377317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230" cy="4597400"/>
            <wp:effectExtent l="0" t="0" r="762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69230" cy="459740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135" cy="3827780"/>
            <wp:effectExtent l="0" t="0" r="571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1135" cy="382778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7960" cy="2454910"/>
            <wp:effectExtent l="0" t="0" r="889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67960" cy="245491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8595" cy="2750185"/>
            <wp:effectExtent l="0" t="0" r="825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68595" cy="275018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8595" cy="4610100"/>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68595" cy="461010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0500" cy="3047365"/>
            <wp:effectExtent l="0" t="0" r="635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0500" cy="3047365"/>
                    </a:xfrm>
                    <a:prstGeom prst="rect">
                      <a:avLst/>
                    </a:prstGeom>
                    <a:noFill/>
                    <a:ln>
                      <a:noFill/>
                    </a:ln>
                  </pic:spPr>
                </pic:pic>
              </a:graphicData>
            </a:graphic>
          </wp:inline>
        </w:drawing>
      </w:r>
    </w:p>
    <w:p>
      <w:pPr>
        <w:keepNext w:val="0"/>
        <w:keepLines w:val="0"/>
        <w:widowControl/>
        <w:suppressLineNumbers w:val="0"/>
        <w:jc w:val="left"/>
        <w:sectPr>
          <w:pgSz w:w="11906" w:h="16838"/>
          <w:pgMar w:top="1440" w:right="1800" w:bottom="1440" w:left="1800" w:header="851" w:footer="992" w:gutter="0"/>
          <w:cols w:space="425" w:num="1"/>
          <w:docGrid w:type="lines" w:linePitch="312" w:charSpace="0"/>
        </w:sectPr>
      </w:pPr>
    </w:p>
    <w:p>
      <w:pPr>
        <w:widowControl/>
        <w:spacing w:line="600" w:lineRule="exact"/>
        <w:ind w:firstLine="64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第三部分  202</w:t>
      </w:r>
      <w:r>
        <w:rPr>
          <w:rFonts w:hint="eastAsia" w:ascii="方正小标宋简体" w:hAnsi="方正小标宋简体" w:eastAsia="方正小标宋简体" w:cs="方正小标宋简体"/>
          <w:bCs/>
          <w:sz w:val="44"/>
          <w:szCs w:val="44"/>
          <w:lang w:val="en-US" w:eastAsia="zh-CN"/>
        </w:rPr>
        <w:t>2</w:t>
      </w:r>
      <w:r>
        <w:rPr>
          <w:rFonts w:hint="eastAsia" w:ascii="方正小标宋简体" w:hAnsi="方正小标宋简体" w:eastAsia="方正小标宋简体" w:cs="方正小标宋简体"/>
          <w:bCs/>
          <w:sz w:val="44"/>
          <w:szCs w:val="44"/>
        </w:rPr>
        <w:t>年度部门决算情况说明</w:t>
      </w:r>
    </w:p>
    <w:p>
      <w:pPr>
        <w:keepNext w:val="0"/>
        <w:keepLines w:val="0"/>
        <w:widowControl/>
        <w:suppressLineNumbers w:val="0"/>
        <w:jc w:val="left"/>
        <w:rPr>
          <w:rFonts w:hint="eastAsia"/>
          <w:sz w:val="28"/>
          <w:szCs w:val="28"/>
          <w:lang w:val="en-US" w:eastAsia="zh-CN"/>
        </w:rPr>
      </w:pPr>
      <w:r>
        <w:rPr>
          <w:rFonts w:hint="eastAsia"/>
          <w:sz w:val="28"/>
          <w:szCs w:val="28"/>
          <w:lang w:val="en-US" w:eastAsia="zh-CN"/>
        </w:rPr>
        <w:t xml:space="preserve"> </w:t>
      </w:r>
    </w:p>
    <w:p>
      <w:pPr>
        <w:keepNext w:val="0"/>
        <w:keepLines w:val="0"/>
        <w:widowControl/>
        <w:suppressLineNumbers w:val="0"/>
        <w:jc w:val="left"/>
        <w:rPr>
          <w:rFonts w:hint="eastAsia"/>
          <w:sz w:val="28"/>
          <w:szCs w:val="28"/>
          <w:lang w:val="en-US" w:eastAsia="zh-CN"/>
        </w:rPr>
      </w:pPr>
      <w:r>
        <w:rPr>
          <w:rFonts w:hint="eastAsia"/>
          <w:sz w:val="28"/>
          <w:szCs w:val="28"/>
          <w:lang w:val="en-US" w:eastAsia="zh-CN"/>
        </w:rPr>
        <w:t xml:space="preserve"> </w:t>
      </w:r>
      <w:r>
        <w:rPr>
          <w:rFonts w:hint="eastAsia" w:ascii="黑体" w:hAnsi="黑体" w:eastAsia="黑体" w:cs="黑体"/>
          <w:sz w:val="30"/>
          <w:szCs w:val="30"/>
          <w:lang w:val="en-US" w:eastAsia="zh-CN"/>
        </w:rPr>
        <w:t>一、收入决算情况说明</w:t>
      </w:r>
    </w:p>
    <w:p>
      <w:pPr>
        <w:keepNext w:val="0"/>
        <w:keepLines w:val="0"/>
        <w:widowControl/>
        <w:suppressLineNumbers w:val="0"/>
        <w:ind w:firstLine="560" w:firstLineChars="200"/>
        <w:jc w:val="left"/>
        <w:rPr>
          <w:rFonts w:hint="eastAsia"/>
          <w:sz w:val="28"/>
          <w:szCs w:val="28"/>
          <w:lang w:val="en-US" w:eastAsia="zh-CN"/>
        </w:rPr>
      </w:pPr>
      <w:r>
        <w:rPr>
          <w:rFonts w:hint="eastAsia"/>
          <w:sz w:val="28"/>
          <w:szCs w:val="28"/>
          <w:lang w:val="en-US" w:eastAsia="zh-CN"/>
        </w:rPr>
        <w:t>本部门2022年度收入总计 4770万元，较2021 年减少1615万元。本年收入的具体构成为：一般公共预算财政拨款收入4551万元，政府性基金预算拨款收入219万元。</w:t>
      </w:r>
    </w:p>
    <w:p>
      <w:pPr>
        <w:keepNext w:val="0"/>
        <w:keepLines w:val="0"/>
        <w:widowControl/>
        <w:suppressLineNumbers w:val="0"/>
        <w:ind w:firstLine="560" w:firstLineChars="200"/>
        <w:jc w:val="left"/>
        <w:rPr>
          <w:rFonts w:hint="eastAsia"/>
          <w:sz w:val="28"/>
          <w:szCs w:val="28"/>
          <w:lang w:val="en-US" w:eastAsia="zh-CN"/>
        </w:rPr>
      </w:pPr>
    </w:p>
    <w:p>
      <w:pPr>
        <w:keepNext w:val="0"/>
        <w:keepLines w:val="0"/>
        <w:widowControl/>
        <w:suppressLineNumbers w:val="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二、支出决算情况说明</w:t>
      </w:r>
    </w:p>
    <w:p>
      <w:pPr>
        <w:keepNext w:val="0"/>
        <w:keepLines w:val="0"/>
        <w:widowControl/>
        <w:suppressLineNumbers w:val="0"/>
        <w:ind w:firstLine="560" w:firstLineChars="200"/>
        <w:jc w:val="left"/>
        <w:rPr>
          <w:rFonts w:hint="eastAsia"/>
          <w:sz w:val="28"/>
          <w:szCs w:val="28"/>
          <w:lang w:val="en-US" w:eastAsia="zh-CN"/>
        </w:rPr>
      </w:pPr>
      <w:r>
        <w:rPr>
          <w:rFonts w:hint="default"/>
          <w:sz w:val="28"/>
          <w:szCs w:val="28"/>
          <w:lang w:val="en-US" w:eastAsia="zh-CN"/>
        </w:rPr>
        <w:t>全年预算支出</w:t>
      </w:r>
      <w:r>
        <w:rPr>
          <w:rFonts w:hint="eastAsia"/>
          <w:sz w:val="28"/>
          <w:szCs w:val="28"/>
          <w:lang w:val="en-US" w:eastAsia="zh-CN"/>
        </w:rPr>
        <w:t>4770</w:t>
      </w:r>
      <w:r>
        <w:rPr>
          <w:rFonts w:hint="default"/>
          <w:sz w:val="28"/>
          <w:szCs w:val="28"/>
          <w:lang w:val="en-US" w:eastAsia="zh-CN"/>
        </w:rPr>
        <w:t>万元,</w:t>
      </w:r>
      <w:r>
        <w:rPr>
          <w:rFonts w:hint="eastAsia"/>
          <w:sz w:val="28"/>
          <w:szCs w:val="28"/>
          <w:lang w:val="en-US" w:eastAsia="zh-CN"/>
        </w:rPr>
        <w:t>较2021年减少1615万元，同比下降25%。</w:t>
      </w:r>
    </w:p>
    <w:p>
      <w:pPr>
        <w:keepNext w:val="0"/>
        <w:keepLines w:val="0"/>
        <w:widowControl/>
        <w:suppressLineNumbers w:val="0"/>
        <w:ind w:firstLine="560" w:firstLineChars="200"/>
        <w:jc w:val="left"/>
        <w:rPr>
          <w:rFonts w:hint="default"/>
          <w:sz w:val="28"/>
          <w:szCs w:val="28"/>
          <w:lang w:val="en-US" w:eastAsia="zh-CN"/>
        </w:rPr>
      </w:pPr>
      <w:r>
        <w:rPr>
          <w:rFonts w:hint="default"/>
          <w:sz w:val="28"/>
          <w:szCs w:val="28"/>
          <w:lang w:val="en-US" w:eastAsia="zh-CN"/>
        </w:rPr>
        <w:t>其中：一般公共预算财政拨款4551万元，政府性预算财政拨款219万元。</w:t>
      </w:r>
    </w:p>
    <w:p>
      <w:pPr>
        <w:keepNext w:val="0"/>
        <w:keepLines w:val="0"/>
        <w:widowControl/>
        <w:suppressLineNumbers w:val="0"/>
        <w:ind w:firstLine="560" w:firstLineChars="200"/>
        <w:jc w:val="left"/>
        <w:rPr>
          <w:rFonts w:hint="eastAsia" w:ascii="黑体" w:hAnsi="黑体" w:eastAsia="黑体" w:cs="黑体"/>
          <w:sz w:val="28"/>
          <w:szCs w:val="28"/>
          <w:lang w:val="en-US" w:eastAsia="zh-CN"/>
        </w:rPr>
      </w:pPr>
    </w:p>
    <w:p>
      <w:pPr>
        <w:keepNext w:val="0"/>
        <w:keepLines w:val="0"/>
        <w:widowControl/>
        <w:suppressLineNumbers w:val="0"/>
        <w:jc w:val="left"/>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三、财政拨款支出决算情况说明</w:t>
      </w:r>
    </w:p>
    <w:p>
      <w:pPr>
        <w:keepNext w:val="0"/>
        <w:keepLines w:val="0"/>
        <w:widowControl/>
        <w:suppressLineNumbers w:val="0"/>
        <w:ind w:firstLine="560" w:firstLineChars="200"/>
        <w:jc w:val="left"/>
        <w:rPr>
          <w:rFonts w:hint="default"/>
          <w:sz w:val="28"/>
          <w:szCs w:val="28"/>
          <w:lang w:val="en-US" w:eastAsia="zh-CN"/>
        </w:rPr>
      </w:pPr>
      <w:r>
        <w:rPr>
          <w:rFonts w:hint="default"/>
          <w:sz w:val="28"/>
          <w:szCs w:val="28"/>
          <w:lang w:val="en-US" w:eastAsia="zh-CN"/>
        </w:rPr>
        <w:t>财政拨款支出</w:t>
      </w:r>
      <w:r>
        <w:rPr>
          <w:rFonts w:hint="eastAsia"/>
          <w:sz w:val="28"/>
          <w:szCs w:val="28"/>
          <w:lang w:val="en-US" w:eastAsia="zh-CN"/>
        </w:rPr>
        <w:t>4770</w:t>
      </w:r>
      <w:r>
        <w:rPr>
          <w:rFonts w:hint="default"/>
          <w:sz w:val="28"/>
          <w:szCs w:val="28"/>
          <w:lang w:val="en-US" w:eastAsia="zh-CN"/>
        </w:rPr>
        <w:t>万元,其中; 一般公共预算财政拨款</w:t>
      </w:r>
      <w:r>
        <w:rPr>
          <w:rFonts w:hint="eastAsia"/>
          <w:sz w:val="28"/>
          <w:szCs w:val="28"/>
          <w:lang w:val="en-US" w:eastAsia="zh-CN"/>
        </w:rPr>
        <w:t>4551</w:t>
      </w:r>
      <w:r>
        <w:rPr>
          <w:rFonts w:hint="default"/>
          <w:sz w:val="28"/>
          <w:szCs w:val="28"/>
          <w:lang w:val="en-US" w:eastAsia="zh-CN"/>
        </w:rPr>
        <w:t>万元，政府性</w:t>
      </w:r>
      <w:r>
        <w:rPr>
          <w:rFonts w:hint="eastAsia"/>
          <w:sz w:val="28"/>
          <w:szCs w:val="28"/>
          <w:lang w:val="en-US" w:eastAsia="zh-CN"/>
        </w:rPr>
        <w:t>基金</w:t>
      </w:r>
      <w:r>
        <w:rPr>
          <w:rFonts w:hint="default"/>
          <w:sz w:val="28"/>
          <w:szCs w:val="28"/>
          <w:lang w:val="en-US" w:eastAsia="zh-CN"/>
        </w:rPr>
        <w:t>预算财政拨款</w:t>
      </w:r>
      <w:r>
        <w:rPr>
          <w:rFonts w:hint="eastAsia"/>
          <w:sz w:val="28"/>
          <w:szCs w:val="28"/>
          <w:lang w:val="en-US" w:eastAsia="zh-CN"/>
        </w:rPr>
        <w:t>219</w:t>
      </w:r>
      <w:r>
        <w:rPr>
          <w:rFonts w:hint="default"/>
          <w:sz w:val="28"/>
          <w:szCs w:val="28"/>
          <w:lang w:val="en-US" w:eastAsia="zh-CN"/>
        </w:rPr>
        <w:t>万元。</w:t>
      </w:r>
      <w:r>
        <w:rPr>
          <w:rFonts w:hint="eastAsia"/>
          <w:sz w:val="28"/>
          <w:szCs w:val="28"/>
          <w:lang w:val="en-US" w:eastAsia="zh-CN"/>
        </w:rPr>
        <w:t>财政拨款本年支出</w:t>
      </w:r>
      <w:r>
        <w:rPr>
          <w:rFonts w:hint="default"/>
          <w:sz w:val="28"/>
          <w:szCs w:val="28"/>
          <w:lang w:val="en-US" w:eastAsia="zh-CN"/>
        </w:rPr>
        <w:t>分为基本支出和项目支出。</w:t>
      </w:r>
    </w:p>
    <w:p>
      <w:pPr>
        <w:keepNext w:val="0"/>
        <w:keepLines w:val="0"/>
        <w:widowControl/>
        <w:suppressLineNumbers w:val="0"/>
        <w:ind w:firstLine="560" w:firstLineChars="200"/>
        <w:jc w:val="left"/>
        <w:rPr>
          <w:rFonts w:hint="default"/>
          <w:sz w:val="28"/>
          <w:szCs w:val="28"/>
          <w:lang w:val="en-US" w:eastAsia="zh-CN"/>
        </w:rPr>
      </w:pPr>
      <w:r>
        <w:rPr>
          <w:rFonts w:hint="default"/>
          <w:sz w:val="28"/>
          <w:szCs w:val="28"/>
          <w:lang w:val="en-US" w:eastAsia="zh-CN"/>
        </w:rPr>
        <w:t>基本支出全年预算数为</w:t>
      </w:r>
      <w:r>
        <w:rPr>
          <w:rFonts w:hint="eastAsia"/>
          <w:sz w:val="28"/>
          <w:szCs w:val="28"/>
          <w:lang w:val="en-US" w:eastAsia="zh-CN"/>
        </w:rPr>
        <w:t>1714</w:t>
      </w:r>
      <w:r>
        <w:rPr>
          <w:rFonts w:hint="default"/>
          <w:sz w:val="28"/>
          <w:szCs w:val="28"/>
          <w:lang w:val="en-US" w:eastAsia="zh-CN"/>
        </w:rPr>
        <w:t>万元，全年执行数为</w:t>
      </w:r>
      <w:r>
        <w:rPr>
          <w:rFonts w:hint="eastAsia"/>
          <w:sz w:val="28"/>
          <w:szCs w:val="28"/>
          <w:lang w:val="en-US" w:eastAsia="zh-CN"/>
        </w:rPr>
        <w:t>1714</w:t>
      </w:r>
      <w:r>
        <w:rPr>
          <w:rFonts w:hint="default"/>
          <w:sz w:val="28"/>
          <w:szCs w:val="28"/>
          <w:lang w:val="en-US" w:eastAsia="zh-CN"/>
        </w:rPr>
        <w:t>万元，执行率100%；项目支出全年预算数为</w:t>
      </w:r>
      <w:r>
        <w:rPr>
          <w:rFonts w:hint="eastAsia"/>
          <w:sz w:val="28"/>
          <w:szCs w:val="28"/>
          <w:lang w:val="en-US" w:eastAsia="zh-CN"/>
        </w:rPr>
        <w:t>3056</w:t>
      </w:r>
      <w:r>
        <w:rPr>
          <w:rFonts w:hint="default"/>
          <w:sz w:val="28"/>
          <w:szCs w:val="28"/>
          <w:lang w:val="en-US" w:eastAsia="zh-CN"/>
        </w:rPr>
        <w:t>万元，全年执行数为</w:t>
      </w:r>
      <w:r>
        <w:rPr>
          <w:rFonts w:hint="eastAsia"/>
          <w:sz w:val="28"/>
          <w:szCs w:val="28"/>
          <w:lang w:val="en-US" w:eastAsia="zh-CN"/>
        </w:rPr>
        <w:t>3056</w:t>
      </w:r>
      <w:r>
        <w:rPr>
          <w:rFonts w:hint="default"/>
          <w:sz w:val="28"/>
          <w:szCs w:val="28"/>
          <w:lang w:val="en-US" w:eastAsia="zh-CN"/>
        </w:rPr>
        <w:t>万元，执行率100%。</w:t>
      </w:r>
    </w:p>
    <w:p>
      <w:pPr>
        <w:keepNext w:val="0"/>
        <w:keepLines w:val="0"/>
        <w:widowControl/>
        <w:suppressLineNumbers w:val="0"/>
        <w:ind w:firstLine="560" w:firstLineChars="200"/>
        <w:jc w:val="left"/>
        <w:rPr>
          <w:rFonts w:hint="default"/>
          <w:sz w:val="28"/>
          <w:szCs w:val="28"/>
          <w:lang w:val="en-US" w:eastAsia="zh-CN"/>
        </w:rPr>
      </w:pPr>
    </w:p>
    <w:p>
      <w:pPr>
        <w:jc w:val="left"/>
        <w:rPr>
          <w:rFonts w:ascii="黑体" w:hAnsi="黑体" w:eastAsia="黑体"/>
          <w:sz w:val="30"/>
          <w:szCs w:val="30"/>
        </w:rPr>
      </w:pPr>
      <w:r>
        <w:rPr>
          <w:rFonts w:hint="eastAsia" w:ascii="黑体" w:hAnsi="黑体" w:eastAsia="黑体"/>
          <w:sz w:val="30"/>
          <w:szCs w:val="30"/>
        </w:rPr>
        <w:t>四、一般公共预算财政拨款基本支出决算情况说明</w:t>
      </w:r>
    </w:p>
    <w:p>
      <w:pPr>
        <w:snapToGrid w:val="0"/>
        <w:spacing w:line="520" w:lineRule="exact"/>
        <w:ind w:firstLine="750" w:firstLineChars="250"/>
        <w:rPr>
          <w:rFonts w:hint="eastAsia" w:ascii="仿宋_GB2312" w:hAnsi="仿宋_GB2312" w:eastAsia="仿宋_GB2312"/>
          <w:sz w:val="30"/>
          <w:szCs w:val="30"/>
        </w:rPr>
      </w:pPr>
      <w:r>
        <w:rPr>
          <w:rFonts w:hint="eastAsia" w:ascii="仿宋_GB2312" w:hAnsi="仿宋_GB2312" w:eastAsia="仿宋_GB2312"/>
          <w:sz w:val="30"/>
          <w:szCs w:val="30"/>
          <w:lang w:val="en-US" w:eastAsia="zh-CN"/>
        </w:rPr>
        <w:t>一般公共一算财政拨款</w:t>
      </w:r>
      <w:r>
        <w:rPr>
          <w:rFonts w:hint="eastAsia" w:ascii="仿宋_GB2312" w:hAnsi="仿宋_GB2312" w:eastAsia="仿宋_GB2312"/>
          <w:sz w:val="30"/>
          <w:szCs w:val="30"/>
        </w:rPr>
        <w:t>基本支出全年预算数为</w:t>
      </w:r>
      <w:r>
        <w:rPr>
          <w:rFonts w:hint="eastAsia" w:ascii="仿宋_GB2312" w:hAnsi="仿宋_GB2312" w:eastAsia="仿宋_GB2312"/>
          <w:sz w:val="30"/>
          <w:szCs w:val="30"/>
          <w:lang w:val="en-US" w:eastAsia="zh-CN"/>
        </w:rPr>
        <w:t>1494</w:t>
      </w:r>
      <w:r>
        <w:rPr>
          <w:rFonts w:hint="eastAsia" w:ascii="仿宋_GB2312" w:hAnsi="仿宋_GB2312" w:eastAsia="仿宋_GB2312"/>
          <w:sz w:val="30"/>
          <w:szCs w:val="30"/>
        </w:rPr>
        <w:t>万元，全年执行数为</w:t>
      </w:r>
      <w:r>
        <w:rPr>
          <w:rFonts w:hint="eastAsia" w:ascii="仿宋_GB2312" w:hAnsi="仿宋_GB2312" w:eastAsia="仿宋_GB2312"/>
          <w:sz w:val="30"/>
          <w:szCs w:val="30"/>
          <w:lang w:val="en-US" w:eastAsia="zh-CN"/>
        </w:rPr>
        <w:t>1494</w:t>
      </w:r>
      <w:r>
        <w:rPr>
          <w:rFonts w:hint="eastAsia" w:ascii="仿宋_GB2312" w:hAnsi="仿宋_GB2312" w:eastAsia="仿宋_GB2312"/>
          <w:sz w:val="30"/>
          <w:szCs w:val="30"/>
        </w:rPr>
        <w:t>万元，执行率100%；其中：</w:t>
      </w:r>
    </w:p>
    <w:p>
      <w:pPr>
        <w:numPr>
          <w:ilvl w:val="0"/>
          <w:numId w:val="3"/>
        </w:numPr>
        <w:snapToGrid w:val="0"/>
        <w:spacing w:line="520" w:lineRule="exact"/>
        <w:ind w:firstLine="750" w:firstLineChars="250"/>
        <w:rPr>
          <w:rFonts w:hint="eastAsia"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工资福利支出588万元，较2021年减少104万元，主要原因是绩效工资减少。</w:t>
      </w:r>
    </w:p>
    <w:p>
      <w:pPr>
        <w:numPr>
          <w:ilvl w:val="0"/>
          <w:numId w:val="3"/>
        </w:numPr>
        <w:snapToGrid w:val="0"/>
        <w:spacing w:line="520" w:lineRule="exact"/>
        <w:ind w:firstLine="750" w:firstLineChars="250"/>
        <w:rPr>
          <w:rFonts w:hint="default"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商品和服务支出375万元，较2021年减少230万元，主要原因是落实过紧日子要求压减办公费支出。</w:t>
      </w:r>
    </w:p>
    <w:p>
      <w:pPr>
        <w:numPr>
          <w:ilvl w:val="0"/>
          <w:numId w:val="3"/>
        </w:numPr>
        <w:snapToGrid w:val="0"/>
        <w:spacing w:line="520" w:lineRule="exact"/>
        <w:ind w:firstLine="750" w:firstLineChars="250"/>
        <w:rPr>
          <w:rFonts w:hint="default"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对个人和家庭的补助支出505万，较2021年增加369万元，主要原因是生活补贴和救济费增加、</w:t>
      </w:r>
    </w:p>
    <w:p>
      <w:pPr>
        <w:numPr>
          <w:ilvl w:val="0"/>
          <w:numId w:val="3"/>
        </w:numPr>
        <w:snapToGrid w:val="0"/>
        <w:spacing w:line="520" w:lineRule="exact"/>
        <w:ind w:firstLine="750" w:firstLineChars="250"/>
        <w:rPr>
          <w:rFonts w:hint="default"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资本性支出28万元，比2021年增加28万元，主要原因是办公设备购置和公车构筑。</w:t>
      </w:r>
    </w:p>
    <w:p>
      <w:pPr>
        <w:snapToGrid w:val="0"/>
        <w:spacing w:line="520" w:lineRule="exact"/>
        <w:ind w:firstLine="750" w:firstLineChars="250"/>
        <w:rPr>
          <w:rFonts w:hint="eastAsia" w:ascii="仿宋_GB2312" w:hAnsi="仿宋_GB2312" w:eastAsia="仿宋_GB2312"/>
          <w:sz w:val="30"/>
          <w:szCs w:val="30"/>
        </w:rPr>
      </w:pPr>
    </w:p>
    <w:p>
      <w:pPr>
        <w:snapToGrid w:val="0"/>
        <w:spacing w:line="520" w:lineRule="exact"/>
        <w:rPr>
          <w:rFonts w:hint="eastAsia" w:ascii="黑体" w:hAnsi="黑体" w:eastAsia="黑体" w:cs="黑体"/>
          <w:sz w:val="30"/>
          <w:szCs w:val="30"/>
        </w:rPr>
      </w:pPr>
      <w:r>
        <w:rPr>
          <w:rFonts w:hint="eastAsia" w:ascii="黑体" w:hAnsi="黑体" w:eastAsia="黑体" w:cs="黑体"/>
          <w:sz w:val="30"/>
          <w:szCs w:val="30"/>
        </w:rPr>
        <w:t>五 、财政拨款“三公”经费支出决算情况说明</w:t>
      </w:r>
    </w:p>
    <w:p>
      <w:pPr>
        <w:snapToGrid w:val="0"/>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本部门202</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rPr>
        <w:t>年度财政拨款“三公”经费支出全年预算数为</w:t>
      </w:r>
      <w:r>
        <w:rPr>
          <w:rFonts w:hint="eastAsia" w:asciiTheme="minorEastAsia" w:hAnsiTheme="minorEastAsia" w:cstheme="minorEastAsia"/>
          <w:sz w:val="28"/>
          <w:szCs w:val="28"/>
          <w:lang w:val="en-US" w:eastAsia="zh-CN"/>
        </w:rPr>
        <w:t>62.66</w:t>
      </w:r>
      <w:r>
        <w:rPr>
          <w:rFonts w:hint="eastAsia" w:asciiTheme="minorEastAsia" w:hAnsiTheme="minorEastAsia" w:eastAsiaTheme="minorEastAsia" w:cstheme="minorEastAsia"/>
          <w:sz w:val="28"/>
          <w:szCs w:val="28"/>
        </w:rPr>
        <w:t>万元，决算数为</w:t>
      </w:r>
      <w:r>
        <w:rPr>
          <w:rFonts w:hint="eastAsia" w:asciiTheme="minorEastAsia" w:hAnsiTheme="minorEastAsia" w:cstheme="minorEastAsia"/>
          <w:sz w:val="28"/>
          <w:szCs w:val="28"/>
          <w:lang w:val="en-US" w:eastAsia="zh-CN"/>
        </w:rPr>
        <w:t>62.66</w:t>
      </w:r>
      <w:r>
        <w:rPr>
          <w:rFonts w:hint="eastAsia" w:asciiTheme="minorEastAsia" w:hAnsiTheme="minorEastAsia" w:eastAsiaTheme="minorEastAsia" w:cstheme="minorEastAsia"/>
          <w:sz w:val="28"/>
          <w:szCs w:val="28"/>
        </w:rPr>
        <w:t>万元</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完成全年预算的</w:t>
      </w:r>
      <w:r>
        <w:rPr>
          <w:rFonts w:hint="eastAsia" w:asciiTheme="minorEastAsia" w:hAnsiTheme="minorEastAsia" w:cstheme="minorEastAsia"/>
          <w:sz w:val="28"/>
          <w:szCs w:val="28"/>
          <w:lang w:val="en-US" w:eastAsia="zh-CN"/>
        </w:rPr>
        <w:t>100</w:t>
      </w:r>
      <w:r>
        <w:rPr>
          <w:rFonts w:hint="eastAsia" w:asciiTheme="minorEastAsia" w:hAnsiTheme="minorEastAsia" w:eastAsiaTheme="minorEastAsia" w:cstheme="minorEastAsia"/>
          <w:sz w:val="28"/>
          <w:szCs w:val="28"/>
        </w:rPr>
        <w:t>%,决算数较</w:t>
      </w:r>
      <w:r>
        <w:rPr>
          <w:rFonts w:hint="eastAsia" w:asciiTheme="minorEastAsia" w:hAnsiTheme="minorEastAsia" w:cstheme="minorEastAsia"/>
          <w:sz w:val="28"/>
          <w:szCs w:val="28"/>
          <w:lang w:val="en-US" w:eastAsia="zh-CN"/>
        </w:rPr>
        <w:t>2021</w:t>
      </w:r>
      <w:r>
        <w:rPr>
          <w:rFonts w:hint="eastAsia" w:asciiTheme="minorEastAsia" w:hAnsiTheme="minorEastAsia" w:eastAsiaTheme="minorEastAsia" w:cstheme="minorEastAsia"/>
          <w:sz w:val="28"/>
          <w:szCs w:val="28"/>
        </w:rPr>
        <w:t>年增加</w:t>
      </w:r>
      <w:r>
        <w:rPr>
          <w:rFonts w:hint="eastAsia" w:asciiTheme="minorEastAsia" w:hAnsiTheme="minorEastAsia" w:cstheme="minorEastAsia"/>
          <w:sz w:val="28"/>
          <w:szCs w:val="28"/>
          <w:lang w:val="en-US" w:eastAsia="zh-CN"/>
        </w:rPr>
        <w:t>16.66</w:t>
      </w:r>
      <w:r>
        <w:rPr>
          <w:rFonts w:hint="eastAsia" w:asciiTheme="minorEastAsia" w:hAnsiTheme="minorEastAsia" w:eastAsiaTheme="minorEastAsia" w:cstheme="minorEastAsia"/>
          <w:sz w:val="28"/>
          <w:szCs w:val="28"/>
        </w:rPr>
        <w:t>万元</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增长</w:t>
      </w:r>
      <w:r>
        <w:rPr>
          <w:rFonts w:hint="eastAsia" w:asciiTheme="minorEastAsia" w:hAnsiTheme="minorEastAsia" w:cstheme="minorEastAsia"/>
          <w:sz w:val="28"/>
          <w:szCs w:val="28"/>
          <w:lang w:val="en-US" w:eastAsia="zh-CN"/>
        </w:rPr>
        <w:t>36.21</w:t>
      </w:r>
      <w:r>
        <w:rPr>
          <w:rFonts w:hint="eastAsia" w:asciiTheme="minorEastAsia" w:hAnsiTheme="minorEastAsia" w:eastAsiaTheme="minorEastAsia" w:cstheme="minorEastAsia"/>
          <w:sz w:val="28"/>
          <w:szCs w:val="28"/>
        </w:rPr>
        <w:t>% , 其中：</w:t>
      </w:r>
    </w:p>
    <w:p>
      <w:pPr>
        <w:snapToGrid w:val="0"/>
        <w:spacing w:line="520" w:lineRule="exac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一</w:t>
      </w:r>
      <w:r>
        <w:rPr>
          <w:rFonts w:hint="eastAsia" w:asciiTheme="minorEastAsia" w:hAnsiTheme="minorEastAsia" w:eastAsiaTheme="minorEastAsia" w:cstheme="minorEastAsia"/>
          <w:sz w:val="28"/>
          <w:szCs w:val="28"/>
        </w:rPr>
        <w:t xml:space="preserve"> ) 公务接待费支出全年预算数为</w:t>
      </w:r>
      <w:r>
        <w:rPr>
          <w:rFonts w:hint="eastAsia" w:asciiTheme="minorEastAsia" w:hAnsiTheme="minorEastAsia" w:cstheme="minorEastAsia"/>
          <w:sz w:val="28"/>
          <w:szCs w:val="28"/>
          <w:lang w:val="en-US" w:eastAsia="zh-CN"/>
        </w:rPr>
        <w:t>29.97</w:t>
      </w:r>
      <w:r>
        <w:rPr>
          <w:rFonts w:hint="eastAsia" w:asciiTheme="minorEastAsia" w:hAnsiTheme="minorEastAsia" w:eastAsiaTheme="minorEastAsia" w:cstheme="minorEastAsia"/>
          <w:sz w:val="28"/>
          <w:szCs w:val="28"/>
        </w:rPr>
        <w:t>万元，决算数为</w:t>
      </w:r>
      <w:r>
        <w:rPr>
          <w:rFonts w:hint="eastAsia" w:asciiTheme="minorEastAsia" w:hAnsiTheme="minorEastAsia" w:cstheme="minorEastAsia"/>
          <w:sz w:val="28"/>
          <w:szCs w:val="28"/>
          <w:lang w:val="en-US" w:eastAsia="zh-CN"/>
        </w:rPr>
        <w:t>29.97</w:t>
      </w:r>
      <w:r>
        <w:rPr>
          <w:rFonts w:hint="eastAsia" w:asciiTheme="minorEastAsia" w:hAnsiTheme="minorEastAsia" w:eastAsiaTheme="minorEastAsia" w:cstheme="minorEastAsia"/>
          <w:sz w:val="28"/>
          <w:szCs w:val="28"/>
        </w:rPr>
        <w:t>万元，完成全年预算的</w:t>
      </w:r>
      <w:r>
        <w:rPr>
          <w:rFonts w:hint="eastAsia" w:asciiTheme="minorEastAsia" w:hAnsiTheme="minorEastAsia" w:cstheme="minorEastAsia"/>
          <w:sz w:val="28"/>
          <w:szCs w:val="28"/>
          <w:lang w:val="en-US" w:eastAsia="zh-CN"/>
        </w:rPr>
        <w:t>100</w:t>
      </w:r>
      <w:r>
        <w:rPr>
          <w:rFonts w:hint="eastAsia" w:asciiTheme="minorEastAsia" w:hAnsiTheme="minorEastAsia" w:eastAsiaTheme="minorEastAsia" w:cstheme="minorEastAsia"/>
          <w:sz w:val="28"/>
          <w:szCs w:val="28"/>
        </w:rPr>
        <w:t>%,决算数较202</w:t>
      </w: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rPr>
        <w:t>年减少</w:t>
      </w:r>
      <w:r>
        <w:rPr>
          <w:rFonts w:hint="eastAsia" w:asciiTheme="minorEastAsia" w:hAnsiTheme="minorEastAsia" w:cstheme="minorEastAsia"/>
          <w:sz w:val="28"/>
          <w:szCs w:val="28"/>
          <w:lang w:val="en-US" w:eastAsia="zh-CN"/>
        </w:rPr>
        <w:t>0.69</w:t>
      </w:r>
      <w:r>
        <w:rPr>
          <w:rFonts w:hint="eastAsia" w:asciiTheme="minorEastAsia" w:hAnsiTheme="minorEastAsia" w:eastAsiaTheme="minorEastAsia" w:cstheme="minorEastAsia"/>
          <w:sz w:val="28"/>
          <w:szCs w:val="28"/>
        </w:rPr>
        <w:t>万元， 下 降</w:t>
      </w:r>
      <w:r>
        <w:rPr>
          <w:rFonts w:hint="eastAsia" w:asciiTheme="minorEastAsia" w:hAnsiTheme="minorEastAsia" w:cstheme="minorEastAsia"/>
          <w:sz w:val="28"/>
          <w:szCs w:val="28"/>
          <w:lang w:val="en-US" w:eastAsia="zh-CN"/>
        </w:rPr>
        <w:t>2.25</w:t>
      </w:r>
      <w:r>
        <w:rPr>
          <w:rFonts w:hint="eastAsia" w:asciiTheme="minorEastAsia" w:hAnsiTheme="minorEastAsia" w:eastAsiaTheme="minorEastAsia" w:cstheme="minorEastAsia"/>
          <w:sz w:val="28"/>
          <w:szCs w:val="28"/>
        </w:rPr>
        <w:t>% ,全年国内公务接待批，累计接待</w:t>
      </w:r>
      <w:r>
        <w:rPr>
          <w:rFonts w:hint="eastAsia" w:asciiTheme="minorEastAsia" w:hAnsiTheme="minorEastAsia" w:cstheme="minorEastAsia"/>
          <w:sz w:val="28"/>
          <w:szCs w:val="28"/>
          <w:lang w:val="en-US" w:eastAsia="zh-CN"/>
        </w:rPr>
        <w:t>997</w:t>
      </w:r>
      <w:r>
        <w:rPr>
          <w:rFonts w:hint="eastAsia" w:asciiTheme="minorEastAsia" w:hAnsiTheme="minorEastAsia" w:eastAsiaTheme="minorEastAsia" w:cstheme="minorEastAsia"/>
          <w:sz w:val="28"/>
          <w:szCs w:val="28"/>
        </w:rPr>
        <w:t>人次</w:t>
      </w:r>
      <w:r>
        <w:rPr>
          <w:rFonts w:hint="eastAsia" w:asciiTheme="minorEastAsia" w:hAnsiTheme="minorEastAsia" w:cstheme="minorEastAsia"/>
          <w:sz w:val="28"/>
          <w:szCs w:val="28"/>
          <w:lang w:eastAsia="zh-CN"/>
        </w:rPr>
        <w:t>。</w:t>
      </w:r>
    </w:p>
    <w:p>
      <w:pPr>
        <w:snapToGrid w:val="0"/>
        <w:spacing w:line="520" w:lineRule="exac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二</w:t>
      </w:r>
      <w:r>
        <w:rPr>
          <w:rFonts w:hint="eastAsia" w:asciiTheme="minorEastAsia" w:hAnsiTheme="minorEastAsia" w:eastAsiaTheme="minorEastAsia" w:cstheme="minorEastAsia"/>
          <w:sz w:val="28"/>
          <w:szCs w:val="28"/>
        </w:rPr>
        <w:t xml:space="preserve"> )公务用车购置及运行维护费支出</w:t>
      </w:r>
      <w:r>
        <w:rPr>
          <w:rFonts w:hint="eastAsia" w:asciiTheme="minorEastAsia" w:hAnsiTheme="minorEastAsia" w:cstheme="minorEastAsia"/>
          <w:sz w:val="28"/>
          <w:szCs w:val="28"/>
          <w:lang w:val="en-US" w:eastAsia="zh-CN"/>
        </w:rPr>
        <w:t>32.69</w:t>
      </w:r>
      <w:r>
        <w:rPr>
          <w:rFonts w:hint="eastAsia" w:asciiTheme="minorEastAsia" w:hAnsiTheme="minorEastAsia" w:eastAsiaTheme="minorEastAsia" w:cstheme="minorEastAsia"/>
          <w:sz w:val="28"/>
          <w:szCs w:val="28"/>
        </w:rPr>
        <w:t>万元，其中公务用车购置全年预算数为</w:t>
      </w:r>
      <w:r>
        <w:rPr>
          <w:rFonts w:hint="eastAsia" w:asciiTheme="minorEastAsia" w:hAnsiTheme="minorEastAsia" w:cstheme="minorEastAsia"/>
          <w:sz w:val="28"/>
          <w:szCs w:val="28"/>
          <w:lang w:val="en-US" w:eastAsia="zh-CN"/>
        </w:rPr>
        <w:t>17.85</w:t>
      </w:r>
      <w:r>
        <w:rPr>
          <w:rFonts w:hint="eastAsia" w:asciiTheme="minorEastAsia" w:hAnsiTheme="minorEastAsia" w:eastAsiaTheme="minorEastAsia" w:cstheme="minorEastAsia"/>
          <w:sz w:val="28"/>
          <w:szCs w:val="28"/>
        </w:rPr>
        <w:t>万元，决算数为</w:t>
      </w:r>
      <w:r>
        <w:rPr>
          <w:rFonts w:hint="eastAsia" w:asciiTheme="minorEastAsia" w:hAnsiTheme="minorEastAsia" w:cstheme="minorEastAsia"/>
          <w:sz w:val="28"/>
          <w:szCs w:val="28"/>
          <w:lang w:val="en-US" w:eastAsia="zh-CN"/>
        </w:rPr>
        <w:t>17.85</w:t>
      </w:r>
      <w:r>
        <w:rPr>
          <w:rFonts w:hint="eastAsia" w:asciiTheme="minorEastAsia" w:hAnsiTheme="minorEastAsia" w:eastAsiaTheme="minorEastAsia" w:cstheme="minorEastAsia"/>
          <w:sz w:val="28"/>
          <w:szCs w:val="28"/>
        </w:rPr>
        <w:t>万元，完成全年预算的</w:t>
      </w:r>
      <w:r>
        <w:rPr>
          <w:rFonts w:hint="eastAsia" w:asciiTheme="minorEastAsia" w:hAnsiTheme="minorEastAsia" w:cstheme="minorEastAsia"/>
          <w:sz w:val="28"/>
          <w:szCs w:val="28"/>
          <w:lang w:val="en-US" w:eastAsia="zh-CN"/>
        </w:rPr>
        <w:t>100</w:t>
      </w:r>
      <w:r>
        <w:rPr>
          <w:rFonts w:hint="eastAsia" w:asciiTheme="minorEastAsia" w:hAnsiTheme="minorEastAsia" w:eastAsiaTheme="minorEastAsia" w:cstheme="minorEastAsia"/>
          <w:sz w:val="28"/>
          <w:szCs w:val="28"/>
        </w:rPr>
        <w:t>% ,决算数</w:t>
      </w:r>
      <w:r>
        <w:rPr>
          <w:rFonts w:hint="eastAsia" w:asciiTheme="minorEastAsia" w:hAnsiTheme="minorEastAsia" w:cstheme="minorEastAsia"/>
          <w:sz w:val="28"/>
          <w:szCs w:val="28"/>
          <w:lang w:val="en-US" w:eastAsia="zh-CN"/>
        </w:rPr>
        <w:t>较2021</w:t>
      </w:r>
      <w:r>
        <w:rPr>
          <w:rFonts w:hint="eastAsia" w:asciiTheme="minorEastAsia" w:hAnsiTheme="minorEastAsia" w:eastAsiaTheme="minorEastAsia" w:cstheme="minorEastAsia"/>
          <w:sz w:val="28"/>
          <w:szCs w:val="28"/>
        </w:rPr>
        <w:t>年增</w:t>
      </w:r>
      <w:r>
        <w:rPr>
          <w:rFonts w:hint="eastAsia" w:asciiTheme="minorEastAsia" w:hAnsiTheme="minorEastAsia" w:cstheme="minorEastAsia"/>
          <w:sz w:val="28"/>
          <w:szCs w:val="28"/>
          <w:lang w:val="en-US" w:eastAsia="zh-CN"/>
        </w:rPr>
        <w:t>加17.85</w:t>
      </w:r>
      <w:r>
        <w:rPr>
          <w:rFonts w:hint="eastAsia" w:asciiTheme="minorEastAsia" w:hAnsiTheme="minorEastAsia" w:eastAsiaTheme="minorEastAsia" w:cstheme="minorEastAsia"/>
          <w:sz w:val="28"/>
          <w:szCs w:val="28"/>
        </w:rPr>
        <w:t>万元，增长(下降)</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主要原因是</w:t>
      </w:r>
      <w:r>
        <w:rPr>
          <w:rFonts w:hint="eastAsia" w:asciiTheme="minorEastAsia" w:hAnsiTheme="minorEastAsia" w:cstheme="minorEastAsia"/>
          <w:sz w:val="28"/>
          <w:szCs w:val="28"/>
          <w:lang w:val="en-US" w:eastAsia="zh-CN"/>
        </w:rPr>
        <w:t>购置新车，</w:t>
      </w:r>
      <w:r>
        <w:rPr>
          <w:rFonts w:hint="eastAsia" w:asciiTheme="minorEastAsia" w:hAnsiTheme="minorEastAsia" w:eastAsiaTheme="minorEastAsia" w:cstheme="minorEastAsia"/>
          <w:sz w:val="28"/>
          <w:szCs w:val="28"/>
        </w:rPr>
        <w:t>全年购置公务用车</w:t>
      </w: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rPr>
        <w:t>辆。公务用车运行维护费支出全年预算数为</w:t>
      </w:r>
      <w:r>
        <w:rPr>
          <w:rFonts w:hint="eastAsia" w:asciiTheme="minorEastAsia" w:hAnsiTheme="minorEastAsia" w:cstheme="minorEastAsia"/>
          <w:sz w:val="28"/>
          <w:szCs w:val="28"/>
          <w:lang w:val="en-US" w:eastAsia="zh-CN"/>
        </w:rPr>
        <w:t>14.85</w:t>
      </w:r>
      <w:r>
        <w:rPr>
          <w:rFonts w:hint="eastAsia" w:asciiTheme="minorEastAsia" w:hAnsiTheme="minorEastAsia" w:eastAsiaTheme="minorEastAsia" w:cstheme="minorEastAsia"/>
          <w:sz w:val="28"/>
          <w:szCs w:val="28"/>
        </w:rPr>
        <w:t>万元，决算数为</w:t>
      </w:r>
      <w:r>
        <w:rPr>
          <w:rFonts w:hint="eastAsia" w:asciiTheme="minorEastAsia" w:hAnsiTheme="minorEastAsia" w:cstheme="minorEastAsia"/>
          <w:sz w:val="28"/>
          <w:szCs w:val="28"/>
          <w:lang w:val="en-US" w:eastAsia="zh-CN"/>
        </w:rPr>
        <w:t>14.85</w:t>
      </w:r>
      <w:r>
        <w:rPr>
          <w:rFonts w:hint="eastAsia" w:asciiTheme="minorEastAsia" w:hAnsiTheme="minorEastAsia" w:eastAsiaTheme="minorEastAsia" w:cstheme="minorEastAsia"/>
          <w:sz w:val="28"/>
          <w:szCs w:val="28"/>
        </w:rPr>
        <w:t>万元，完成全年预算的</w:t>
      </w:r>
      <w:r>
        <w:rPr>
          <w:rFonts w:hint="eastAsia" w:asciiTheme="minorEastAsia" w:hAnsiTheme="minorEastAsia" w:cstheme="minorEastAsia"/>
          <w:sz w:val="28"/>
          <w:szCs w:val="28"/>
          <w:lang w:val="en-US" w:eastAsia="zh-CN"/>
        </w:rPr>
        <w:t>100</w:t>
      </w:r>
      <w:r>
        <w:rPr>
          <w:rFonts w:hint="eastAsia" w:asciiTheme="minorEastAsia" w:hAnsiTheme="minorEastAsia" w:eastAsiaTheme="minorEastAsia" w:cstheme="minorEastAsia"/>
          <w:sz w:val="28"/>
          <w:szCs w:val="28"/>
        </w:rPr>
        <w:t>% ,决算数较</w:t>
      </w:r>
      <w:r>
        <w:rPr>
          <w:rFonts w:hint="eastAsia" w:asciiTheme="minorEastAsia" w:hAnsiTheme="minorEastAsia" w:cstheme="minorEastAsia"/>
          <w:sz w:val="28"/>
          <w:szCs w:val="28"/>
          <w:lang w:val="en-US" w:eastAsia="zh-CN"/>
        </w:rPr>
        <w:t>2021</w:t>
      </w:r>
      <w:r>
        <w:rPr>
          <w:rFonts w:hint="eastAsia" w:asciiTheme="minorEastAsia" w:hAnsiTheme="minorEastAsia" w:eastAsiaTheme="minorEastAsia" w:cstheme="minorEastAsia"/>
          <w:sz w:val="28"/>
          <w:szCs w:val="28"/>
        </w:rPr>
        <w:t>年</w:t>
      </w:r>
      <w:r>
        <w:rPr>
          <w:rFonts w:hint="eastAsia" w:asciiTheme="minorEastAsia" w:hAnsiTheme="minorEastAsia" w:cstheme="minorEastAsia"/>
          <w:sz w:val="28"/>
          <w:szCs w:val="28"/>
          <w:lang w:val="en-US" w:eastAsia="zh-CN"/>
        </w:rPr>
        <w:t>减少0.09</w:t>
      </w:r>
      <w:r>
        <w:rPr>
          <w:rFonts w:hint="eastAsia" w:asciiTheme="minorEastAsia" w:hAnsiTheme="minorEastAsia" w:eastAsiaTheme="minorEastAsia" w:cstheme="minorEastAsia"/>
          <w:sz w:val="28"/>
          <w:szCs w:val="28"/>
        </w:rPr>
        <w:t>万元，下降</w:t>
      </w:r>
      <w:r>
        <w:rPr>
          <w:rFonts w:hint="eastAsia" w:asciiTheme="minorEastAsia" w:hAnsiTheme="minorEastAsia" w:cstheme="minorEastAsia"/>
          <w:sz w:val="28"/>
          <w:szCs w:val="28"/>
          <w:lang w:val="en-US" w:eastAsia="zh-CN"/>
        </w:rPr>
        <w:t>0.6</w:t>
      </w:r>
      <w:r>
        <w:rPr>
          <w:rFonts w:hint="eastAsia" w:asciiTheme="minorEastAsia" w:hAnsiTheme="minorEastAsia" w:eastAsiaTheme="minorEastAsia" w:cstheme="minorEastAsia"/>
          <w:sz w:val="28"/>
          <w:szCs w:val="28"/>
        </w:rPr>
        <w:t>%,年末公务用车保有</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rPr>
        <w:t>辆。</w:t>
      </w:r>
    </w:p>
    <w:p>
      <w:pPr>
        <w:snapToGrid w:val="0"/>
        <w:spacing w:line="520" w:lineRule="exact"/>
        <w:rPr>
          <w:rFonts w:hint="eastAsia" w:asciiTheme="minorEastAsia" w:hAnsiTheme="minorEastAsia" w:eastAsiaTheme="minorEastAsia" w:cstheme="minorEastAsia"/>
          <w:sz w:val="28"/>
          <w:szCs w:val="28"/>
        </w:rPr>
      </w:pPr>
    </w:p>
    <w:p>
      <w:pPr>
        <w:snapToGrid w:val="0"/>
        <w:spacing w:line="520" w:lineRule="exact"/>
        <w:rPr>
          <w:rFonts w:hint="eastAsia" w:ascii="黑体" w:hAnsi="黑体" w:eastAsia="黑体" w:cs="黑体"/>
          <w:sz w:val="30"/>
          <w:szCs w:val="30"/>
        </w:rPr>
      </w:pPr>
      <w:r>
        <w:rPr>
          <w:rFonts w:hint="eastAsia" w:ascii="黑体" w:hAnsi="黑体" w:eastAsia="黑体" w:cs="黑体"/>
          <w:sz w:val="30"/>
          <w:szCs w:val="30"/>
        </w:rPr>
        <w:t>六、 机关运行经费支出情况说明</w:t>
      </w:r>
    </w:p>
    <w:p>
      <w:pPr>
        <w:snapToGrid w:val="0"/>
        <w:spacing w:line="520" w:lineRule="exact"/>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本部门2022年度机关运行经费支出</w:t>
      </w:r>
      <w:r>
        <w:rPr>
          <w:rFonts w:hint="eastAsia" w:asciiTheme="minorEastAsia" w:hAnsiTheme="minorEastAsia" w:cstheme="minorEastAsia"/>
          <w:sz w:val="28"/>
          <w:szCs w:val="28"/>
          <w:lang w:val="en-US" w:eastAsia="zh-CN"/>
        </w:rPr>
        <w:t>621.08</w:t>
      </w:r>
      <w:r>
        <w:rPr>
          <w:rFonts w:hint="eastAsia" w:asciiTheme="minorEastAsia" w:hAnsiTheme="minorEastAsia" w:eastAsiaTheme="minorEastAsia" w:cstheme="minorEastAsia"/>
          <w:sz w:val="28"/>
          <w:szCs w:val="28"/>
        </w:rPr>
        <w:t>万元(与部门决算中行政单位和参照公务员法管理事业单位财政拨款基本支出中公用经费之和一致),较上年决算数增加</w:t>
      </w:r>
      <w:r>
        <w:rPr>
          <w:rFonts w:hint="eastAsia" w:asciiTheme="minorEastAsia" w:hAnsiTheme="minorEastAsia" w:cstheme="minorEastAsia"/>
          <w:sz w:val="28"/>
          <w:szCs w:val="28"/>
          <w:lang w:val="en-US" w:eastAsia="zh-CN"/>
        </w:rPr>
        <w:t>15.92</w:t>
      </w:r>
      <w:r>
        <w:rPr>
          <w:rFonts w:hint="eastAsia" w:asciiTheme="minorEastAsia" w:hAnsiTheme="minorEastAsia" w:eastAsiaTheme="minorEastAsia" w:cstheme="minorEastAsia"/>
          <w:sz w:val="28"/>
          <w:szCs w:val="28"/>
        </w:rPr>
        <w:t>万元，增长</w:t>
      </w:r>
      <w:r>
        <w:rPr>
          <w:rFonts w:hint="eastAsia" w:asciiTheme="minorEastAsia" w:hAnsiTheme="minorEastAsia" w:cstheme="minorEastAsia"/>
          <w:sz w:val="28"/>
          <w:szCs w:val="28"/>
          <w:lang w:val="en-US" w:eastAsia="zh-CN"/>
        </w:rPr>
        <w:t>2.63</w:t>
      </w:r>
      <w:r>
        <w:rPr>
          <w:rFonts w:hint="eastAsia" w:asciiTheme="minorEastAsia" w:hAnsiTheme="minorEastAsia" w:eastAsiaTheme="minorEastAsia" w:cstheme="minorEastAsia"/>
          <w:sz w:val="28"/>
          <w:szCs w:val="28"/>
        </w:rPr>
        <w:t>%,主要原因是：人员编制数量增加</w:t>
      </w:r>
      <w:r>
        <w:rPr>
          <w:rFonts w:hint="eastAsia" w:asciiTheme="minorEastAsia" w:hAnsiTheme="minorEastAsia" w:cstheme="minorEastAsia"/>
          <w:sz w:val="28"/>
          <w:szCs w:val="28"/>
          <w:lang w:eastAsia="zh-CN"/>
        </w:rPr>
        <w:t>。</w:t>
      </w:r>
    </w:p>
    <w:p>
      <w:pPr>
        <w:snapToGrid w:val="0"/>
        <w:spacing w:line="520" w:lineRule="exact"/>
        <w:rPr>
          <w:rFonts w:hint="eastAsia" w:asciiTheme="minorEastAsia" w:hAnsiTheme="minorEastAsia" w:eastAsiaTheme="minorEastAsia" w:cstheme="minorEastAsia"/>
          <w:sz w:val="28"/>
          <w:szCs w:val="28"/>
        </w:rPr>
      </w:pPr>
    </w:p>
    <w:p>
      <w:pPr>
        <w:snapToGrid w:val="0"/>
        <w:spacing w:line="520" w:lineRule="exact"/>
        <w:rPr>
          <w:rFonts w:hint="eastAsia" w:ascii="黑体" w:hAnsi="黑体" w:eastAsia="黑体" w:cs="黑体"/>
          <w:sz w:val="30"/>
          <w:szCs w:val="30"/>
        </w:rPr>
      </w:pPr>
      <w:r>
        <w:rPr>
          <w:rFonts w:hint="eastAsia" w:ascii="黑体" w:hAnsi="黑体" w:eastAsia="黑体" w:cs="黑体"/>
          <w:sz w:val="30"/>
          <w:szCs w:val="30"/>
        </w:rPr>
        <w:t>七、政府采购支出情况说明</w:t>
      </w:r>
    </w:p>
    <w:p>
      <w:pPr>
        <w:snapToGrid w:val="0"/>
        <w:spacing w:line="520" w:lineRule="exact"/>
        <w:ind w:firstLine="560" w:firstLineChars="200"/>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本部门2022年度政府采购支出总额</w:t>
      </w:r>
      <w:r>
        <w:rPr>
          <w:rFonts w:hint="eastAsia" w:asciiTheme="minorEastAsia" w:hAnsiTheme="minorEastAsia" w:cstheme="minorEastAsia"/>
          <w:sz w:val="28"/>
          <w:szCs w:val="28"/>
          <w:lang w:val="en-US" w:eastAsia="zh-CN"/>
        </w:rPr>
        <w:t>10.26</w:t>
      </w:r>
      <w:r>
        <w:rPr>
          <w:rFonts w:hint="eastAsia" w:asciiTheme="minorEastAsia" w:hAnsiTheme="minorEastAsia" w:eastAsiaTheme="minorEastAsia" w:cstheme="minorEastAsia"/>
          <w:sz w:val="28"/>
          <w:szCs w:val="28"/>
        </w:rPr>
        <w:t>万元，其中：政府采购货物支出</w:t>
      </w:r>
      <w:r>
        <w:rPr>
          <w:rFonts w:hint="eastAsia" w:asciiTheme="minorEastAsia" w:hAnsiTheme="minorEastAsia" w:cstheme="minorEastAsia"/>
          <w:sz w:val="28"/>
          <w:szCs w:val="28"/>
          <w:lang w:val="en-US" w:eastAsia="zh-CN"/>
        </w:rPr>
        <w:t>10.26</w:t>
      </w:r>
      <w:r>
        <w:rPr>
          <w:rFonts w:hint="eastAsia" w:asciiTheme="minorEastAsia" w:hAnsiTheme="minorEastAsia" w:eastAsiaTheme="minorEastAsia" w:cstheme="minorEastAsia"/>
          <w:sz w:val="28"/>
          <w:szCs w:val="28"/>
        </w:rPr>
        <w:t>万元</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其中：授予小微企业合同金额</w:t>
      </w:r>
      <w:r>
        <w:rPr>
          <w:rFonts w:hint="eastAsia" w:asciiTheme="minorEastAsia" w:hAnsiTheme="minorEastAsia" w:cstheme="minorEastAsia"/>
          <w:sz w:val="28"/>
          <w:szCs w:val="28"/>
          <w:lang w:val="en-US" w:eastAsia="zh-CN"/>
        </w:rPr>
        <w:t>10.26</w:t>
      </w:r>
      <w:r>
        <w:rPr>
          <w:rFonts w:hint="eastAsia" w:asciiTheme="minorEastAsia" w:hAnsiTheme="minorEastAsia" w:eastAsiaTheme="minorEastAsia" w:cstheme="minorEastAsia"/>
          <w:sz w:val="28"/>
          <w:szCs w:val="28"/>
        </w:rPr>
        <w:t>万元，占授予中小企业合同金额的</w:t>
      </w:r>
      <w:r>
        <w:rPr>
          <w:rFonts w:hint="eastAsia" w:asciiTheme="minorEastAsia" w:hAnsiTheme="minorEastAsia" w:cstheme="minorEastAsia"/>
          <w:sz w:val="28"/>
          <w:szCs w:val="28"/>
          <w:lang w:val="en-US" w:eastAsia="zh-CN"/>
        </w:rPr>
        <w:t>100</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eastAsia="zh-CN"/>
        </w:rPr>
        <w:t>。</w:t>
      </w:r>
    </w:p>
    <w:p>
      <w:pPr>
        <w:snapToGrid w:val="0"/>
        <w:spacing w:line="520" w:lineRule="exact"/>
        <w:ind w:firstLine="560" w:firstLineChars="200"/>
        <w:rPr>
          <w:rFonts w:hint="eastAsia" w:asciiTheme="minorEastAsia" w:hAnsiTheme="minorEastAsia" w:cstheme="minorEastAsia"/>
          <w:sz w:val="28"/>
          <w:szCs w:val="28"/>
          <w:lang w:eastAsia="zh-CN"/>
        </w:rPr>
      </w:pPr>
    </w:p>
    <w:p>
      <w:pPr>
        <w:snapToGrid w:val="0"/>
        <w:spacing w:line="520" w:lineRule="exact"/>
        <w:rPr>
          <w:rFonts w:hint="eastAsia" w:ascii="黑体" w:hAnsi="黑体" w:eastAsia="黑体" w:cs="黑体"/>
          <w:sz w:val="30"/>
          <w:szCs w:val="30"/>
        </w:rPr>
      </w:pPr>
      <w:r>
        <w:rPr>
          <w:rFonts w:hint="eastAsia" w:ascii="黑体" w:hAnsi="黑体" w:eastAsia="黑体" w:cs="黑体"/>
          <w:sz w:val="30"/>
          <w:szCs w:val="30"/>
        </w:rPr>
        <w:t>八、国有资产占用情况说明</w:t>
      </w:r>
    </w:p>
    <w:p>
      <w:pPr>
        <w:snapToGrid w:val="0"/>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截止2022年12月31日，本部门国有资产占用情况见公开</w:t>
      </w:r>
    </w:p>
    <w:p>
      <w:pPr>
        <w:snapToGrid w:val="0"/>
        <w:spacing w:line="520" w:lineRule="exac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 表《国有资产占用情况表》。</w:t>
      </w:r>
    </w:p>
    <w:p>
      <w:pPr>
        <w:snapToGrid w:val="0"/>
        <w:spacing w:line="520" w:lineRule="exact"/>
        <w:rPr>
          <w:rFonts w:hint="eastAsia" w:asciiTheme="minorEastAsia" w:hAnsiTheme="minorEastAsia" w:eastAsiaTheme="minorEastAsia" w:cstheme="minorEastAsia"/>
          <w:sz w:val="28"/>
          <w:szCs w:val="28"/>
        </w:rPr>
      </w:pPr>
    </w:p>
    <w:p>
      <w:pPr>
        <w:snapToGrid w:val="0"/>
        <w:spacing w:line="520" w:lineRule="exac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九、预算绩效评价情况说明</w:t>
      </w:r>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(一)绩效评价工作开展情况。</w:t>
      </w:r>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根据预算绩效管理要求，我部门组织对纳入2022年度部门预算范围的二级项目</w:t>
      </w:r>
      <w:r>
        <w:rPr>
          <w:rFonts w:hint="eastAsia" w:asciiTheme="minorEastAsia" w:hAnsiTheme="minorEastAsia" w:cstheme="minorEastAsia"/>
          <w:sz w:val="28"/>
          <w:szCs w:val="28"/>
          <w:lang w:val="en-US" w:eastAsia="zh-CN"/>
        </w:rPr>
        <w:t>97</w:t>
      </w:r>
      <w:r>
        <w:rPr>
          <w:rFonts w:hint="default" w:asciiTheme="minorEastAsia" w:hAnsiTheme="minorEastAsia" w:eastAsiaTheme="minorEastAsia" w:cstheme="minorEastAsia"/>
          <w:sz w:val="28"/>
          <w:szCs w:val="28"/>
          <w:lang w:val="en-US" w:eastAsia="zh-CN"/>
        </w:rPr>
        <w:t>个全面开展绩效自评，共涉及资金</w:t>
      </w:r>
      <w:r>
        <w:rPr>
          <w:rFonts w:hint="eastAsia" w:asciiTheme="minorEastAsia" w:hAnsiTheme="minorEastAsia" w:cstheme="minorEastAsia"/>
          <w:sz w:val="28"/>
          <w:szCs w:val="28"/>
          <w:lang w:val="en-US" w:eastAsia="zh-CN"/>
        </w:rPr>
        <w:t>3056</w:t>
      </w:r>
      <w:r>
        <w:rPr>
          <w:rFonts w:hint="default" w:asciiTheme="minorEastAsia" w:hAnsiTheme="minorEastAsia" w:eastAsiaTheme="minorEastAsia" w:cstheme="minorEastAsia"/>
          <w:sz w:val="28"/>
          <w:szCs w:val="28"/>
          <w:lang w:val="en-US" w:eastAsia="zh-CN"/>
        </w:rPr>
        <w:t>万元，占项目支出总额的</w:t>
      </w:r>
      <w:r>
        <w:rPr>
          <w:rFonts w:hint="eastAsia" w:asciiTheme="minorEastAsia" w:hAnsiTheme="minorEastAsia" w:cstheme="minorEastAsia"/>
          <w:sz w:val="28"/>
          <w:szCs w:val="28"/>
          <w:lang w:val="en-US" w:eastAsia="zh-CN"/>
        </w:rPr>
        <w:t>100</w:t>
      </w:r>
      <w:r>
        <w:rPr>
          <w:rFonts w:hint="default" w:asciiTheme="minorEastAsia" w:hAnsiTheme="minorEastAsia" w:eastAsiaTheme="minorEastAsia" w:cstheme="minorEastAsia"/>
          <w:sz w:val="28"/>
          <w:szCs w:val="28"/>
          <w:lang w:val="en-US" w:eastAsia="zh-CN"/>
        </w:rPr>
        <w:t>%。</w:t>
      </w:r>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组织对</w:t>
      </w:r>
      <w:r>
        <w:rPr>
          <w:rFonts w:hint="eastAsia" w:asciiTheme="minorEastAsia" w:hAnsiTheme="minorEastAsia" w:cstheme="minorEastAsia"/>
          <w:sz w:val="28"/>
          <w:szCs w:val="28"/>
          <w:lang w:val="en-US" w:eastAsia="zh-CN"/>
        </w:rPr>
        <w:t>“新农村建设”</w:t>
      </w:r>
      <w:r>
        <w:rPr>
          <w:rFonts w:hint="default" w:asciiTheme="minorEastAsia" w:hAnsiTheme="minorEastAsia" w:eastAsiaTheme="minorEastAsia" w:cstheme="minorEastAsia"/>
          <w:sz w:val="28"/>
          <w:szCs w:val="28"/>
          <w:lang w:val="en-US" w:eastAsia="zh-CN"/>
        </w:rPr>
        <w:t>项目开展了部门评价，涉及一般公共预算支出</w:t>
      </w:r>
      <w:r>
        <w:rPr>
          <w:rFonts w:hint="eastAsia" w:asciiTheme="minorEastAsia" w:hAnsiTheme="minorEastAsia" w:cstheme="minorEastAsia"/>
          <w:sz w:val="28"/>
          <w:szCs w:val="28"/>
          <w:lang w:val="en-US" w:eastAsia="zh-CN"/>
        </w:rPr>
        <w:t>180</w:t>
      </w:r>
      <w:r>
        <w:rPr>
          <w:rFonts w:hint="default" w:asciiTheme="minorEastAsia" w:hAnsiTheme="minorEastAsia" w:eastAsiaTheme="minorEastAsia" w:cstheme="minorEastAsia"/>
          <w:sz w:val="28"/>
          <w:szCs w:val="28"/>
          <w:lang w:val="en-US" w:eastAsia="zh-CN"/>
        </w:rPr>
        <w:t>万元</w:t>
      </w:r>
      <w:r>
        <w:rPr>
          <w:rFonts w:hint="eastAsia" w:asciiTheme="minorEastAsia" w:hAnsi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从评价情况来看，本项目绩效自评结果为完成率100%</w:t>
      </w:r>
      <w:r>
        <w:rPr>
          <w:rFonts w:hint="eastAsia" w:asciiTheme="minorEastAsia" w:hAnsi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本项目评价得分情况为99分。</w:t>
      </w:r>
      <w:bookmarkStart w:id="0" w:name="_GoBack"/>
      <w:bookmarkEnd w:id="0"/>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组织开展部门整体支出绩效评价，涉及一般公共预算支出</w:t>
      </w:r>
      <w:r>
        <w:rPr>
          <w:rFonts w:hint="eastAsia" w:asciiTheme="minorEastAsia" w:hAnsiTheme="minorEastAsia" w:cstheme="minorEastAsia"/>
          <w:sz w:val="28"/>
          <w:szCs w:val="28"/>
          <w:lang w:val="en-US" w:eastAsia="zh-CN"/>
        </w:rPr>
        <w:t>3056</w:t>
      </w:r>
      <w:r>
        <w:rPr>
          <w:rFonts w:hint="default" w:asciiTheme="minorEastAsia" w:hAnsiTheme="minorEastAsia" w:eastAsiaTheme="minorEastAsia" w:cstheme="minorEastAsia"/>
          <w:sz w:val="28"/>
          <w:szCs w:val="28"/>
          <w:lang w:val="en-US" w:eastAsia="zh-CN"/>
        </w:rPr>
        <w:t>万元，从评价情况来看，经兴田乡人民政府自评小组汇总分析认定,2022年度本部门专项支出项目共97个,自评得分为优（90分以上）的项目有65个，自评得分为良（80-90分）的项目有19个，自评得分为中（60-80分）的项目为13个。</w:t>
      </w:r>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p>
    <w:p>
      <w:pPr>
        <w:numPr>
          <w:ilvl w:val="0"/>
          <w:numId w:val="4"/>
        </w:num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部门决算中项目绩效自评结果。</w:t>
      </w:r>
    </w:p>
    <w:p>
      <w:pPr>
        <w:numPr>
          <w:numId w:val="0"/>
        </w:numPr>
        <w:snapToGrid w:val="0"/>
        <w:spacing w:line="520" w:lineRule="exac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（1）项目绩效目标完成情况</w:t>
      </w:r>
    </w:p>
    <w:p>
      <w:pPr>
        <w:numPr>
          <w:numId w:val="0"/>
        </w:numPr>
        <w:snapToGrid w:val="0"/>
        <w:spacing w:line="520" w:lineRule="exact"/>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2022年,兴田乡人民政府项目绩效目标整体完成情况较好,基本完成了预期产出,实现了预期效益。全年共实施预算项目97个,基本完成了年初设定的绩效目标。</w:t>
      </w:r>
    </w:p>
    <w:p>
      <w:pPr>
        <w:numPr>
          <w:numId w:val="0"/>
        </w:numPr>
        <w:snapToGrid w:val="0"/>
        <w:spacing w:line="520" w:lineRule="exac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（2）目标偏离原因</w:t>
      </w:r>
    </w:p>
    <w:p>
      <w:pPr>
        <w:numPr>
          <w:numId w:val="0"/>
        </w:numPr>
        <w:snapToGrid w:val="0"/>
        <w:spacing w:line="520" w:lineRule="exact"/>
        <w:ind w:firstLine="840" w:firstLineChars="3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2022年兴田乡人民政府各项工作基本完成</w:t>
      </w:r>
    </w:p>
    <w:p>
      <w:pPr>
        <w:numPr>
          <w:numId w:val="0"/>
        </w:numPr>
        <w:snapToGrid w:val="0"/>
        <w:spacing w:line="520" w:lineRule="exact"/>
        <w:ind w:firstLine="840" w:firstLineChars="3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部分项目资金下达较晚和报账不及时，无法及时进行支付</w:t>
      </w:r>
    </w:p>
    <w:p>
      <w:pPr>
        <w:numPr>
          <w:numId w:val="0"/>
        </w:numPr>
        <w:snapToGrid w:val="0"/>
        <w:spacing w:line="520" w:lineRule="exact"/>
        <w:ind w:firstLine="840" w:firstLineChars="3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税收减少导致总部经济支出绩效目标没有达到预期</w:t>
      </w:r>
    </w:p>
    <w:p>
      <w:pPr>
        <w:numPr>
          <w:numId w:val="0"/>
        </w:numPr>
        <w:snapToGrid w:val="0"/>
        <w:spacing w:line="520" w:lineRule="exac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（3）改进措施</w:t>
      </w:r>
    </w:p>
    <w:p>
      <w:pPr>
        <w:numPr>
          <w:numId w:val="0"/>
        </w:numPr>
        <w:snapToGrid w:val="0"/>
        <w:spacing w:line="520" w:lineRule="exact"/>
        <w:ind w:firstLine="560" w:firstLineChars="200"/>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2022 年我乡各项目绩效目标基本完成,但在绩效自评过程中,也发现了一些自身的不足和需要改进的地方。一是在绩效目标指标设置方面,仍然比较生疏粗浅,对绩效目标和指标的理解不足,对项目年度目标和指标没有作出科学合理的设置,在这一方面有待学习和加强。二是要强化绩效管理意识,把绩效理念运用到实际工作当中去,从绩效的角度出发,指导落实各个项目的年度工作和任务。</w:t>
      </w:r>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(三)部门评价项目绩效评价情况。</w:t>
      </w:r>
    </w:p>
    <w:p>
      <w:pPr>
        <w:snapToGrid w:val="0"/>
        <w:spacing w:line="52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本部门公开 “</w:t>
      </w:r>
      <w:r>
        <w:rPr>
          <w:rFonts w:hint="eastAsia" w:asciiTheme="minorEastAsia" w:hAnsiTheme="minorEastAsia" w:cstheme="minorEastAsia"/>
          <w:sz w:val="28"/>
          <w:szCs w:val="28"/>
          <w:lang w:val="en-US" w:eastAsia="zh-CN"/>
        </w:rPr>
        <w:t>新农村建设”</w:t>
      </w:r>
      <w:r>
        <w:rPr>
          <w:rFonts w:hint="default" w:asciiTheme="minorEastAsia" w:hAnsiTheme="minorEastAsia" w:eastAsiaTheme="minorEastAsia" w:cstheme="minorEastAsia"/>
          <w:sz w:val="28"/>
          <w:szCs w:val="28"/>
          <w:lang w:val="en-US" w:eastAsia="zh-CN"/>
        </w:rPr>
        <w:t>项目部门评价报告(见附件)。</w:t>
      </w:r>
    </w:p>
    <w:p>
      <w:pPr>
        <w:keepNext w:val="0"/>
        <w:keepLines w:val="0"/>
        <w:widowControl/>
        <w:suppressLineNumbers w:val="0"/>
        <w:jc w:val="left"/>
      </w:pPr>
    </w:p>
    <w:p>
      <w:pPr>
        <w:keepNext w:val="0"/>
        <w:keepLines w:val="0"/>
        <w:widowControl/>
        <w:suppressLineNumbers w:val="0"/>
        <w:jc w:val="left"/>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center"/>
        <w:rPr>
          <w:rFonts w:hint="eastAsia" w:ascii="宋体" w:hAnsi="宋体" w:eastAsia="宋体" w:cs="宋体"/>
          <w:sz w:val="44"/>
          <w:szCs w:val="44"/>
        </w:rPr>
      </w:pPr>
      <w:r>
        <w:rPr>
          <w:rFonts w:hint="eastAsia" w:ascii="宋体" w:hAnsi="宋体" w:eastAsia="宋体" w:cs="宋体"/>
          <w:b/>
          <w:bCs/>
          <w:color w:val="000000"/>
          <w:kern w:val="0"/>
          <w:sz w:val="44"/>
          <w:szCs w:val="44"/>
          <w:lang w:val="en-US" w:eastAsia="zh-CN" w:bidi="ar"/>
        </w:rPr>
        <w:t>第四部分 名词解释</w:t>
      </w:r>
    </w:p>
    <w:p>
      <w:pPr>
        <w:keepNext w:val="0"/>
        <w:keepLines w:val="0"/>
        <w:widowControl/>
        <w:suppressLineNumbers w:val="0"/>
        <w:ind w:firstLine="560" w:firstLineChars="200"/>
        <w:jc w:val="left"/>
        <w:rPr>
          <w:rFonts w:hint="eastAsia" w:ascii="黑体" w:hAnsi="黑体" w:eastAsia="黑体" w:cs="黑体"/>
          <w:sz w:val="28"/>
          <w:szCs w:val="28"/>
        </w:rPr>
      </w:pPr>
      <w:r>
        <w:rPr>
          <w:rFonts w:hint="eastAsia" w:ascii="黑体" w:hAnsi="黑体" w:eastAsia="黑体" w:cs="黑体"/>
          <w:color w:val="000000"/>
          <w:kern w:val="0"/>
          <w:sz w:val="28"/>
          <w:szCs w:val="28"/>
          <w:lang w:val="en-US" w:eastAsia="zh-CN" w:bidi="ar"/>
        </w:rPr>
        <w:t>“三公”经费支出：指用</w:t>
      </w:r>
      <w:r>
        <w:rPr>
          <w:rFonts w:hint="eastAsia" w:ascii="黑体" w:hAnsi="黑体" w:eastAsia="黑体" w:cs="黑体"/>
          <w:b/>
          <w:bCs/>
          <w:color w:val="000000"/>
          <w:kern w:val="0"/>
          <w:sz w:val="28"/>
          <w:szCs w:val="28"/>
          <w:lang w:val="en-US" w:eastAsia="zh-CN" w:bidi="ar"/>
        </w:rPr>
        <w:t>财政拨款安</w:t>
      </w:r>
      <w:r>
        <w:rPr>
          <w:rFonts w:hint="eastAsia" w:ascii="黑体" w:hAnsi="黑体" w:eastAsia="黑体" w:cs="黑体"/>
          <w:color w:val="000000"/>
          <w:kern w:val="0"/>
          <w:sz w:val="28"/>
          <w:szCs w:val="28"/>
          <w:lang w:val="en-US" w:eastAsia="zh-CN" w:bidi="ar"/>
        </w:rPr>
        <w:t xml:space="preserve">排的因公出国(境) 费、公务用车购置及运行维护费和公务接待费。其中，因公出 国(境)费反映单位公务出国(境)的国际旅费、国外城市间 交通费、住宿费、伙食费、培训费、公杂费等支出；公务用车 购置及运行维护费反映单位公务用车车辆购置支出(含车辆购 置税、牌照费),按规定保留的公务用车燃料费、维修费、过 桥过路费、保险费、安全奖励费用等支出；公务接待费反映单 位按规定开支的各类公务接待(含外宾接待)支出。 </w:t>
      </w:r>
    </w:p>
    <w:p>
      <w:pPr>
        <w:keepNext w:val="0"/>
        <w:keepLines w:val="0"/>
        <w:widowControl/>
        <w:suppressLineNumbers w:val="0"/>
        <w:jc w:val="left"/>
        <w:rPr>
          <w:rFonts w:hint="eastAsia" w:ascii="黑体" w:hAnsi="黑体" w:eastAsia="黑体" w:cs="黑体"/>
          <w:sz w:val="28"/>
          <w:szCs w:val="28"/>
        </w:rPr>
      </w:pPr>
      <w:r>
        <w:rPr>
          <w:rFonts w:hint="eastAsia" w:ascii="黑体" w:hAnsi="黑体" w:eastAsia="黑体" w:cs="黑体"/>
          <w:color w:val="000000"/>
          <w:kern w:val="0"/>
          <w:sz w:val="28"/>
          <w:szCs w:val="28"/>
          <w:lang w:val="en-US" w:eastAsia="zh-CN" w:bidi="ar"/>
        </w:rPr>
        <w:t>机关运行经费支出：指用</w:t>
      </w:r>
      <w:r>
        <w:rPr>
          <w:rFonts w:hint="eastAsia" w:ascii="黑体" w:hAnsi="黑体" w:eastAsia="黑体" w:cs="黑体"/>
          <w:b/>
          <w:bCs/>
          <w:color w:val="000000"/>
          <w:kern w:val="0"/>
          <w:sz w:val="28"/>
          <w:szCs w:val="28"/>
          <w:lang w:val="en-US" w:eastAsia="zh-CN" w:bidi="ar"/>
        </w:rPr>
        <w:t>财政拨款</w:t>
      </w:r>
      <w:r>
        <w:rPr>
          <w:rFonts w:hint="eastAsia" w:ascii="黑体" w:hAnsi="黑体" w:eastAsia="黑体" w:cs="黑体"/>
          <w:color w:val="000000"/>
          <w:kern w:val="0"/>
          <w:sz w:val="28"/>
          <w:szCs w:val="28"/>
          <w:lang w:val="en-US" w:eastAsia="zh-CN" w:bidi="ar"/>
        </w:rPr>
        <w:t>安排的为保障行政单位 (包括参照公务员法管理的事业单位)运行用于购买货物和服 务的各项资金，包括办公费、印刷费、邮电费、差旅费、会议 费、福利费、日常维修费、专用材料及一般设备购置费、办公 用房水电费、办公用房取暖费、办公用房物业管理费、公务用 车运行维护费以及其他费用</w:t>
      </w:r>
    </w:p>
    <w:p>
      <w:pPr>
        <w:keepNext w:val="0"/>
        <w:keepLines w:val="0"/>
        <w:widowControl/>
        <w:suppressLineNumbers w:val="0"/>
        <w:jc w:val="left"/>
        <w:rPr>
          <w:rFonts w:hint="eastAsia" w:ascii="黑体" w:hAnsi="黑体" w:eastAsia="黑体" w:cs="黑体"/>
          <w:sz w:val="28"/>
          <w:szCs w:val="28"/>
          <w:lang w:eastAsia="zh-CN"/>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28"/>
          <w:szCs w:val="28"/>
          <w:lang w:eastAsia="zh-CN"/>
        </w:rPr>
        <w:t>。</w:t>
      </w:r>
    </w:p>
    <w:p>
      <w:pPr>
        <w:keepNext w:val="0"/>
        <w:keepLines w:val="0"/>
        <w:widowControl/>
        <w:numPr>
          <w:ilvl w:val="0"/>
          <w:numId w:val="5"/>
        </w:numPr>
        <w:suppressLineNumbers w:val="0"/>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 xml:space="preserve"> 附件</w:t>
      </w:r>
    </w:p>
    <w:p>
      <w:pPr>
        <w:keepNext w:val="0"/>
        <w:keepLines w:val="0"/>
        <w:widowControl/>
        <w:numPr>
          <w:numId w:val="0"/>
        </w:numPr>
        <w:suppressLineNumbers w:val="0"/>
        <w:jc w:val="both"/>
        <w:rPr>
          <w:rFonts w:hint="default" w:asciiTheme="majorEastAsia" w:hAnsiTheme="majorEastAsia" w:eastAsiaTheme="majorEastAsia" w:cstheme="majorEastAsia"/>
          <w:b/>
          <w:bCs/>
          <w:sz w:val="44"/>
          <w:szCs w:val="44"/>
          <w:lang w:val="en-US" w:eastAsia="zh-CN"/>
        </w:rPr>
      </w:pPr>
    </w:p>
    <w:p>
      <w:pPr>
        <w:keepNext w:val="0"/>
        <w:keepLines w:val="0"/>
        <w:widowControl/>
        <w:numPr>
          <w:numId w:val="0"/>
        </w:numPr>
        <w:suppressLineNumbers w:val="0"/>
        <w:jc w:val="both"/>
        <w:rPr>
          <w:rFonts w:hint="default" w:asciiTheme="majorEastAsia" w:hAnsiTheme="majorEastAsia" w:eastAsiaTheme="majorEastAsia" w:cstheme="majorEastAsia"/>
          <w:b/>
          <w:bCs/>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heme="majorEastAsia" w:hAnsiTheme="majorEastAsia" w:eastAsiaTheme="majorEastAsia" w:cstheme="majorEastAsia"/>
          <w:b/>
          <w:bCs/>
          <w:sz w:val="28"/>
          <w:szCs w:val="28"/>
          <w:lang w:val="en-US" w:eastAsia="zh-CN"/>
        </w:rPr>
        <w:object>
          <v:shape id="_x0000_i1026" o:spt="75" alt="" type="#_x0000_t75" style="height:40.25pt;width:85.4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5" r:id="rId23">
            <o:LockedField>false</o:LockedField>
          </o:OLEObject>
        </w:objec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3CEF77"/>
    <w:multiLevelType w:val="singleLevel"/>
    <w:tmpl w:val="0C3CEF77"/>
    <w:lvl w:ilvl="0" w:tentative="0">
      <w:start w:val="2"/>
      <w:numFmt w:val="chineseCounting"/>
      <w:lvlText w:val="(%1)"/>
      <w:lvlJc w:val="left"/>
      <w:pPr>
        <w:tabs>
          <w:tab w:val="left" w:pos="312"/>
        </w:tabs>
      </w:pPr>
      <w:rPr>
        <w:rFonts w:hint="eastAsia"/>
      </w:rPr>
    </w:lvl>
  </w:abstractNum>
  <w:abstractNum w:abstractNumId="1">
    <w:nsid w:val="3861BA4E"/>
    <w:multiLevelType w:val="singleLevel"/>
    <w:tmpl w:val="3861BA4E"/>
    <w:lvl w:ilvl="0" w:tentative="0">
      <w:start w:val="5"/>
      <w:numFmt w:val="chineseCounting"/>
      <w:suff w:val="space"/>
      <w:lvlText w:val="第%1部分"/>
      <w:lvlJc w:val="left"/>
      <w:rPr>
        <w:rFonts w:hint="eastAsia"/>
      </w:rPr>
    </w:lvl>
  </w:abstractNum>
  <w:abstractNum w:abstractNumId="2">
    <w:nsid w:val="50E0584D"/>
    <w:multiLevelType w:val="singleLevel"/>
    <w:tmpl w:val="50E0584D"/>
    <w:lvl w:ilvl="0" w:tentative="0">
      <w:start w:val="1"/>
      <w:numFmt w:val="chineseCounting"/>
      <w:suff w:val="nothing"/>
      <w:lvlText w:val="（%1）"/>
      <w:lvlJc w:val="left"/>
      <w:rPr>
        <w:rFonts w:hint="eastAsia"/>
      </w:rPr>
    </w:lvl>
  </w:abstractNum>
  <w:abstractNum w:abstractNumId="3">
    <w:nsid w:val="6F839DB9"/>
    <w:multiLevelType w:val="singleLevel"/>
    <w:tmpl w:val="6F839DB9"/>
    <w:lvl w:ilvl="0" w:tentative="0">
      <w:start w:val="2"/>
      <w:numFmt w:val="chineseCounting"/>
      <w:suff w:val="space"/>
      <w:lvlText w:val="第%1部分"/>
      <w:lvlJc w:val="left"/>
      <w:rPr>
        <w:rFonts w:hint="eastAsia"/>
      </w:rPr>
    </w:lvl>
  </w:abstractNum>
  <w:abstractNum w:abstractNumId="4">
    <w:nsid w:val="750285DF"/>
    <w:multiLevelType w:val="singleLevel"/>
    <w:tmpl w:val="750285DF"/>
    <w:lvl w:ilvl="0" w:tentative="0">
      <w:start w:val="2"/>
      <w:numFmt w:val="chineseCounting"/>
      <w:suff w:val="nothing"/>
      <w:lvlText w:val="（%1）"/>
      <w:lvlJc w:val="left"/>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zOThmYWRiZWRjYTBlMDdlMWU0YWIyMjI4MmEwZGMifQ=="/>
  </w:docVars>
  <w:rsids>
    <w:rsidRoot w:val="00000000"/>
    <w:rsid w:val="36DB1450"/>
    <w:rsid w:val="41202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0.emf"/><Relationship Id="rId23" Type="http://schemas.openxmlformats.org/officeDocument/2006/relationships/oleObject" Target="embeddings/oleObject1.bin"/><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2023-12-13T06:24:00Z</dcterms:created>
  <dc:creator>Administrator</dc:creator>
  <cp:lastModifiedBy>只愿你好</cp:lastModifiedBy>
  <dcterms:modified xsi:type="dcterms:W3CDTF">2023-12-14T10:40:55Z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A92A4CA534E74BD39C7E8B2AB469A368_12</vt:lpwstr>
  </property>
</Properties>
</file>