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ind w:firstLine="640" w:firstLineChars="200"/>
        <w:jc w:val="center"/>
        <w:rPr>
          <w:rFonts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目录</w:t>
      </w:r>
    </w:p>
    <w:p>
      <w:pPr>
        <w:pStyle w:val="5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第一部分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  <w:lang w:eastAsia="zh-CN"/>
        </w:rPr>
        <w:t>浮梁县统计局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概况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一、部门主要职责</w:t>
      </w:r>
    </w:p>
    <w:p>
      <w:pPr>
        <w:pStyle w:val="5"/>
        <w:spacing w:before="0" w:beforeAutospacing="0" w:after="0" w:afterAutospacing="0" w:line="360" w:lineRule="auto"/>
        <w:ind w:left="420" w:leftChars="200" w:firstLine="64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二、部门基本情况</w:t>
      </w:r>
    </w:p>
    <w:p>
      <w:pPr>
        <w:pStyle w:val="5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第二部分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  <w:lang w:eastAsia="zh-CN"/>
        </w:rPr>
        <w:t>浮梁县统计局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2021年部门预算情况说明</w:t>
      </w:r>
    </w:p>
    <w:p>
      <w:pPr>
        <w:pStyle w:val="5"/>
        <w:spacing w:before="0" w:beforeAutospacing="0" w:after="0" w:afterAutospacing="0" w:line="360" w:lineRule="auto"/>
        <w:ind w:left="420" w:leftChars="200" w:firstLine="64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一、2021年部门预算收支情况说明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二、2021年“三公”经费预算情况说明</w:t>
      </w:r>
    </w:p>
    <w:p>
      <w:pPr>
        <w:pStyle w:val="5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第三部分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  <w:lang w:eastAsia="zh-CN"/>
        </w:rPr>
        <w:t>浮梁县统计局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2021年部门预算表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一、收支预算总表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二、部门收入总表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三、部门支出总表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四、财政拨款收支总表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五、一般公共预算支出表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六、一般公共预算基本支出表</w:t>
      </w:r>
    </w:p>
    <w:p>
      <w:pPr>
        <w:pStyle w:val="5"/>
        <w:spacing w:before="0" w:beforeAutospacing="0" w:after="0" w:afterAutospacing="0" w:line="360" w:lineRule="auto"/>
        <w:ind w:left="420" w:left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　　七、一般公共预算“三公”经费支出表</w:t>
      </w:r>
    </w:p>
    <w:p>
      <w:pPr>
        <w:pStyle w:val="5"/>
        <w:spacing w:before="0" w:beforeAutospacing="0" w:after="0" w:afterAutospacing="0" w:line="360" w:lineRule="auto"/>
        <w:ind w:left="420" w:leftChars="200" w:firstLine="64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八、政府性基金预算支出表</w:t>
      </w:r>
    </w:p>
    <w:p>
      <w:pPr>
        <w:pStyle w:val="5"/>
        <w:spacing w:before="0" w:beforeAutospacing="0" w:after="0" w:afterAutospacing="0" w:line="360" w:lineRule="auto"/>
        <w:ind w:left="420" w:leftChars="200" w:firstLine="64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九、部门整体支出绩效目标表</w:t>
      </w:r>
    </w:p>
    <w:p>
      <w:pPr>
        <w:pStyle w:val="5"/>
        <w:spacing w:before="0" w:beforeAutospacing="0" w:after="0" w:afterAutospacing="0" w:line="360" w:lineRule="auto"/>
        <w:ind w:left="420" w:leftChars="200" w:firstLine="64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十、项目支出绩效目标表</w:t>
      </w:r>
    </w:p>
    <w:p>
      <w:pPr>
        <w:pStyle w:val="5"/>
        <w:spacing w:before="0" w:beforeAutospacing="0" w:after="0" w:afterAutospacing="0" w:line="360" w:lineRule="auto"/>
        <w:ind w:firstLine="64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第四部分  名词解释</w:t>
      </w:r>
    </w:p>
    <w:p>
      <w:pPr>
        <w:pStyle w:val="5"/>
        <w:spacing w:before="0" w:beforeAutospacing="0" w:after="0" w:afterAutospacing="0" w:line="360" w:lineRule="auto"/>
        <w:ind w:firstLine="640"/>
        <w:rPr>
          <w:rFonts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</w:p>
    <w:p>
      <w:pPr>
        <w:pStyle w:val="5"/>
        <w:spacing w:before="0" w:beforeAutospacing="0" w:after="0" w:afterAutospacing="0" w:line="360" w:lineRule="auto"/>
        <w:rPr>
          <w:rFonts w:asciiTheme="minorEastAsia" w:hAnsiTheme="minorEastAsia" w:eastAsiaTheme="minorEastAsia"/>
          <w:b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highlight w:val="none"/>
          <w:u w:val="none"/>
        </w:rPr>
        <w:t>第一部分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highlight w:val="none"/>
          <w:u w:val="none"/>
          <w:lang w:eastAsia="zh-CN"/>
        </w:rPr>
        <w:t>浮梁县统计局</w:t>
      </w:r>
      <w:r>
        <w:rPr>
          <w:rFonts w:hint="eastAsia" w:asciiTheme="minorEastAsia" w:hAnsiTheme="minorEastAsia" w:eastAsiaTheme="minorEastAsia"/>
          <w:b/>
          <w:color w:val="000000" w:themeColor="text1"/>
          <w:sz w:val="32"/>
          <w:szCs w:val="32"/>
          <w:highlight w:val="none"/>
          <w:u w:val="none"/>
        </w:rPr>
        <w:t>概况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一、部门主要职责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浮梁县统计局主要职能是：承担组织领导和协调全县统计工作，确保统计数据真实、准确、及时的责任；组织实施全县国民经济核算和各类专项调查，核算全县生产总值，汇编提供国民经济核算资料；会同有关部门组织实施人口、经济、农业等重大国情国力普查、汇总、整理和提供有关国情国力方面的统计数据；组织实施农林牧渔业、工业、建筑业、批发和零售业、住宿和餐饮业、房地产业、租赁和商务服务业等统计调查；组织实施能源、投资、消费、价格、收入、科技、人口、劳动力、社会发展基本情况、环境基本状况等统计调查；对国民经济、社会发展、科技进步和资源环境等情况进行统计分析、统计预测和统计监督，向县委、县政府及有关部门提供统计信息和咨询建议。</w:t>
      </w:r>
    </w:p>
    <w:p>
      <w:pPr>
        <w:spacing w:line="360" w:lineRule="auto"/>
        <w:ind w:firstLine="640" w:firstLineChars="20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二、部门基本情况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纳入本套部门预算汇编范围的单位共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2个，包括：浮梁县统计局和下属事业单位浮梁县城乡社会经济与企业调查队。浮梁县统计局内设职能股室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1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个，即秘书股。按“三定”方案核定行政编制6名，工勤事业编制1名。下属事业单位2个：（1）县城乡社会经济与企业调查队（副科级事业单位），核定全额拨款事业编制5名；（2）县普查中心（股级事业单位），挂靠县城乡社会经济与企业调查队，核定全额拨款事业编制3名。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全局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现有编制15名，在编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16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人，退休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4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人。</w:t>
      </w:r>
    </w:p>
    <w:p>
      <w:pPr>
        <w:pStyle w:val="5"/>
        <w:spacing w:before="0" w:beforeAutospacing="0" w:after="0" w:afterAutospacing="0" w:line="360" w:lineRule="auto"/>
        <w:rPr>
          <w:rFonts w:asciiTheme="minorEastAsia" w:hAnsiTheme="minorEastAsia" w:eastAsiaTheme="minorEastAsia"/>
          <w:b/>
          <w:color w:val="000000" w:themeColor="text1"/>
          <w:sz w:val="36"/>
          <w:szCs w:val="36"/>
          <w:highlight w:val="none"/>
          <w:u w:val="none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highlight w:val="none"/>
          <w:u w:val="none"/>
        </w:rPr>
        <w:t>第二部分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highlight w:val="none"/>
          <w:u w:val="none"/>
          <w:lang w:eastAsia="zh-CN"/>
        </w:rPr>
        <w:t>浮梁县统计局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highlight w:val="none"/>
          <w:u w:val="none"/>
        </w:rPr>
        <w:t>2021年部门预算情况说明</w:t>
      </w:r>
    </w:p>
    <w:p>
      <w:pPr>
        <w:pStyle w:val="5"/>
        <w:spacing w:before="0" w:beforeAutospacing="0" w:after="0" w:afterAutospacing="0" w:line="360" w:lineRule="auto"/>
        <w:ind w:firstLine="321" w:firstLineChars="100"/>
        <w:rPr>
          <w:rFonts w:cs="楷体" w:asciiTheme="minorEastAsia" w:hAnsiTheme="minorEastAsia" w:eastAsiaTheme="minorEastAsia"/>
          <w:b/>
          <w:bCs/>
          <w:color w:val="000000" w:themeColor="text1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b/>
          <w:bCs/>
          <w:color w:val="000000" w:themeColor="text1"/>
          <w:sz w:val="32"/>
          <w:szCs w:val="32"/>
          <w:highlight w:val="none"/>
          <w:u w:val="none"/>
        </w:rPr>
        <w:t>一、2021年部门预算收支情况说明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1、收入预算情况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2021年收入预算总额720.46万元，其中公共财政拨款收入494.46万元，财政拨款结转226万元。预算总额比去年增加313.5万元，主要原因是上年结转增加（由于第七次全国人口普查工作需跨年度完成，部分普查经费及“两员”补助年前未支出，造成资金结转）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2、支出预算情况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2021年支出预算总额为720.46万元，比去年支出增加313.5 万元，主要原因上年结转资金当年需支出（由于第七次全国人口普查工作需跨年度完成，部分普查经费及“两员”补助年前未支出，造成资金结转）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按支出项目类别划分：基本支出189.76万元，项目支出530.7万元。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按支出功能科目分类：统计行政运行214.23万元，统计一般行政管理事务429.7万元，统计事业运行76.53万元。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按经济功能科目分类：工资福利支出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160.84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万元，商品服务支出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458.62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万元，对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企业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补助支出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101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万元。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3、2021年公共财政拨款支出预算情况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2021年公共财政拨款支出预算为494.46万元，较上年增加112.8万元。按支出项目类别划分：基本支出174.76万元，较上年增加10.8万元。其中：工资福利支出160.84万元，商品和服务支出333.62万元，对个人和家庭的补助0万元。项目支出319.7万元，较上年增加102万元。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4、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机关运行经费等重要事项的说明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20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21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年部门机关运行费用预算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28.92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万元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，比2020年预算减少10.9万元，下降27%。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按照财政部《地方预决算公开操作规程》明确的口径，机关运行费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5、政府采购预算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2021年政府采购预算为6万元。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6、政府性基金支出预算</w:t>
      </w:r>
    </w:p>
    <w:p>
      <w:pPr>
        <w:spacing w:line="360" w:lineRule="auto"/>
        <w:ind w:firstLine="640" w:firstLineChars="200"/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2021年没有政府性基金预算支出。</w:t>
      </w:r>
    </w:p>
    <w:p>
      <w:pPr>
        <w:widowControl/>
        <w:spacing w:line="360" w:lineRule="auto"/>
        <w:ind w:left="640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</w:rPr>
      </w:pPr>
      <w:r>
        <w:rPr>
          <w:rFonts w:hint="eastAsia" w:cs="楷体" w:asciiTheme="minorEastAsia" w:hAnsiTheme="minorEastAsia" w:eastAsiaTheme="minorEastAsia"/>
          <w:b/>
          <w:bCs/>
          <w:color w:val="000000" w:themeColor="text1"/>
          <w:sz w:val="32"/>
          <w:szCs w:val="32"/>
          <w:highlight w:val="none"/>
          <w:u w:val="none"/>
        </w:rPr>
        <w:t>二、2021年“三公”经费预算情况说明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2021年安排三公经费支出预算6.4万元，较上年增加3          万元。其中公务接待费6.4万元，较上年增加3万元，主要原因是第七次全国人口普查及高质量发展工作的开展，公务接待增加。</w:t>
      </w:r>
      <w:bookmarkStart w:id="0" w:name="_GoBack"/>
      <w:bookmarkEnd w:id="0"/>
    </w:p>
    <w:p>
      <w:pPr>
        <w:pStyle w:val="5"/>
        <w:spacing w:before="0" w:beforeAutospacing="0" w:after="0" w:afterAutospacing="0" w:line="360" w:lineRule="auto"/>
        <w:rPr>
          <w:rFonts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Style w:val="8"/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第三部分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  <w:lang w:eastAsia="zh-CN"/>
        </w:rPr>
        <w:t>浮梁县统计局</w:t>
      </w:r>
      <w:r>
        <w:rPr>
          <w:rStyle w:val="8"/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2021年部门预算表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十张表</w:t>
      </w: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(详见附表)</w:t>
      </w:r>
    </w:p>
    <w:p>
      <w:pPr>
        <w:pStyle w:val="5"/>
        <w:spacing w:before="0" w:beforeAutospacing="0" w:after="0" w:afterAutospacing="0"/>
        <w:rPr>
          <w:rFonts w:cs="楷体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</w:pPr>
      <w:r>
        <w:rPr>
          <w:rStyle w:val="8"/>
          <w:rFonts w:hint="eastAsia" w:asciiTheme="minorEastAsia" w:hAnsiTheme="minorEastAsia" w:eastAsiaTheme="minorEastAsia"/>
          <w:color w:val="000000" w:themeColor="text1"/>
          <w:sz w:val="32"/>
          <w:szCs w:val="32"/>
          <w:highlight w:val="none"/>
          <w:u w:val="none"/>
        </w:rPr>
        <w:t>第四部分    名词解释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（一）财政拨款：指县级财政当年拨付的资金。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（二）事业收入：指事业单位开展专业业务活动及辅助活动取得的收入。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（三）行政运行：反映行政单位（包括参公单位）的基本支出。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（四）“三公经费”：反映财政拨款安排的因公出国（境）费、公务用车购置及运行费和公务接待费。其中，因公出国（境）费反映单位公务出国（境）的国际旅费、国外城市交通费、住宿费、伙食费、培训费、公杂费等支出；公务用车购置及运行费反映单位公务车辆购置支出（含车辆购置税）及租用费、燃料费、维修费、过桥过路费、保险费、安全奖励费用等支出；公务接待费反映单位按规定开支的各类公务接待（含外宾接待）支出。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  <w:t>（五）机关运行经费：为保障行政单位（含参照公务员法管理的事业单位）运行用于购买货物和服务的各项资金，包括办公及印刷费、邮电费、差旅费、会议费、福利费、日常维修费、专用材料及一般购置费、办公用房水电费、办公用房取暖费、办公用房物业管理费及其他费用。</w:t>
      </w:r>
    </w:p>
    <w:p>
      <w:pPr>
        <w:spacing w:line="360" w:lineRule="auto"/>
        <w:ind w:firstLine="640" w:firstLineChars="200"/>
        <w:rPr>
          <w:rFonts w:hint="eastAsia" w:cs="宋体" w:asciiTheme="minorEastAsia" w:hAnsiTheme="minorEastAsia" w:eastAsiaTheme="minorEastAsia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A296E"/>
    <w:rsid w:val="00055F93"/>
    <w:rsid w:val="000B0F3A"/>
    <w:rsid w:val="00101F23"/>
    <w:rsid w:val="00147797"/>
    <w:rsid w:val="00173591"/>
    <w:rsid w:val="00184784"/>
    <w:rsid w:val="001B14AC"/>
    <w:rsid w:val="00200F6A"/>
    <w:rsid w:val="00242920"/>
    <w:rsid w:val="0024318F"/>
    <w:rsid w:val="002554E4"/>
    <w:rsid w:val="00265800"/>
    <w:rsid w:val="0027415E"/>
    <w:rsid w:val="002B6E07"/>
    <w:rsid w:val="002B6FD8"/>
    <w:rsid w:val="002F2932"/>
    <w:rsid w:val="00341C48"/>
    <w:rsid w:val="0034691E"/>
    <w:rsid w:val="0035356C"/>
    <w:rsid w:val="00373A5F"/>
    <w:rsid w:val="00387ECD"/>
    <w:rsid w:val="0039194B"/>
    <w:rsid w:val="003A500B"/>
    <w:rsid w:val="003D5ECA"/>
    <w:rsid w:val="003F6E48"/>
    <w:rsid w:val="00430199"/>
    <w:rsid w:val="0044790B"/>
    <w:rsid w:val="004560A4"/>
    <w:rsid w:val="0049257F"/>
    <w:rsid w:val="00501488"/>
    <w:rsid w:val="00554EE5"/>
    <w:rsid w:val="005702E4"/>
    <w:rsid w:val="00570817"/>
    <w:rsid w:val="00586C32"/>
    <w:rsid w:val="005B546A"/>
    <w:rsid w:val="005D6266"/>
    <w:rsid w:val="005D6308"/>
    <w:rsid w:val="005E154F"/>
    <w:rsid w:val="006043B9"/>
    <w:rsid w:val="00615F77"/>
    <w:rsid w:val="00690702"/>
    <w:rsid w:val="006952BC"/>
    <w:rsid w:val="006A2771"/>
    <w:rsid w:val="006B0AE8"/>
    <w:rsid w:val="006D47BC"/>
    <w:rsid w:val="0070157D"/>
    <w:rsid w:val="00711186"/>
    <w:rsid w:val="00752138"/>
    <w:rsid w:val="007559AE"/>
    <w:rsid w:val="0078377C"/>
    <w:rsid w:val="007A54A5"/>
    <w:rsid w:val="00835DA2"/>
    <w:rsid w:val="00851171"/>
    <w:rsid w:val="008A2CE5"/>
    <w:rsid w:val="008C7650"/>
    <w:rsid w:val="008D1242"/>
    <w:rsid w:val="008E2841"/>
    <w:rsid w:val="008F7CBB"/>
    <w:rsid w:val="009006FF"/>
    <w:rsid w:val="00932BEF"/>
    <w:rsid w:val="00955CCB"/>
    <w:rsid w:val="009B6D87"/>
    <w:rsid w:val="009B7B56"/>
    <w:rsid w:val="009B7FD2"/>
    <w:rsid w:val="009D456B"/>
    <w:rsid w:val="00A718C4"/>
    <w:rsid w:val="00A93A57"/>
    <w:rsid w:val="00AA21FB"/>
    <w:rsid w:val="00AA296E"/>
    <w:rsid w:val="00AC333E"/>
    <w:rsid w:val="00AC513E"/>
    <w:rsid w:val="00AF59DD"/>
    <w:rsid w:val="00B03799"/>
    <w:rsid w:val="00B25E22"/>
    <w:rsid w:val="00B72A49"/>
    <w:rsid w:val="00B86B4C"/>
    <w:rsid w:val="00BA1930"/>
    <w:rsid w:val="00BB2685"/>
    <w:rsid w:val="00BD3209"/>
    <w:rsid w:val="00BE7C95"/>
    <w:rsid w:val="00BF61E4"/>
    <w:rsid w:val="00C04F92"/>
    <w:rsid w:val="00C34DFB"/>
    <w:rsid w:val="00C66216"/>
    <w:rsid w:val="00C90EC8"/>
    <w:rsid w:val="00CE72F4"/>
    <w:rsid w:val="00CF23C9"/>
    <w:rsid w:val="00D3054D"/>
    <w:rsid w:val="00D312C6"/>
    <w:rsid w:val="00D4001B"/>
    <w:rsid w:val="00D532CD"/>
    <w:rsid w:val="00D632EB"/>
    <w:rsid w:val="00D77E9F"/>
    <w:rsid w:val="00D81AFA"/>
    <w:rsid w:val="00D844E6"/>
    <w:rsid w:val="00DA10DC"/>
    <w:rsid w:val="00DA12D1"/>
    <w:rsid w:val="00DD4736"/>
    <w:rsid w:val="00E116F0"/>
    <w:rsid w:val="00E27C49"/>
    <w:rsid w:val="00E54E50"/>
    <w:rsid w:val="00E609EB"/>
    <w:rsid w:val="00E8099F"/>
    <w:rsid w:val="00E80AAF"/>
    <w:rsid w:val="00EF10C5"/>
    <w:rsid w:val="00F1013D"/>
    <w:rsid w:val="00F32D25"/>
    <w:rsid w:val="00F62BFD"/>
    <w:rsid w:val="00F70071"/>
    <w:rsid w:val="00F745ED"/>
    <w:rsid w:val="00F81FDD"/>
    <w:rsid w:val="00F94350"/>
    <w:rsid w:val="00FC6CB6"/>
    <w:rsid w:val="00FC6F86"/>
    <w:rsid w:val="00FF7140"/>
    <w:rsid w:val="00FF7D7F"/>
    <w:rsid w:val="10E568D6"/>
    <w:rsid w:val="354218C7"/>
    <w:rsid w:val="3DE50DBE"/>
    <w:rsid w:val="409E6017"/>
    <w:rsid w:val="424A19B6"/>
    <w:rsid w:val="459674D4"/>
    <w:rsid w:val="63C40A8C"/>
    <w:rsid w:val="6FF64A13"/>
    <w:rsid w:val="7A716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apple-converted-space"/>
    <w:basedOn w:val="7"/>
    <w:qFormat/>
    <w:uiPriority w:val="0"/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D7E4B2-F89D-45E4-8F55-17264D425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335</Words>
  <Characters>1913</Characters>
  <Lines>15</Lines>
  <Paragraphs>4</Paragraphs>
  <TotalTime>4</TotalTime>
  <ScaleCrop>false</ScaleCrop>
  <LinksUpToDate>false</LinksUpToDate>
  <CharactersWithSpaces>2244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2020-05-29T01:55:00Z</dcterms:created>
  <dc:creator>xbany</dc:creator>
  <cp:lastModifiedBy>Administrator</cp:lastModifiedBy>
  <cp:lastPrinted>2017-01-03T06:47:00Z</cp:lastPrinted>
  <dcterms:modified xsi:type="dcterms:W3CDTF">2021-04-21T02:42:04Z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248492B842074D2D9BB1A6A2BE386602</vt:lpwstr>
  </property>
</Properties>
</file>