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0" w:line="224" w:lineRule="auto"/>
        <w:rPr>
          <w:rFonts w:hint="eastAsia" w:ascii="仿宋" w:hAnsi="仿宋" w:eastAsia="仿宋" w:cs="仿宋"/>
          <w:sz w:val="30"/>
          <w:szCs w:val="30"/>
          <w:lang w:val="en-US" w:eastAsia="zh-CN"/>
        </w:rPr>
      </w:pPr>
      <w:r>
        <w:rPr>
          <w:rFonts w:hint="eastAsia" w:ascii="仿宋" w:hAnsi="仿宋" w:eastAsia="仿宋" w:cs="仿宋"/>
          <w:spacing w:val="3"/>
          <w:sz w:val="30"/>
          <w:szCs w:val="30"/>
          <w14:textOutline w14:w="6172" w14:cap="flat" w14:cmpd="sng">
            <w14:solidFill>
              <w14:srgbClr w14:val="000000"/>
            </w14:solidFill>
            <w14:prstDash w14:val="solid"/>
            <w14:miter w14:val="0"/>
          </w14:textOutline>
        </w:rPr>
        <w:t>附件</w:t>
      </w:r>
      <w:r>
        <w:rPr>
          <w:rFonts w:hint="eastAsia" w:ascii="仿宋" w:hAnsi="仿宋" w:eastAsia="仿宋" w:cs="仿宋"/>
          <w:spacing w:val="3"/>
          <w:sz w:val="30"/>
          <w:szCs w:val="30"/>
          <w:lang w:val="en-US" w:eastAsia="zh-CN"/>
          <w14:textOutline w14:w="6172" w14:cap="flat" w14:cmpd="sng">
            <w14:solidFill>
              <w14:srgbClr w14:val="000000"/>
            </w14:solidFill>
            <w14:prstDash w14:val="solid"/>
            <w14:miter w14:val="0"/>
          </w14:textOutline>
        </w:rPr>
        <w:t>1</w:t>
      </w:r>
    </w:p>
    <w:p>
      <w:pPr>
        <w:spacing w:line="289" w:lineRule="auto"/>
        <w:jc w:val="center"/>
        <w:rPr>
          <w:rFonts w:hint="eastAsia" w:ascii="仿宋" w:hAnsi="仿宋" w:eastAsia="仿宋" w:cs="仿宋"/>
          <w:sz w:val="30"/>
          <w:szCs w:val="30"/>
        </w:rPr>
      </w:pPr>
    </w:p>
    <w:p>
      <w:pPr>
        <w:spacing w:line="290" w:lineRule="auto"/>
        <w:jc w:val="center"/>
        <w:rPr>
          <w:rFonts w:hint="eastAsia" w:ascii="黑体" w:hAnsi="黑体" w:eastAsia="黑体" w:cs="黑体"/>
          <w:sz w:val="36"/>
          <w:szCs w:val="36"/>
        </w:rPr>
      </w:pPr>
    </w:p>
    <w:p>
      <w:pPr>
        <w:widowControl w:val="0"/>
        <w:kinsoku/>
        <w:autoSpaceDE/>
        <w:autoSpaceDN/>
        <w:adjustRightInd/>
        <w:snapToGrid/>
        <w:spacing w:line="860" w:lineRule="exact"/>
        <w:jc w:val="center"/>
        <w:textAlignment w:val="auto"/>
        <w:rPr>
          <w:rFonts w:hint="eastAsia" w:ascii="黑体" w:hAnsi="黑体" w:eastAsia="黑体" w:cs="黑体"/>
          <w:snapToGrid/>
          <w:kern w:val="2"/>
          <w:sz w:val="44"/>
          <w:szCs w:val="44"/>
          <w:lang w:val="en-US" w:eastAsia="zh-CN" w:bidi="ar-SA"/>
        </w:rPr>
      </w:pPr>
      <w:r>
        <w:rPr>
          <w:rFonts w:hint="eastAsia" w:ascii="黑体" w:hAnsi="黑体" w:eastAsia="黑体" w:cs="黑体"/>
          <w:snapToGrid/>
          <w:kern w:val="2"/>
          <w:sz w:val="44"/>
          <w:szCs w:val="44"/>
          <w:lang w:val="en-US" w:eastAsia="zh-CN" w:bidi="ar-SA"/>
        </w:rPr>
        <w:t>浮梁县商务局 2023年部门预算</w:t>
      </w:r>
    </w:p>
    <w:p>
      <w:pPr>
        <w:spacing w:line="334" w:lineRule="auto"/>
        <w:rPr>
          <w:rFonts w:hint="eastAsia" w:ascii="黑体" w:hAnsi="黑体" w:eastAsia="黑体" w:cs="黑体"/>
          <w:sz w:val="44"/>
          <w:szCs w:val="44"/>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6"/>
          <w:szCs w:val="36"/>
          <w:lang w:val="en-US" w:eastAsia="zh-CN" w:bidi="ar-SA"/>
        </w:rPr>
      </w:pPr>
      <w:r>
        <w:rPr>
          <w:rFonts w:hint="eastAsia" w:ascii="黑体" w:hAnsi="黑体" w:eastAsia="黑体" w:cs="黑体"/>
          <w:snapToGrid/>
          <w:kern w:val="2"/>
          <w:sz w:val="36"/>
          <w:szCs w:val="36"/>
          <w:lang w:val="en-US" w:eastAsia="zh-CN" w:bidi="ar-SA"/>
        </w:rPr>
        <w:t>目    录</w:t>
      </w:r>
    </w:p>
    <w:p>
      <w:pPr>
        <w:spacing w:line="347" w:lineRule="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第一部分 浮梁县商务局概况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textAlignment w:val="baseline"/>
        <w:rPr>
          <w:rFonts w:hint="eastAsia" w:ascii="仿宋" w:hAnsi="仿宋" w:eastAsia="仿宋" w:cs="仿宋"/>
          <w:sz w:val="32"/>
          <w:szCs w:val="32"/>
        </w:rPr>
      </w:pPr>
      <w:r>
        <w:rPr>
          <w:rFonts w:hint="eastAsia" w:ascii="仿宋" w:hAnsi="仿宋" w:eastAsia="仿宋" w:cs="仿宋"/>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z w:val="32"/>
          <w:szCs w:val="32"/>
        </w:rPr>
      </w:pPr>
      <w:r>
        <w:rPr>
          <w:rFonts w:hint="eastAsia" w:ascii="仿宋" w:hAnsi="仿宋" w:eastAsia="仿宋" w:cs="仿宋"/>
          <w:spacing w:val="1"/>
          <w:sz w:val="32"/>
          <w:szCs w:val="32"/>
        </w:rPr>
        <w:t>二、机构设置及人员情况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第二部分 浮梁县商务局2022年部门预算表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十一、《项目绩效目标表》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第三部分 浮梁县商务局2023年部门预算情况说明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一、202</w:t>
      </w:r>
      <w:r>
        <w:rPr>
          <w:rFonts w:hint="eastAsia" w:ascii="仿宋" w:hAnsi="仿宋" w:eastAsia="仿宋" w:cs="仿宋"/>
          <w:spacing w:val="1"/>
          <w:sz w:val="32"/>
          <w:szCs w:val="32"/>
          <w:lang w:val="en-US" w:eastAsia="zh-CN"/>
        </w:rPr>
        <w:t>3</w:t>
      </w:r>
      <w:r>
        <w:rPr>
          <w:rFonts w:hint="eastAsia" w:ascii="仿宋" w:hAnsi="仿宋" w:eastAsia="仿宋" w:cs="仿宋"/>
          <w:spacing w:val="1"/>
          <w:sz w:val="32"/>
          <w:szCs w:val="32"/>
        </w:rPr>
        <w:t>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4" w:firstLineChars="200"/>
        <w:textAlignment w:val="baseline"/>
        <w:rPr>
          <w:rFonts w:hint="eastAsia" w:ascii="仿宋" w:hAnsi="仿宋" w:eastAsia="仿宋" w:cs="仿宋"/>
          <w:spacing w:val="1"/>
          <w:sz w:val="32"/>
          <w:szCs w:val="32"/>
        </w:rPr>
      </w:pPr>
      <w:r>
        <w:rPr>
          <w:rFonts w:hint="eastAsia" w:ascii="仿宋" w:hAnsi="仿宋" w:eastAsia="仿宋" w:cs="仿宋"/>
          <w:spacing w:val="1"/>
          <w:sz w:val="32"/>
          <w:szCs w:val="32"/>
        </w:rPr>
        <w:t>二、202</w:t>
      </w:r>
      <w:r>
        <w:rPr>
          <w:rFonts w:hint="eastAsia" w:ascii="仿宋" w:hAnsi="仿宋" w:eastAsia="仿宋" w:cs="仿宋"/>
          <w:spacing w:val="1"/>
          <w:sz w:val="32"/>
          <w:szCs w:val="32"/>
          <w:lang w:val="en-US" w:eastAsia="zh-CN"/>
        </w:rPr>
        <w:t>3</w:t>
      </w:r>
      <w:r>
        <w:rPr>
          <w:rFonts w:hint="eastAsia" w:ascii="仿宋" w:hAnsi="仿宋" w:eastAsia="仿宋" w:cs="仿宋"/>
          <w:spacing w:val="1"/>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b/>
          <w:bCs/>
          <w:snapToGrid/>
          <w:kern w:val="2"/>
          <w:sz w:val="32"/>
          <w:szCs w:val="32"/>
          <w:lang w:val="en-US" w:eastAsia="zh-CN" w:bidi="ar-SA"/>
        </w:rPr>
        <w:t>第一部分 浮梁县商务局概况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95" w:firstLineChars="200"/>
        <w:textAlignment w:val="baseline"/>
        <w:rPr>
          <w:rFonts w:hint="eastAsia" w:ascii="仿宋" w:hAnsi="仿宋" w:eastAsia="仿宋" w:cs="仿宋"/>
          <w:b/>
          <w:bCs/>
          <w:spacing w:val="13"/>
          <w:sz w:val="32"/>
          <w:szCs w:val="32"/>
        </w:rPr>
      </w:pPr>
      <w:r>
        <w:rPr>
          <w:rFonts w:hint="eastAsia" w:ascii="仿宋" w:hAnsi="仿宋" w:eastAsia="仿宋" w:cs="仿宋"/>
          <w:b/>
          <w:bCs/>
          <w:spacing w:val="13"/>
          <w:sz w:val="32"/>
          <w:szCs w:val="32"/>
        </w:rPr>
        <w:t>一、部门主要职责</w:t>
      </w:r>
    </w:p>
    <w:p>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县商务局经由2019年机构改革，整合招商协作、外贸、商管办等行政职能成立。根据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方案，我局承担着全县利用外资、招商引资管理、市场秩序、服务贸易、商贸服务业、市场体系建设、市场运行、消费促进、企业管理服务、电子商务、内资管理、项目统计上报、对外贸易等十</w:t>
      </w: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项行政工作职能。</w:t>
      </w:r>
    </w:p>
    <w:p>
      <w:pPr>
        <w:keepNext w:val="0"/>
        <w:keepLines w:val="0"/>
        <w:pageBreakBefore w:val="0"/>
        <w:widowControl w:val="0"/>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二、部门基本情况</w:t>
      </w:r>
    </w:p>
    <w:p>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color w:val="000000" w:themeColor="text1"/>
          <w:sz w:val="32"/>
          <w:szCs w:val="32"/>
          <w14:textFill>
            <w14:solidFill>
              <w14:schemeClr w14:val="tx1"/>
            </w14:solidFill>
          </w14:textFill>
        </w:rPr>
        <w:t>2019年机构改革，整合招商协作、外贸、商管办成立县商务局，内设综合股。</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浮编发[20</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55</w:t>
      </w:r>
      <w:r>
        <w:rPr>
          <w:rFonts w:hint="eastAsia" w:ascii="仿宋" w:hAnsi="仿宋" w:eastAsia="仿宋" w:cs="仿宋"/>
          <w:color w:val="000000" w:themeColor="text1"/>
          <w:sz w:val="32"/>
          <w:szCs w:val="32"/>
          <w14:textFill>
            <w14:solidFill>
              <w14:schemeClr w14:val="tx1"/>
            </w14:solidFill>
          </w14:textFill>
        </w:rPr>
        <w:t>号</w:t>
      </w:r>
      <w:r>
        <w:rPr>
          <w:rFonts w:hint="eastAsia" w:ascii="仿宋" w:hAnsi="仿宋" w:eastAsia="仿宋" w:cs="仿宋"/>
          <w:color w:val="000000" w:themeColor="text1"/>
          <w:sz w:val="32"/>
          <w:szCs w:val="32"/>
          <w:lang w:val="en-US" w:eastAsia="zh-CN"/>
          <w14:textFill>
            <w14:solidFill>
              <w14:schemeClr w14:val="tx1"/>
            </w14:solidFill>
          </w14:textFill>
        </w:rPr>
        <w:t>文件精神，县商务局下设招商信息分中心牌子，为股级事业单位，由县商务局管理。</w:t>
      </w:r>
    </w:p>
    <w:p>
      <w:pPr>
        <w:keepNext w:val="0"/>
        <w:keepLines w:val="0"/>
        <w:pageBreakBefore w:val="0"/>
        <w:wordWrap/>
        <w:overflowPunct/>
        <w:topLinePunct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本部门共有编制数为1</w:t>
      </w:r>
      <w:r>
        <w:rPr>
          <w:rFonts w:hint="eastAsia" w:ascii="仿宋" w:hAnsi="仿宋" w:eastAsia="仿宋" w:cs="仿宋"/>
          <w:sz w:val="32"/>
          <w:szCs w:val="32"/>
          <w:lang w:val="en-US" w:eastAsia="zh-CN"/>
        </w:rPr>
        <w:t>6</w:t>
      </w:r>
      <w:r>
        <w:rPr>
          <w:rFonts w:hint="eastAsia" w:ascii="仿宋" w:hAnsi="仿宋" w:eastAsia="仿宋" w:cs="仿宋"/>
          <w:sz w:val="32"/>
          <w:szCs w:val="32"/>
        </w:rPr>
        <w:t>个，其中</w:t>
      </w:r>
      <w:r>
        <w:rPr>
          <w:rFonts w:hint="eastAsia" w:ascii="仿宋" w:hAnsi="仿宋" w:eastAsia="仿宋" w:cs="仿宋"/>
          <w:sz w:val="32"/>
          <w:szCs w:val="32"/>
          <w:lang w:eastAsia="zh-CN"/>
        </w:rPr>
        <w:t>行政</w:t>
      </w:r>
      <w:r>
        <w:rPr>
          <w:rFonts w:hint="eastAsia" w:ascii="仿宋" w:hAnsi="仿宋" w:eastAsia="仿宋" w:cs="仿宋"/>
          <w:sz w:val="32"/>
          <w:szCs w:val="32"/>
        </w:rPr>
        <w:t>编制</w:t>
      </w:r>
      <w:r>
        <w:rPr>
          <w:rFonts w:hint="eastAsia" w:ascii="仿宋" w:hAnsi="仿宋" w:eastAsia="仿宋" w:cs="仿宋"/>
          <w:sz w:val="32"/>
          <w:szCs w:val="32"/>
          <w:lang w:val="en-US" w:eastAsia="zh-CN"/>
        </w:rPr>
        <w:t>5</w:t>
      </w:r>
      <w:r>
        <w:rPr>
          <w:rFonts w:hint="eastAsia" w:ascii="仿宋" w:hAnsi="仿宋" w:eastAsia="仿宋" w:cs="仿宋"/>
          <w:sz w:val="32"/>
          <w:szCs w:val="32"/>
        </w:rPr>
        <w:t>个，事业编制</w:t>
      </w:r>
      <w:r>
        <w:rPr>
          <w:rFonts w:hint="eastAsia" w:ascii="仿宋" w:hAnsi="仿宋" w:eastAsia="仿宋" w:cs="仿宋"/>
          <w:sz w:val="32"/>
          <w:szCs w:val="32"/>
          <w:lang w:val="en-US" w:eastAsia="zh-CN"/>
        </w:rPr>
        <w:t>11</w:t>
      </w:r>
      <w:r>
        <w:rPr>
          <w:rFonts w:hint="eastAsia" w:ascii="仿宋" w:hAnsi="仿宋" w:eastAsia="仿宋" w:cs="仿宋"/>
          <w:sz w:val="32"/>
          <w:szCs w:val="32"/>
        </w:rPr>
        <w:t>个。实有人数1</w:t>
      </w:r>
      <w:r>
        <w:rPr>
          <w:rFonts w:hint="eastAsia" w:ascii="仿宋" w:hAnsi="仿宋" w:eastAsia="仿宋" w:cs="仿宋"/>
          <w:sz w:val="32"/>
          <w:szCs w:val="32"/>
          <w:lang w:val="en-US" w:eastAsia="zh-CN"/>
        </w:rPr>
        <w:t>8</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16</w:t>
      </w:r>
      <w:r>
        <w:rPr>
          <w:rFonts w:hint="eastAsia" w:ascii="仿宋" w:hAnsi="仿宋" w:eastAsia="仿宋" w:cs="仿宋"/>
          <w:sz w:val="32"/>
          <w:szCs w:val="32"/>
        </w:rPr>
        <w:t>人，离退休</w:t>
      </w:r>
      <w:r>
        <w:rPr>
          <w:rFonts w:hint="eastAsia" w:ascii="仿宋" w:hAnsi="仿宋" w:eastAsia="仿宋" w:cs="仿宋"/>
          <w:sz w:val="32"/>
          <w:szCs w:val="32"/>
          <w:lang w:val="en-US" w:eastAsia="zh-CN"/>
        </w:rPr>
        <w:t>2</w:t>
      </w:r>
      <w:r>
        <w:rPr>
          <w:rFonts w:hint="eastAsia" w:ascii="仿宋" w:hAnsi="仿宋" w:eastAsia="仿宋" w:cs="仿宋"/>
          <w:sz w:val="32"/>
          <w:szCs w:val="32"/>
        </w:rPr>
        <w:t>人。</w:t>
      </w:r>
    </w:p>
    <w:p>
      <w:pPr>
        <w:keepNext w:val="0"/>
        <w:keepLines w:val="0"/>
        <w:pageBreakBefore w:val="0"/>
        <w:wordWrap/>
        <w:overflowPunct/>
        <w:topLinePunct w:val="0"/>
        <w:bidi w:val="0"/>
        <w:spacing w:line="600" w:lineRule="exact"/>
        <w:ind w:firstLine="640" w:firstLineChars="200"/>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第二部分 浮梁县商务局2023年部门预算表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550"/>
        <w:textAlignment w:val="baseline"/>
        <w:rPr>
          <w:rFonts w:hint="eastAsia" w:ascii="仿宋" w:hAnsi="仿宋" w:eastAsia="仿宋" w:cs="仿宋"/>
          <w:b/>
          <w:bCs/>
          <w:spacing w:val="17"/>
          <w:sz w:val="32"/>
          <w:szCs w:val="32"/>
        </w:rPr>
      </w:pPr>
      <w:r>
        <w:rPr>
          <w:rFonts w:hint="eastAsia" w:ascii="仿宋" w:hAnsi="仿宋" w:eastAsia="仿宋" w:cs="仿宋"/>
          <w:b/>
          <w:bCs/>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550"/>
        <w:textAlignment w:val="baseline"/>
        <w:rPr>
          <w:rFonts w:hint="eastAsia" w:ascii="仿宋" w:hAnsi="仿宋" w:eastAsia="仿宋" w:cs="仿宋"/>
          <w:b/>
          <w:bCs/>
          <w:spacing w:val="17"/>
          <w:sz w:val="32"/>
          <w:szCs w:val="32"/>
        </w:rPr>
      </w:pPr>
    </w:p>
    <w:p>
      <w:pPr>
        <w:keepNext w:val="0"/>
        <w:keepLines w:val="0"/>
        <w:pageBreakBefore w:val="0"/>
        <w:wordWrap/>
        <w:overflowPunct/>
        <w:topLinePunct w:val="0"/>
        <w:bidi w:val="0"/>
        <w:spacing w:line="600" w:lineRule="exact"/>
        <w:ind w:firstLine="640" w:firstLineChars="200"/>
        <w:rPr>
          <w:rFonts w:hint="eastAsia" w:ascii="仿宋" w:hAnsi="仿宋" w:eastAsia="仿宋" w:cs="仿宋"/>
          <w:sz w:val="32"/>
          <w:szCs w:val="32"/>
        </w:rPr>
      </w:pPr>
    </w:p>
    <w:p>
      <w:pPr>
        <w:keepNext w:val="0"/>
        <w:keepLines w:val="0"/>
        <w:pageBreakBefore w:val="0"/>
        <w:wordWrap/>
        <w:overflowPunct/>
        <w:topLinePunct w:val="0"/>
        <w:bidi w:val="0"/>
        <w:spacing w:line="600" w:lineRule="exact"/>
        <w:ind w:firstLine="640" w:firstLineChars="200"/>
        <w:rPr>
          <w:rFonts w:hint="eastAsia" w:ascii="仿宋" w:hAnsi="仿宋" w:eastAsia="仿宋" w:cs="仿宋"/>
          <w:sz w:val="32"/>
          <w:szCs w:val="32"/>
        </w:rPr>
      </w:pPr>
    </w:p>
    <w:p>
      <w:pPr>
        <w:pStyle w:val="5"/>
        <w:keepNext w:val="0"/>
        <w:keepLines w:val="0"/>
        <w:pageBreakBefore w:val="0"/>
        <w:wordWrap/>
        <w:overflowPunct/>
        <w:topLinePunct w:val="0"/>
        <w:bidi w:val="0"/>
        <w:spacing w:before="0" w:beforeAutospacing="0" w:after="0" w:afterAutospacing="0" w:line="600" w:lineRule="exact"/>
        <w:ind w:left="0" w:leftChars="0" w:right="0" w:rightChars="0"/>
        <w:jc w:val="center"/>
        <w:outlineLvl w:val="9"/>
        <w:rPr>
          <w:rFonts w:hint="eastAsia" w:ascii="仿宋" w:hAnsi="仿宋" w:eastAsia="仿宋" w:cs="仿宋"/>
          <w:b/>
          <w:bCs w:val="0"/>
          <w:color w:val="333333"/>
          <w:sz w:val="32"/>
          <w:szCs w:val="32"/>
        </w:rPr>
      </w:pPr>
      <w:r>
        <w:rPr>
          <w:rFonts w:hint="eastAsia" w:ascii="仿宋" w:hAnsi="仿宋" w:eastAsia="仿宋" w:cs="仿宋"/>
          <w:b/>
          <w:bCs w:val="0"/>
          <w:color w:val="333333"/>
          <w:kern w:val="0"/>
          <w:sz w:val="32"/>
          <w:szCs w:val="32"/>
          <w:lang w:val="en-US" w:eastAsia="zh-CN" w:bidi="ar-SA"/>
        </w:rPr>
        <w:t>第三部分浮梁</w:t>
      </w:r>
      <w:r>
        <w:rPr>
          <w:rFonts w:hint="eastAsia" w:ascii="仿宋" w:hAnsi="仿宋" w:eastAsia="仿宋" w:cs="仿宋"/>
          <w:b/>
          <w:bCs w:val="0"/>
          <w:color w:val="333333"/>
          <w:sz w:val="32"/>
          <w:szCs w:val="32"/>
          <w:lang w:eastAsia="zh-CN"/>
        </w:rPr>
        <w:t>县商务局</w:t>
      </w:r>
      <w:r>
        <w:rPr>
          <w:rFonts w:hint="eastAsia" w:ascii="仿宋" w:hAnsi="仿宋" w:eastAsia="仿宋" w:cs="仿宋"/>
          <w:b/>
          <w:bCs w:val="0"/>
          <w:color w:val="333333"/>
          <w:sz w:val="32"/>
          <w:szCs w:val="32"/>
        </w:rPr>
        <w:t>202</w:t>
      </w:r>
      <w:r>
        <w:rPr>
          <w:rFonts w:hint="eastAsia" w:ascii="仿宋" w:hAnsi="仿宋" w:eastAsia="仿宋" w:cs="仿宋"/>
          <w:b/>
          <w:bCs w:val="0"/>
          <w:color w:val="333333"/>
          <w:sz w:val="32"/>
          <w:szCs w:val="32"/>
          <w:lang w:val="en-US" w:eastAsia="zh-CN"/>
        </w:rPr>
        <w:t>3</w:t>
      </w:r>
      <w:r>
        <w:rPr>
          <w:rFonts w:hint="eastAsia" w:ascii="仿宋" w:hAnsi="仿宋" w:eastAsia="仿宋" w:cs="仿宋"/>
          <w:b/>
          <w:bCs w:val="0"/>
          <w:color w:val="333333"/>
          <w:sz w:val="32"/>
          <w:szCs w:val="32"/>
        </w:rPr>
        <w:t>年部门预算</w:t>
      </w:r>
    </w:p>
    <w:p>
      <w:pPr>
        <w:pStyle w:val="5"/>
        <w:keepNext w:val="0"/>
        <w:keepLines w:val="0"/>
        <w:pageBreakBefore w:val="0"/>
        <w:wordWrap/>
        <w:overflowPunct/>
        <w:topLinePunct w:val="0"/>
        <w:bidi w:val="0"/>
        <w:spacing w:before="0" w:beforeAutospacing="0" w:after="0" w:afterAutospacing="0" w:line="600" w:lineRule="exact"/>
        <w:ind w:left="0" w:leftChars="0" w:right="0" w:rightChars="0"/>
        <w:jc w:val="center"/>
        <w:outlineLvl w:val="9"/>
        <w:rPr>
          <w:rFonts w:hint="eastAsia" w:ascii="仿宋" w:hAnsi="仿宋" w:eastAsia="仿宋" w:cs="仿宋"/>
          <w:b/>
          <w:bCs w:val="0"/>
          <w:color w:val="333333"/>
          <w:sz w:val="32"/>
          <w:szCs w:val="32"/>
        </w:rPr>
      </w:pPr>
      <w:r>
        <w:rPr>
          <w:rFonts w:hint="eastAsia" w:ascii="仿宋" w:hAnsi="仿宋" w:eastAsia="仿宋" w:cs="仿宋"/>
          <w:b/>
          <w:bCs w:val="0"/>
          <w:color w:val="333333"/>
          <w:sz w:val="32"/>
          <w:szCs w:val="32"/>
        </w:rPr>
        <w:t>情况说明</w:t>
      </w:r>
    </w:p>
    <w:p>
      <w:pPr>
        <w:pStyle w:val="5"/>
        <w:keepNext w:val="0"/>
        <w:keepLines w:val="0"/>
        <w:pageBreakBefore w:val="0"/>
        <w:wordWrap/>
        <w:overflowPunct/>
        <w:topLinePunct w:val="0"/>
        <w:bidi w:val="0"/>
        <w:spacing w:before="0" w:beforeAutospacing="0" w:after="0" w:afterAutospacing="0" w:line="600" w:lineRule="exact"/>
        <w:ind w:left="0" w:leftChars="0" w:right="0" w:rightChars="0"/>
        <w:jc w:val="center"/>
        <w:outlineLvl w:val="9"/>
        <w:rPr>
          <w:rFonts w:hint="eastAsia" w:ascii="仿宋" w:hAnsi="仿宋" w:eastAsia="仿宋" w:cs="仿宋"/>
          <w:b/>
          <w:color w:val="333333"/>
          <w:sz w:val="32"/>
          <w:szCs w:val="32"/>
        </w:rPr>
      </w:pPr>
    </w:p>
    <w:p>
      <w:pPr>
        <w:pStyle w:val="5"/>
        <w:keepNext w:val="0"/>
        <w:keepLines w:val="0"/>
        <w:pageBreakBefore w:val="0"/>
        <w:wordWrap/>
        <w:overflowPunct/>
        <w:topLinePunct w:val="0"/>
        <w:bidi w:val="0"/>
        <w:spacing w:before="0" w:beforeAutospacing="0" w:after="0" w:afterAutospacing="0" w:line="600" w:lineRule="exact"/>
        <w:ind w:left="0" w:leftChars="0" w:right="0" w:rightChars="0" w:firstLine="321" w:firstLineChars="100"/>
        <w:outlineLvl w:val="9"/>
        <w:rPr>
          <w:rFonts w:hint="eastAsia" w:ascii="仿宋" w:hAnsi="仿宋" w:eastAsia="仿宋" w:cs="仿宋"/>
          <w:b/>
          <w:bCs/>
          <w:color w:val="333333"/>
          <w:sz w:val="32"/>
          <w:szCs w:val="32"/>
        </w:rPr>
      </w:pPr>
      <w:r>
        <w:rPr>
          <w:rFonts w:hint="eastAsia" w:ascii="仿宋" w:hAnsi="仿宋" w:eastAsia="仿宋" w:cs="仿宋"/>
          <w:b/>
          <w:bCs/>
          <w:color w:val="333333"/>
          <w:sz w:val="32"/>
          <w:szCs w:val="32"/>
        </w:rPr>
        <w:t>一、202</w:t>
      </w:r>
      <w:r>
        <w:rPr>
          <w:rFonts w:hint="eastAsia" w:ascii="仿宋" w:hAnsi="仿宋" w:eastAsia="仿宋" w:cs="仿宋"/>
          <w:b/>
          <w:bCs/>
          <w:color w:val="333333"/>
          <w:sz w:val="32"/>
          <w:szCs w:val="32"/>
          <w:lang w:val="en-US" w:eastAsia="zh-CN"/>
        </w:rPr>
        <w:t>2</w:t>
      </w:r>
      <w:r>
        <w:rPr>
          <w:rFonts w:hint="eastAsia" w:ascii="仿宋" w:hAnsi="仿宋" w:eastAsia="仿宋" w:cs="仿宋"/>
          <w:b/>
          <w:bCs/>
          <w:color w:val="333333"/>
          <w:sz w:val="32"/>
          <w:szCs w:val="32"/>
        </w:rPr>
        <w:t>年部门预算收支情况说明</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收入预算情况</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年收入预算总额</w:t>
      </w:r>
      <w:r>
        <w:rPr>
          <w:rFonts w:hint="eastAsia" w:ascii="仿宋" w:hAnsi="仿宋" w:eastAsia="仿宋" w:cs="仿宋"/>
          <w:color w:val="000000" w:themeColor="text1"/>
          <w:sz w:val="32"/>
          <w:szCs w:val="32"/>
          <w:u w:val="none"/>
          <w:lang w:val="en-US" w:eastAsia="zh-CN"/>
          <w14:textFill>
            <w14:solidFill>
              <w14:schemeClr w14:val="tx1"/>
            </w14:solidFill>
          </w14:textFill>
        </w:rPr>
        <w:t>27210.41</w:t>
      </w:r>
      <w:r>
        <w:rPr>
          <w:rFonts w:hint="eastAsia" w:ascii="仿宋" w:hAnsi="仿宋" w:eastAsia="仿宋" w:cs="仿宋"/>
          <w:color w:val="000000" w:themeColor="text1"/>
          <w:sz w:val="32"/>
          <w:szCs w:val="32"/>
          <w14:textFill>
            <w14:solidFill>
              <w14:schemeClr w14:val="tx1"/>
            </w14:solidFill>
          </w14:textFill>
        </w:rPr>
        <w:t>万元，其中公共财政拨款收入</w:t>
      </w:r>
      <w:r>
        <w:rPr>
          <w:rFonts w:hint="eastAsia" w:ascii="仿宋" w:hAnsi="仿宋" w:eastAsia="仿宋" w:cs="仿宋"/>
          <w:color w:val="000000" w:themeColor="text1"/>
          <w:sz w:val="32"/>
          <w:szCs w:val="32"/>
          <w:u w:val="none"/>
          <w:lang w:val="en-US" w:eastAsia="zh-CN"/>
          <w14:textFill>
            <w14:solidFill>
              <w14:schemeClr w14:val="tx1"/>
            </w14:solidFill>
          </w14:textFill>
        </w:rPr>
        <w:t>27159.41</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，其他收入</w:t>
      </w:r>
      <w:r>
        <w:rPr>
          <w:rFonts w:hint="eastAsia" w:ascii="仿宋" w:hAnsi="仿宋" w:eastAsia="仿宋" w:cs="仿宋"/>
          <w:color w:val="000000" w:themeColor="text1"/>
          <w:sz w:val="32"/>
          <w:szCs w:val="32"/>
          <w:lang w:val="en-US" w:eastAsia="zh-CN"/>
          <w14:textFill>
            <w14:solidFill>
              <w14:schemeClr w14:val="tx1"/>
            </w14:solidFill>
          </w14:textFill>
        </w:rPr>
        <w:t>51万元</w:t>
      </w:r>
      <w:r>
        <w:rPr>
          <w:rFonts w:hint="eastAsia" w:ascii="仿宋" w:hAnsi="仿宋" w:eastAsia="仿宋" w:cs="仿宋"/>
          <w:color w:val="000000" w:themeColor="text1"/>
          <w:sz w:val="32"/>
          <w:szCs w:val="32"/>
          <w14:textFill>
            <w14:solidFill>
              <w14:schemeClr w14:val="tx1"/>
            </w14:solidFill>
          </w14:textFill>
        </w:rPr>
        <w:t>。预算总额比去年</w:t>
      </w:r>
      <w:r>
        <w:rPr>
          <w:rFonts w:hint="eastAsia" w:ascii="仿宋" w:hAnsi="仿宋" w:eastAsia="仿宋" w:cs="仿宋"/>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lang w:val="en-US" w:eastAsia="zh-CN"/>
          <w14:textFill>
            <w14:solidFill>
              <w14:schemeClr w14:val="tx1"/>
            </w14:solidFill>
          </w14:textFill>
        </w:rPr>
        <w:t>27029.99</w:t>
      </w:r>
      <w:r>
        <w:rPr>
          <w:rFonts w:hint="eastAsia" w:ascii="仿宋" w:hAnsi="仿宋" w:eastAsia="仿宋" w:cs="仿宋"/>
          <w:color w:val="000000" w:themeColor="text1"/>
          <w:sz w:val="32"/>
          <w:szCs w:val="32"/>
          <w14:textFill>
            <w14:solidFill>
              <w14:schemeClr w14:val="tx1"/>
            </w14:solidFill>
          </w14:textFill>
        </w:rPr>
        <w:t>万元，主要</w:t>
      </w:r>
      <w:r>
        <w:rPr>
          <w:rFonts w:hint="eastAsia" w:ascii="仿宋" w:hAnsi="仿宋" w:eastAsia="仿宋" w:cs="仿宋"/>
          <w:color w:val="000000" w:themeColor="text1"/>
          <w:sz w:val="32"/>
          <w:szCs w:val="32"/>
          <w:lang w:eastAsia="zh-CN"/>
          <w14:textFill>
            <w14:solidFill>
              <w14:schemeClr w14:val="tx1"/>
            </w14:solidFill>
          </w14:textFill>
        </w:rPr>
        <w:t>增加其他城乡社区支出</w:t>
      </w:r>
      <w:r>
        <w:rPr>
          <w:rFonts w:hint="eastAsia" w:ascii="仿宋" w:hAnsi="仿宋" w:eastAsia="仿宋" w:cs="仿宋"/>
          <w:color w:val="000000" w:themeColor="text1"/>
          <w:sz w:val="32"/>
          <w:szCs w:val="32"/>
          <w:lang w:val="en-US" w:eastAsia="zh-CN"/>
          <w14:textFill>
            <w14:solidFill>
              <w14:schemeClr w14:val="tx1"/>
            </w14:solidFill>
          </w14:textFill>
        </w:rPr>
        <w:t>21720万元，其他科学技术支出5000万元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1"/>
        </w:numPr>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支出预算情况</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年支出预算总额为</w:t>
      </w:r>
      <w:r>
        <w:rPr>
          <w:rFonts w:hint="eastAsia" w:ascii="仿宋" w:hAnsi="仿宋" w:eastAsia="仿宋" w:cs="仿宋"/>
          <w:color w:val="000000" w:themeColor="text1"/>
          <w:sz w:val="32"/>
          <w:szCs w:val="32"/>
          <w:u w:val="none"/>
          <w:lang w:val="en-US" w:eastAsia="zh-CN"/>
          <w14:textFill>
            <w14:solidFill>
              <w14:schemeClr w14:val="tx1"/>
            </w14:solidFill>
          </w14:textFill>
        </w:rPr>
        <w:t>27210.41</w:t>
      </w:r>
      <w:r>
        <w:rPr>
          <w:rFonts w:hint="eastAsia" w:ascii="仿宋" w:hAnsi="仿宋" w:eastAsia="仿宋" w:cs="仿宋"/>
          <w:color w:val="000000" w:themeColor="text1"/>
          <w:sz w:val="32"/>
          <w:szCs w:val="32"/>
          <w14:textFill>
            <w14:solidFill>
              <w14:schemeClr w14:val="tx1"/>
            </w14:solidFill>
          </w14:textFill>
        </w:rPr>
        <w:t>万元，比去年支出</w:t>
      </w:r>
      <w:r>
        <w:rPr>
          <w:rFonts w:hint="eastAsia" w:ascii="仿宋" w:hAnsi="仿宋" w:eastAsia="仿宋" w:cs="仿宋"/>
          <w:color w:val="000000" w:themeColor="text1"/>
          <w:sz w:val="32"/>
          <w:szCs w:val="32"/>
          <w:u w:val="none"/>
          <w:lang w:eastAsia="zh-CN"/>
          <w14:textFill>
            <w14:solidFill>
              <w14:schemeClr w14:val="tx1"/>
            </w14:solidFill>
          </w14:textFill>
        </w:rPr>
        <w:t>增加</w:t>
      </w:r>
      <w:r>
        <w:rPr>
          <w:rFonts w:hint="eastAsia" w:ascii="仿宋" w:hAnsi="仿宋" w:eastAsia="仿宋" w:cs="仿宋"/>
          <w:color w:val="000000" w:themeColor="text1"/>
          <w:sz w:val="32"/>
          <w:szCs w:val="32"/>
          <w:u w:val="none"/>
          <w:lang w:val="en-US" w:eastAsia="zh-CN"/>
          <w14:textFill>
            <w14:solidFill>
              <w14:schemeClr w14:val="tx1"/>
            </w14:solidFill>
          </w14:textFill>
        </w:rPr>
        <w:t>27159.41</w:t>
      </w:r>
      <w:r>
        <w:rPr>
          <w:rFonts w:hint="eastAsia" w:ascii="仿宋" w:hAnsi="仿宋" w:eastAsia="仿宋" w:cs="仿宋"/>
          <w:color w:val="000000" w:themeColor="text1"/>
          <w:sz w:val="32"/>
          <w:szCs w:val="32"/>
          <w14:textFill>
            <w14:solidFill>
              <w14:schemeClr w14:val="tx1"/>
            </w14:solidFill>
          </w14:textFill>
        </w:rPr>
        <w:t>万元，主要</w:t>
      </w:r>
      <w:r>
        <w:rPr>
          <w:rFonts w:hint="eastAsia" w:ascii="仿宋" w:hAnsi="仿宋" w:eastAsia="仿宋" w:cs="仿宋"/>
          <w:color w:val="000000" w:themeColor="text1"/>
          <w:sz w:val="32"/>
          <w:szCs w:val="32"/>
          <w:lang w:eastAsia="zh-CN"/>
          <w14:textFill>
            <w14:solidFill>
              <w14:schemeClr w14:val="tx1"/>
            </w14:solidFill>
          </w14:textFill>
        </w:rPr>
        <w:t>增加其他城乡社区支出</w:t>
      </w:r>
      <w:r>
        <w:rPr>
          <w:rFonts w:hint="eastAsia" w:ascii="仿宋" w:hAnsi="仿宋" w:eastAsia="仿宋" w:cs="仿宋"/>
          <w:color w:val="000000" w:themeColor="text1"/>
          <w:sz w:val="32"/>
          <w:szCs w:val="32"/>
          <w:lang w:val="en-US" w:eastAsia="zh-CN"/>
          <w14:textFill>
            <w14:solidFill>
              <w14:schemeClr w14:val="tx1"/>
            </w14:solidFill>
          </w14:textFill>
        </w:rPr>
        <w:t>21720万元，其他科学技术支出5000万元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支出</w:t>
      </w:r>
      <w:r>
        <w:rPr>
          <w:rFonts w:hint="eastAsia" w:ascii="仿宋" w:hAnsi="仿宋" w:eastAsia="仿宋" w:cs="仿宋"/>
          <w:color w:val="000000" w:themeColor="text1"/>
          <w:sz w:val="32"/>
          <w:szCs w:val="32"/>
          <w:lang w:eastAsia="zh-CN"/>
          <w14:textFill>
            <w14:solidFill>
              <w14:schemeClr w14:val="tx1"/>
            </w14:solidFill>
          </w14:textFill>
        </w:rPr>
        <w:t>总表</w:t>
      </w:r>
      <w:r>
        <w:rPr>
          <w:rFonts w:hint="eastAsia" w:ascii="仿宋" w:hAnsi="仿宋" w:eastAsia="仿宋" w:cs="仿宋"/>
          <w:color w:val="000000" w:themeColor="text1"/>
          <w:sz w:val="32"/>
          <w:szCs w:val="32"/>
          <w14:textFill>
            <w14:solidFill>
              <w14:schemeClr w14:val="tx1"/>
            </w14:solidFill>
          </w14:textFill>
        </w:rPr>
        <w:t>划分：基本支出</w:t>
      </w:r>
      <w:r>
        <w:rPr>
          <w:rFonts w:hint="eastAsia" w:ascii="仿宋" w:hAnsi="仿宋" w:eastAsia="仿宋" w:cs="仿宋"/>
          <w:color w:val="000000" w:themeColor="text1"/>
          <w:sz w:val="32"/>
          <w:szCs w:val="32"/>
          <w:u w:val="none"/>
          <w:lang w:val="en-US" w:eastAsia="zh-CN"/>
          <w14:textFill>
            <w14:solidFill>
              <w14:schemeClr w14:val="tx1"/>
            </w14:solidFill>
          </w14:textFill>
        </w:rPr>
        <w:t>342.81</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，项目支出</w:t>
      </w:r>
      <w:r>
        <w:rPr>
          <w:rFonts w:hint="eastAsia" w:ascii="仿宋" w:hAnsi="仿宋" w:eastAsia="仿宋" w:cs="仿宋"/>
          <w:color w:val="000000" w:themeColor="text1"/>
          <w:sz w:val="32"/>
          <w:szCs w:val="32"/>
          <w:lang w:val="en-US" w:eastAsia="zh-CN"/>
          <w14:textFill>
            <w14:solidFill>
              <w14:schemeClr w14:val="tx1"/>
            </w14:solidFill>
          </w14:textFill>
        </w:rPr>
        <w:t>26867.6万元</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按支出功能科目分类：</w:t>
      </w:r>
      <w:r>
        <w:rPr>
          <w:rFonts w:hint="eastAsia" w:ascii="仿宋" w:hAnsi="仿宋" w:eastAsia="仿宋" w:cs="仿宋"/>
          <w:color w:val="000000" w:themeColor="text1"/>
          <w:sz w:val="32"/>
          <w:szCs w:val="32"/>
          <w:u w:val="none"/>
          <w:lang w:eastAsia="zh-CN"/>
          <w14:textFill>
            <w14:solidFill>
              <w14:schemeClr w14:val="tx1"/>
            </w14:solidFill>
          </w14:textFill>
        </w:rPr>
        <w:t>其他支持中小企业发展和管理支出</w:t>
      </w:r>
      <w:r>
        <w:rPr>
          <w:rFonts w:hint="eastAsia" w:ascii="仿宋" w:hAnsi="仿宋" w:eastAsia="仿宋" w:cs="仿宋"/>
          <w:color w:val="000000" w:themeColor="text1"/>
          <w:sz w:val="32"/>
          <w:szCs w:val="32"/>
          <w:u w:val="none"/>
          <w:lang w:val="en-US" w:eastAsia="zh-CN"/>
          <w14:textFill>
            <w14:solidFill>
              <w14:schemeClr w14:val="tx1"/>
            </w14:solidFill>
          </w14:textFill>
        </w:rPr>
        <w:t>426.34</w:t>
      </w:r>
      <w:r>
        <w:rPr>
          <w:rFonts w:hint="eastAsia" w:ascii="仿宋" w:hAnsi="仿宋" w:eastAsia="仿宋" w:cs="仿宋"/>
          <w:color w:val="000000" w:themeColor="text1"/>
          <w:sz w:val="32"/>
          <w:szCs w:val="32"/>
          <w14:textFill>
            <w14:solidFill>
              <w14:schemeClr w14:val="tx1"/>
            </w14:solidFill>
          </w14:textFill>
        </w:rPr>
        <w:t>万元。</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财政拨款支出预算情况</w:t>
      </w:r>
    </w:p>
    <w:p>
      <w:pPr>
        <w:keepNext w:val="0"/>
        <w:keepLines w:val="0"/>
        <w:pageBreakBefore w:val="0"/>
        <w:wordWrap/>
        <w:overflowPunct/>
        <w:topLinePunct w:val="0"/>
        <w:bidi w:val="0"/>
        <w:spacing w:line="600" w:lineRule="exact"/>
        <w:ind w:left="0" w:leftChars="0" w:right="0" w:rightChars="0" w:firstLine="640" w:firstLineChars="200"/>
        <w:outlineLvl w:val="9"/>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年公共财政拨款支出预算为</w:t>
      </w:r>
      <w:r>
        <w:rPr>
          <w:rFonts w:hint="eastAsia" w:ascii="仿宋" w:hAnsi="仿宋" w:eastAsia="仿宋" w:cs="仿宋"/>
          <w:color w:val="000000" w:themeColor="text1"/>
          <w:sz w:val="32"/>
          <w:szCs w:val="32"/>
          <w:u w:val="none"/>
          <w:lang w:val="en-US" w:eastAsia="zh-CN"/>
          <w14:textFill>
            <w14:solidFill>
              <w14:schemeClr w14:val="tx1"/>
            </w14:solidFill>
          </w14:textFill>
        </w:rPr>
        <w:t>27210.41</w:t>
      </w:r>
      <w:r>
        <w:rPr>
          <w:rFonts w:hint="eastAsia" w:ascii="仿宋" w:hAnsi="仿宋" w:eastAsia="仿宋" w:cs="仿宋"/>
          <w:color w:val="000000" w:themeColor="text1"/>
          <w:sz w:val="32"/>
          <w:szCs w:val="32"/>
          <w14:textFill>
            <w14:solidFill>
              <w14:schemeClr w14:val="tx1"/>
            </w14:solidFill>
          </w14:textFill>
        </w:rPr>
        <w:t>万元，较上年</w:t>
      </w:r>
      <w:r>
        <w:rPr>
          <w:rFonts w:hint="eastAsia" w:ascii="仿宋" w:hAnsi="仿宋" w:eastAsia="仿宋" w:cs="仿宋"/>
          <w:color w:val="000000" w:themeColor="text1"/>
          <w:sz w:val="32"/>
          <w:szCs w:val="32"/>
          <w:u w:val="none"/>
          <w14:textFill>
            <w14:solidFill>
              <w14:schemeClr w14:val="tx1"/>
            </w14:solidFill>
          </w14:textFill>
        </w:rPr>
        <w:t>增</w:t>
      </w:r>
      <w:r>
        <w:rPr>
          <w:rFonts w:hint="eastAsia" w:ascii="仿宋" w:hAnsi="仿宋" w:eastAsia="仿宋" w:cs="仿宋"/>
          <w:color w:val="000000" w:themeColor="text1"/>
          <w:sz w:val="32"/>
          <w:szCs w:val="32"/>
          <w:u w:val="none"/>
          <w:lang w:val="en-US" w:eastAsia="zh-CN"/>
          <w14:textFill>
            <w14:solidFill>
              <w14:schemeClr w14:val="tx1"/>
            </w14:solidFill>
          </w14:textFill>
        </w:rPr>
        <w:t>27159.41</w:t>
      </w:r>
      <w:r>
        <w:rPr>
          <w:rFonts w:hint="eastAsia" w:ascii="仿宋" w:hAnsi="仿宋" w:eastAsia="仿宋" w:cs="仿宋"/>
          <w:color w:val="000000" w:themeColor="text1"/>
          <w:sz w:val="32"/>
          <w:szCs w:val="32"/>
          <w14:textFill>
            <w14:solidFill>
              <w14:schemeClr w14:val="tx1"/>
            </w14:solidFill>
          </w14:textFill>
        </w:rPr>
        <w:t>万元。按支出项目类别划分：基本支出</w:t>
      </w:r>
      <w:r>
        <w:rPr>
          <w:rFonts w:hint="eastAsia" w:ascii="仿宋" w:hAnsi="仿宋" w:eastAsia="仿宋" w:cs="仿宋"/>
          <w:color w:val="000000" w:themeColor="text1"/>
          <w:sz w:val="32"/>
          <w:szCs w:val="32"/>
          <w:u w:val="none"/>
          <w:lang w:val="en-US" w:eastAsia="zh-CN"/>
          <w14:textFill>
            <w14:solidFill>
              <w14:schemeClr w14:val="tx1"/>
            </w14:solidFill>
          </w14:textFill>
        </w:rPr>
        <w:t>342.81</w:t>
      </w:r>
      <w:r>
        <w:rPr>
          <w:rFonts w:hint="eastAsia" w:ascii="仿宋" w:hAnsi="仿宋" w:eastAsia="仿宋" w:cs="仿宋"/>
          <w:color w:val="000000" w:themeColor="text1"/>
          <w:sz w:val="32"/>
          <w:szCs w:val="32"/>
          <w14:textFill>
            <w14:solidFill>
              <w14:schemeClr w14:val="tx1"/>
            </w14:solidFill>
          </w14:textFill>
        </w:rPr>
        <w:t>万元，较上年</w:t>
      </w:r>
      <w:r>
        <w:rPr>
          <w:rFonts w:hint="eastAsia" w:ascii="仿宋" w:hAnsi="仿宋" w:eastAsia="仿宋" w:cs="仿宋"/>
          <w:color w:val="000000" w:themeColor="text1"/>
          <w:sz w:val="32"/>
          <w:szCs w:val="32"/>
          <w:u w:val="none"/>
          <w14:textFill>
            <w14:solidFill>
              <w14:schemeClr w14:val="tx1"/>
            </w14:solidFill>
          </w14:textFill>
        </w:rPr>
        <w:t>增</w:t>
      </w:r>
      <w:r>
        <w:rPr>
          <w:rFonts w:hint="eastAsia" w:ascii="仿宋" w:hAnsi="仿宋" w:eastAsia="仿宋" w:cs="仿宋"/>
          <w:color w:val="000000" w:themeColor="text1"/>
          <w:sz w:val="32"/>
          <w:szCs w:val="32"/>
          <w:u w:val="none"/>
          <w:lang w:val="en-US" w:eastAsia="zh-CN"/>
          <w14:textFill>
            <w14:solidFill>
              <w14:schemeClr w14:val="tx1"/>
            </w14:solidFill>
          </w14:textFill>
        </w:rPr>
        <w:t>162.39</w:t>
      </w:r>
      <w:r>
        <w:rPr>
          <w:rFonts w:hint="eastAsia" w:ascii="仿宋" w:hAnsi="仿宋" w:eastAsia="仿宋" w:cs="仿宋"/>
          <w:color w:val="000000" w:themeColor="text1"/>
          <w:sz w:val="32"/>
          <w:szCs w:val="32"/>
          <w14:textFill>
            <w14:solidFill>
              <w14:schemeClr w14:val="tx1"/>
            </w14:solidFill>
          </w14:textFill>
        </w:rPr>
        <w:t>万元。其中：工资福利支出</w:t>
      </w:r>
      <w:r>
        <w:rPr>
          <w:rFonts w:hint="eastAsia" w:ascii="仿宋" w:hAnsi="仿宋" w:eastAsia="仿宋" w:cs="仿宋"/>
          <w:color w:val="000000" w:themeColor="text1"/>
          <w:sz w:val="32"/>
          <w:szCs w:val="32"/>
          <w:u w:val="none"/>
          <w:lang w:val="en-US" w:eastAsia="zh-CN"/>
          <w14:textFill>
            <w14:solidFill>
              <w14:schemeClr w14:val="tx1"/>
            </w14:solidFill>
          </w14:textFill>
        </w:rPr>
        <w:t>256.09</w:t>
      </w:r>
      <w:r>
        <w:rPr>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sz w:val="32"/>
          <w:szCs w:val="32"/>
          <w:u w:val="none"/>
          <w:lang w:val="en-US" w:eastAsia="zh-CN"/>
          <w14:textFill>
            <w14:solidFill>
              <w14:schemeClr w14:val="tx1"/>
            </w14:solidFill>
          </w14:textFill>
        </w:rPr>
        <w:t>85.52</w:t>
      </w:r>
      <w:r>
        <w:rPr>
          <w:rFonts w:hint="eastAsia" w:ascii="仿宋" w:hAnsi="仿宋" w:eastAsia="仿宋" w:cs="仿宋"/>
          <w:color w:val="000000" w:themeColor="text1"/>
          <w:sz w:val="32"/>
          <w:szCs w:val="32"/>
          <w14:textFill>
            <w14:solidFill>
              <w14:schemeClr w14:val="tx1"/>
            </w14:solidFill>
          </w14:textFill>
        </w:rPr>
        <w:t>万元，对个人和家庭的补助</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，其他资本性支出</w:t>
      </w:r>
      <w:r>
        <w:rPr>
          <w:rFonts w:hint="eastAsia" w:ascii="仿宋" w:hAnsi="仿宋" w:eastAsia="仿宋" w:cs="仿宋"/>
          <w:color w:val="000000" w:themeColor="text1"/>
          <w:sz w:val="32"/>
          <w:szCs w:val="32"/>
          <w:lang w:val="en-US" w:eastAsia="zh-CN"/>
          <w14:textFill>
            <w14:solidFill>
              <w14:schemeClr w14:val="tx1"/>
            </w14:solidFill>
          </w14:textFill>
        </w:rPr>
        <w:t>1.2万元。</w:t>
      </w:r>
      <w:r>
        <w:rPr>
          <w:rFonts w:hint="eastAsia" w:ascii="仿宋" w:hAnsi="仿宋" w:eastAsia="仿宋" w:cs="仿宋"/>
          <w:color w:val="000000" w:themeColor="text1"/>
          <w:sz w:val="32"/>
          <w:szCs w:val="32"/>
          <w14:textFill>
            <w14:solidFill>
              <w14:schemeClr w14:val="tx1"/>
            </w14:solidFill>
          </w14:textFill>
        </w:rPr>
        <w:t>项目支出</w:t>
      </w:r>
      <w:r>
        <w:rPr>
          <w:rFonts w:hint="eastAsia" w:ascii="仿宋" w:hAnsi="仿宋" w:eastAsia="仿宋" w:cs="仿宋"/>
          <w:color w:val="000000" w:themeColor="text1"/>
          <w:sz w:val="32"/>
          <w:szCs w:val="32"/>
          <w:u w:val="none"/>
          <w:lang w:val="en-US" w:eastAsia="zh-CN"/>
          <w14:textFill>
            <w14:solidFill>
              <w14:schemeClr w14:val="tx1"/>
            </w14:solidFill>
          </w14:textFill>
        </w:rPr>
        <w:t>26867.6万</w:t>
      </w:r>
      <w:r>
        <w:rPr>
          <w:rFonts w:hint="eastAsia" w:ascii="仿宋" w:hAnsi="仿宋" w:eastAsia="仿宋" w:cs="仿宋"/>
          <w:color w:val="000000" w:themeColor="text1"/>
          <w:sz w:val="32"/>
          <w:szCs w:val="32"/>
          <w14:textFill>
            <w14:solidFill>
              <w14:schemeClr w14:val="tx1"/>
            </w14:solidFill>
          </w14:textFill>
        </w:rPr>
        <w:t>元。</w:t>
      </w:r>
    </w:p>
    <w:p>
      <w:pPr>
        <w:pStyle w:val="5"/>
        <w:keepNext w:val="0"/>
        <w:keepLines w:val="0"/>
        <w:pageBreakBefore w:val="0"/>
        <w:numPr>
          <w:ilvl w:val="0"/>
          <w:numId w:val="0"/>
        </w:numPr>
        <w:wordWrap/>
        <w:overflowPunct/>
        <w:topLinePunct w:val="0"/>
        <w:bidi w:val="0"/>
        <w:spacing w:before="0" w:beforeAutospacing="0" w:after="0" w:afterAutospacing="0" w:line="600" w:lineRule="exact"/>
        <w:ind w:right="0" w:rightChars="0" w:firstLine="640" w:firstLineChars="200"/>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（四）政府性基金情况</w:t>
      </w:r>
    </w:p>
    <w:p>
      <w:pPr>
        <w:pStyle w:val="5"/>
        <w:keepNext w:val="0"/>
        <w:keepLines w:val="0"/>
        <w:pageBreakBefore w:val="0"/>
        <w:numPr>
          <w:ilvl w:val="0"/>
          <w:numId w:val="0"/>
        </w:numPr>
        <w:wordWrap/>
        <w:overflowPunct/>
        <w:topLinePunct w:val="0"/>
        <w:bidi w:val="0"/>
        <w:spacing w:before="0" w:beforeAutospacing="0" w:after="0" w:afterAutospacing="0" w:line="600" w:lineRule="exact"/>
        <w:ind w:left="0" w:leftChars="0" w:right="0" w:rightChars="0" w:firstLine="640" w:firstLineChars="200"/>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2023年没有使用政府性基金预算拨款安排的支出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(五)国有资本经营情况</w:t>
      </w:r>
    </w:p>
    <w:p>
      <w:pPr>
        <w:pStyle w:val="5"/>
        <w:keepNext w:val="0"/>
        <w:keepLines w:val="0"/>
        <w:pageBreakBefore w:val="0"/>
        <w:numPr>
          <w:ilvl w:val="0"/>
          <w:numId w:val="0"/>
        </w:numPr>
        <w:wordWrap/>
        <w:overflowPunct/>
        <w:topLinePunct w:val="0"/>
        <w:bidi w:val="0"/>
        <w:spacing w:before="0" w:beforeAutospacing="0" w:after="0" w:afterAutospacing="0" w:line="600" w:lineRule="exact"/>
        <w:ind w:left="0" w:leftChars="0" w:right="0" w:rightChars="0" w:firstLine="640" w:firstLineChars="200"/>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2023年没有使用国有资本经营预算拨款安排的支出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(六)机关运行经费等重要事项的说明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2023年部门机关运行费预算27210.41万元，比2022年预算增加27159.41万元。</w:t>
      </w:r>
      <w:r>
        <w:rPr>
          <w:rFonts w:hint="eastAsia" w:ascii="仿宋" w:hAnsi="仿宋" w:eastAsia="仿宋" w:cs="仿宋"/>
          <w:color w:val="000000" w:themeColor="text1"/>
          <w:sz w:val="32"/>
          <w:szCs w:val="32"/>
          <w14:textFill>
            <w14:solidFill>
              <w14:schemeClr w14:val="tx1"/>
            </w14:solidFill>
          </w14:textFill>
        </w:rPr>
        <w:t>主要</w:t>
      </w:r>
      <w:r>
        <w:rPr>
          <w:rFonts w:hint="eastAsia" w:ascii="仿宋" w:hAnsi="仿宋" w:eastAsia="仿宋" w:cs="仿宋"/>
          <w:color w:val="000000" w:themeColor="text1"/>
          <w:sz w:val="32"/>
          <w:szCs w:val="32"/>
          <w:lang w:eastAsia="zh-CN"/>
          <w14:textFill>
            <w14:solidFill>
              <w14:schemeClr w14:val="tx1"/>
            </w14:solidFill>
          </w14:textFill>
        </w:rPr>
        <w:t>增加其他城乡社区支出</w:t>
      </w:r>
      <w:r>
        <w:rPr>
          <w:rFonts w:hint="eastAsia" w:ascii="仿宋" w:hAnsi="仿宋" w:eastAsia="仿宋" w:cs="仿宋"/>
          <w:color w:val="000000" w:themeColor="text1"/>
          <w:sz w:val="32"/>
          <w:szCs w:val="32"/>
          <w:lang w:val="en-US" w:eastAsia="zh-CN"/>
          <w14:textFill>
            <w14:solidFill>
              <w14:schemeClr w14:val="tx1"/>
            </w14:solidFill>
          </w14:textFill>
        </w:rPr>
        <w:t>21720万元，其他科学技术支出5000万元。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(七)政府采购情况</w:t>
      </w:r>
    </w:p>
    <w:p>
      <w:pPr>
        <w:pStyle w:val="5"/>
        <w:keepNext w:val="0"/>
        <w:keepLines w:val="0"/>
        <w:pageBreakBefore w:val="0"/>
        <w:numPr>
          <w:ilvl w:val="0"/>
          <w:numId w:val="0"/>
        </w:numPr>
        <w:wordWrap/>
        <w:overflowPunct/>
        <w:topLinePunct w:val="0"/>
        <w:bidi w:val="0"/>
        <w:spacing w:before="0" w:beforeAutospacing="0" w:after="0" w:afterAutospacing="0" w:line="600" w:lineRule="exact"/>
        <w:ind w:left="0" w:leftChars="0" w:right="0" w:rightChars="0" w:firstLine="640" w:firstLineChars="200"/>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2023年部门所属各单位政府采购总额1.2万元，其中:政府采购货物预算1.2万元、政府采购工程预算0万元、政府采购服务预算0万元。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(八)国有资产占有使用情况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截至2022年12月31日，部门共有车辆0辆，其中，一般公务用车0 辆，执法执勤用车0辆。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(九）2022年无重点项目公开。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textAlignment w:val="baseline"/>
        <w:outlineLvl w:val="9"/>
        <w:rPr>
          <w:rFonts w:hint="eastAsia" w:ascii="仿宋" w:hAnsi="仿宋" w:eastAsia="仿宋" w:cs="仿宋"/>
          <w:b/>
          <w:bCs/>
          <w:spacing w:val="13"/>
          <w:sz w:val="32"/>
          <w:szCs w:val="32"/>
        </w:rPr>
      </w:pPr>
      <w:bookmarkStart w:id="0" w:name="_GoBack"/>
      <w:bookmarkEnd w:id="0"/>
      <w:r>
        <w:rPr>
          <w:rFonts w:hint="eastAsia" w:ascii="仿宋" w:hAnsi="仿宋" w:eastAsia="仿宋" w:cs="仿宋"/>
          <w:b/>
          <w:bCs/>
          <w:spacing w:val="13"/>
          <w:sz w:val="32"/>
          <w:szCs w:val="32"/>
        </w:rPr>
        <w:t>二、2022年"三公”经费预算情况说明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2022年商务局"三公"经费一般公共预算安排9万元。其中:因公出国(境)费0万元，比上年增(减)0万元。公务接待费9万元，比上年减4.4万元，主要原因是:压缩公务接待开支。公务用车运行维护费0万元，比上年增(减)0万元，公务用车购置费0万元，比上年增(减)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599"/>
        <w:textAlignment w:val="baseline"/>
        <w:outlineLvl w:val="9"/>
        <w:rPr>
          <w:rFonts w:hint="eastAsia" w:ascii="仿宋" w:hAnsi="仿宋" w:eastAsia="仿宋" w:cs="仿宋"/>
          <w:spacing w:val="-15"/>
          <w:w w:val="94"/>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textAlignment w:val="baseline"/>
        <w:outlineLvl w:val="9"/>
        <w:rPr>
          <w:rFonts w:hint="eastAsia" w:ascii="仿宋" w:hAnsi="仿宋" w:eastAsia="仿宋" w:cs="仿宋"/>
          <w:spacing w:val="13"/>
          <w:sz w:val="32"/>
          <w:szCs w:val="32"/>
        </w:rPr>
      </w:pPr>
      <w:r>
        <w:rPr>
          <w:rFonts w:hint="eastAsia" w:ascii="仿宋" w:hAnsi="仿宋" w:eastAsia="仿宋" w:cs="仿宋"/>
          <w:spacing w:val="13"/>
          <w:sz w:val="32"/>
          <w:szCs w:val="32"/>
        </w:rPr>
        <w:t>一</w:t>
      </w:r>
      <w:r>
        <w:rPr>
          <w:rFonts w:hint="eastAsia" w:ascii="仿宋" w:hAnsi="仿宋" w:eastAsia="仿宋" w:cs="仿宋"/>
          <w:b w:val="0"/>
          <w:bCs w:val="0"/>
          <w:spacing w:val="13"/>
          <w:sz w:val="32"/>
          <w:szCs w:val="32"/>
        </w:rPr>
        <w:t>、收入科</w:t>
      </w:r>
      <w:r>
        <w:rPr>
          <w:rFonts w:hint="eastAsia" w:ascii="仿宋" w:hAnsi="仿宋" w:eastAsia="仿宋" w:cs="仿宋"/>
          <w:spacing w:val="13"/>
          <w:sz w:val="32"/>
          <w:szCs w:val="32"/>
        </w:rPr>
        <w:t>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各部门结合实际进行解释。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(一)财政拨款:指省级财政当年拨付的资金。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(四)事业单位经营收入:指事业单位在专业业务活动及辅助活动之外开展非独立核算经营活动取得的收入。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(六)上级补助收入:反映事业单位从主管部门和上级单位取得的非财政补助收入。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(七)其他收入:指除财政拨款、事业收入、事业单位经营收入等以外的各项收入。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(八)使用非财政拨款结余:填列历年滚存的非限定用途的非统计财政拨款结余弥补2023年收支差额的数额。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(九)上年结转和结余:填列2022年全部结转和结余的资金数，包括当年结转结余资金和历年滚存结转结余资金。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textAlignment w:val="baseline"/>
        <w:outlineLvl w:val="9"/>
        <w:rPr>
          <w:rFonts w:hint="eastAsia" w:ascii="仿宋" w:hAnsi="仿宋" w:eastAsia="仿宋" w:cs="仿宋"/>
          <w:spacing w:val="13"/>
          <w:sz w:val="32"/>
          <w:szCs w:val="32"/>
        </w:rPr>
      </w:pPr>
      <w:r>
        <w:rPr>
          <w:rFonts w:hint="eastAsia" w:ascii="仿宋" w:hAnsi="仿宋" w:eastAsia="仿宋" w:cs="仿宋"/>
          <w:spacing w:val="13"/>
          <w:sz w:val="32"/>
          <w:szCs w:val="32"/>
          <w:lang w:eastAsia="zh-CN"/>
        </w:rPr>
        <w:t>二、</w:t>
      </w:r>
      <w:r>
        <w:rPr>
          <w:rFonts w:hint="eastAsia" w:ascii="仿宋" w:hAnsi="仿宋" w:eastAsia="仿宋" w:cs="仿宋"/>
          <w:spacing w:val="13"/>
          <w:sz w:val="32"/>
          <w:szCs w:val="32"/>
        </w:rPr>
        <w:t>支出科目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textAlignment w:val="baseline"/>
        <w:outlineLvl w:val="9"/>
        <w:rPr>
          <w:rFonts w:hint="eastAsia" w:ascii="仿宋" w:hAnsi="仿宋" w:eastAsia="仿宋" w:cs="仿宋"/>
          <w:b w:val="0"/>
          <w:bCs w:val="0"/>
          <w:spacing w:val="13"/>
          <w:sz w:val="32"/>
          <w:szCs w:val="32"/>
        </w:rPr>
      </w:pPr>
      <w:r>
        <w:rPr>
          <w:rFonts w:hint="eastAsia" w:ascii="仿宋" w:hAnsi="仿宋" w:eastAsia="仿宋" w:cs="仿宋"/>
          <w:b w:val="0"/>
          <w:bCs w:val="0"/>
          <w:spacing w:val="13"/>
          <w:sz w:val="32"/>
          <w:szCs w:val="32"/>
        </w:rPr>
        <w:t>三、部门涉及的专业名词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FD0A3"/>
    <w:multiLevelType w:val="singleLevel"/>
    <w:tmpl w:val="763FD0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Q5OWU3YmZmZDJjNDVmZmQxYjVmOWYwZTg4N2Y5MzYifQ=="/>
  </w:docVars>
  <w:rsids>
    <w:rsidRoot w:val="00172A27"/>
    <w:rsid w:val="00942B50"/>
    <w:rsid w:val="013F709D"/>
    <w:rsid w:val="01976B9F"/>
    <w:rsid w:val="01D2160D"/>
    <w:rsid w:val="020D2397"/>
    <w:rsid w:val="03870FD9"/>
    <w:rsid w:val="03F51722"/>
    <w:rsid w:val="04476310"/>
    <w:rsid w:val="0630252B"/>
    <w:rsid w:val="06993067"/>
    <w:rsid w:val="0D2F0B75"/>
    <w:rsid w:val="0D936F5F"/>
    <w:rsid w:val="0E6C295D"/>
    <w:rsid w:val="0EA77ABC"/>
    <w:rsid w:val="0F9A57A6"/>
    <w:rsid w:val="112E76A6"/>
    <w:rsid w:val="120F040C"/>
    <w:rsid w:val="12111C1B"/>
    <w:rsid w:val="12A90552"/>
    <w:rsid w:val="13E816E1"/>
    <w:rsid w:val="14FD5D1F"/>
    <w:rsid w:val="151D3E65"/>
    <w:rsid w:val="162447BF"/>
    <w:rsid w:val="17B92A9E"/>
    <w:rsid w:val="180A0D7A"/>
    <w:rsid w:val="19003BA7"/>
    <w:rsid w:val="1B004B07"/>
    <w:rsid w:val="1D4C2B55"/>
    <w:rsid w:val="1DB01F38"/>
    <w:rsid w:val="1EAA12C9"/>
    <w:rsid w:val="1FA401A7"/>
    <w:rsid w:val="1FDB71B2"/>
    <w:rsid w:val="203942EC"/>
    <w:rsid w:val="245665D5"/>
    <w:rsid w:val="24C04E34"/>
    <w:rsid w:val="256C53F5"/>
    <w:rsid w:val="26917C1B"/>
    <w:rsid w:val="275031A6"/>
    <w:rsid w:val="280403A6"/>
    <w:rsid w:val="287E7C5A"/>
    <w:rsid w:val="28B74E8B"/>
    <w:rsid w:val="2B8D373E"/>
    <w:rsid w:val="2CF20371"/>
    <w:rsid w:val="30314FE0"/>
    <w:rsid w:val="30FE3B39"/>
    <w:rsid w:val="325D7BAC"/>
    <w:rsid w:val="33037185"/>
    <w:rsid w:val="346A6D13"/>
    <w:rsid w:val="34964956"/>
    <w:rsid w:val="34C32DF9"/>
    <w:rsid w:val="35B138CC"/>
    <w:rsid w:val="362178A5"/>
    <w:rsid w:val="365E70BF"/>
    <w:rsid w:val="36FE0914"/>
    <w:rsid w:val="371677E5"/>
    <w:rsid w:val="38804D57"/>
    <w:rsid w:val="3C9A38B0"/>
    <w:rsid w:val="3D2E40A5"/>
    <w:rsid w:val="3D5765E0"/>
    <w:rsid w:val="412F10C8"/>
    <w:rsid w:val="428B67D2"/>
    <w:rsid w:val="42B87372"/>
    <w:rsid w:val="45802712"/>
    <w:rsid w:val="45AD5A8E"/>
    <w:rsid w:val="47307948"/>
    <w:rsid w:val="474E6296"/>
    <w:rsid w:val="476D2917"/>
    <w:rsid w:val="4860535F"/>
    <w:rsid w:val="48DD1C33"/>
    <w:rsid w:val="49660706"/>
    <w:rsid w:val="49E16015"/>
    <w:rsid w:val="4A767D68"/>
    <w:rsid w:val="4E441E60"/>
    <w:rsid w:val="4F154138"/>
    <w:rsid w:val="504E0D38"/>
    <w:rsid w:val="529E49BF"/>
    <w:rsid w:val="52AA2721"/>
    <w:rsid w:val="52BC6BCA"/>
    <w:rsid w:val="534348CC"/>
    <w:rsid w:val="535A3AA7"/>
    <w:rsid w:val="54BE28F8"/>
    <w:rsid w:val="54BE2AEF"/>
    <w:rsid w:val="55760109"/>
    <w:rsid w:val="55E82A05"/>
    <w:rsid w:val="56185617"/>
    <w:rsid w:val="57042BAE"/>
    <w:rsid w:val="58150155"/>
    <w:rsid w:val="59317C0A"/>
    <w:rsid w:val="595664FB"/>
    <w:rsid w:val="5A105146"/>
    <w:rsid w:val="5AED2CC8"/>
    <w:rsid w:val="5AF0066A"/>
    <w:rsid w:val="5BFE7BBD"/>
    <w:rsid w:val="5C3E3A2F"/>
    <w:rsid w:val="5D9D236F"/>
    <w:rsid w:val="5DD3743D"/>
    <w:rsid w:val="5E1C28B9"/>
    <w:rsid w:val="5FDE0FE3"/>
    <w:rsid w:val="605A478B"/>
    <w:rsid w:val="60851C49"/>
    <w:rsid w:val="65740A14"/>
    <w:rsid w:val="6631575E"/>
    <w:rsid w:val="665607FE"/>
    <w:rsid w:val="691A6629"/>
    <w:rsid w:val="694673EA"/>
    <w:rsid w:val="6AFC64A2"/>
    <w:rsid w:val="6B9D6714"/>
    <w:rsid w:val="6BFD5A78"/>
    <w:rsid w:val="6C0006DE"/>
    <w:rsid w:val="6C505A30"/>
    <w:rsid w:val="6DCE5641"/>
    <w:rsid w:val="6FFC6BAF"/>
    <w:rsid w:val="713F23B2"/>
    <w:rsid w:val="75B934C0"/>
    <w:rsid w:val="77E65C7D"/>
    <w:rsid w:val="77EF2CE4"/>
    <w:rsid w:val="788D2E7B"/>
    <w:rsid w:val="7A646833"/>
    <w:rsid w:val="7AE3327E"/>
    <w:rsid w:val="7BF5331E"/>
    <w:rsid w:val="7C9E327E"/>
    <w:rsid w:val="7D067899"/>
    <w:rsid w:val="7DC26D1F"/>
    <w:rsid w:val="7F9801C1"/>
    <w:rsid w:val="7FBF0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1979</Words>
  <Characters>2207</Characters>
  <TotalTime>165</TotalTime>
  <ScaleCrop>false</ScaleCrop>
  <LinksUpToDate>false</LinksUpToDate>
  <CharactersWithSpaces>2222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cp:lastPrinted>2023-03-22T07:14:00Z</cp:lastPrinted>
  <dcterms:modified xsi:type="dcterms:W3CDTF">2023-03-24T04:34:12Z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E7B334535A4E4139B3C971FDFB82F9F3</vt:lpwstr>
  </property>
</Properties>
</file>