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pPr>
    </w:p>
    <w:p>
      <w:pPr>
        <w:spacing w:line="341" w:lineRule="auto"/>
      </w:pPr>
    </w:p>
    <w:p>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pPr>
        <w:spacing w:line="289" w:lineRule="auto"/>
        <w:jc w:val="center"/>
      </w:pPr>
    </w:p>
    <w:p>
      <w:pPr>
        <w:spacing w:line="290" w:lineRule="auto"/>
        <w:jc w:val="center"/>
      </w:pPr>
    </w:p>
    <w:p>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浮梁县xx局 2023年部门预算</w:t>
      </w:r>
    </w:p>
    <w:p>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pPr>
        <w:spacing w:line="334" w:lineRule="auto"/>
      </w:pPr>
    </w:p>
    <w:p>
      <w:pPr>
        <w:spacing w:line="334" w:lineRule="auto"/>
        <w:rPr>
          <w:rFonts w:eastAsia="宋体"/>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pPr>
        <w:spacing w:line="347" w:lineRule="auto"/>
      </w:pPr>
    </w:p>
    <w:p>
      <w:pPr>
        <w:spacing w:line="347" w:lineRule="auto"/>
      </w:pP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浮梁县xx局概况</w:t>
      </w:r>
    </w:p>
    <w:p>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bookmarkStart w:id="0" w:name="_GoBack"/>
      <w:bookmarkEnd w:id="0"/>
    </w:p>
    <w:p>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浮梁县xx局2023年部门预算表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浮梁县XX局2023年部门预算情况说明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一、2023年部门预算收支情况说明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二、2023年"三公”经费预算情况说明</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
    <w:p/>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浮梁县XX局概况</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rPr>
        <w:t>1、贯彻执行国家、省和市有关审计工作的方针政策和法律法规，拟定本县审计业务规章制度，制定并组织实施审计工作发展规划、专业领域审计工作规划和年度审计计划，对直接审计、调查和核实的事项依法进行审计评价，做出审计决定或提出审计意见和建议。</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rPr>
        <w:t>2、负责对县本级财政收支和法律法规规定的属于审计范围的财务收支的真实、合法和效益进行审计监督，维护经济秩序，提高财政资金使用效益，促进廉政建设，保障国民经济和社会健康发展，对审计、专项审计调查和核实审计监督范围的社会审计机构出具的相关审计报告的结果承担责任，并负有督促被审计单位整改的责任。</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rPr>
        <w:t>3、向县</w:t>
      </w:r>
      <w:r>
        <w:rPr>
          <w:rFonts w:hint="eastAsia" w:ascii="仿宋" w:hAnsi="仿宋" w:eastAsia="仿宋" w:cs="仿宋"/>
          <w:sz w:val="32"/>
          <w:szCs w:val="32"/>
          <w:lang w:eastAsia="zh-CN"/>
        </w:rPr>
        <w:t>委</w:t>
      </w:r>
      <w:r>
        <w:rPr>
          <w:rFonts w:hint="eastAsia" w:ascii="仿宋" w:hAnsi="仿宋" w:eastAsia="仿宋" w:cs="仿宋"/>
          <w:sz w:val="32"/>
          <w:szCs w:val="32"/>
          <w:lang w:val="en-US" w:eastAsia="zh-CN"/>
        </w:rPr>
        <w:t>审计委员会</w:t>
      </w:r>
      <w:r>
        <w:rPr>
          <w:rFonts w:hint="eastAsia" w:ascii="仿宋" w:hAnsi="仿宋" w:eastAsia="仿宋" w:cs="仿宋"/>
          <w:sz w:val="32"/>
          <w:szCs w:val="32"/>
        </w:rPr>
        <w:t>和市</w:t>
      </w:r>
      <w:r>
        <w:rPr>
          <w:rFonts w:hint="eastAsia" w:ascii="仿宋" w:hAnsi="仿宋" w:eastAsia="仿宋" w:cs="仿宋"/>
          <w:sz w:val="32"/>
          <w:szCs w:val="32"/>
          <w:lang w:eastAsia="zh-CN"/>
        </w:rPr>
        <w:t>委</w:t>
      </w:r>
      <w:r>
        <w:rPr>
          <w:rFonts w:hint="eastAsia" w:ascii="仿宋" w:hAnsi="仿宋" w:eastAsia="仿宋" w:cs="仿宋"/>
          <w:sz w:val="32"/>
          <w:szCs w:val="32"/>
        </w:rPr>
        <w:t>审计</w:t>
      </w:r>
      <w:r>
        <w:rPr>
          <w:rFonts w:hint="eastAsia" w:ascii="仿宋" w:hAnsi="仿宋" w:eastAsia="仿宋" w:cs="仿宋"/>
          <w:sz w:val="32"/>
          <w:szCs w:val="32"/>
          <w:lang w:eastAsia="zh-CN"/>
        </w:rPr>
        <w:t>委员会</w:t>
      </w:r>
      <w:r>
        <w:rPr>
          <w:rFonts w:hint="eastAsia" w:ascii="仿宋" w:hAnsi="仿宋" w:eastAsia="仿宋" w:cs="仿宋"/>
          <w:sz w:val="32"/>
          <w:szCs w:val="32"/>
        </w:rPr>
        <w:t>提出年度县本级预算执行和其他财政收支情况的审计结果报告，受县人民政府委托向人大常委会提出县本级预算执行和其他财政收支情况的审计工作报告。</w:t>
      </w:r>
    </w:p>
    <w:p>
      <w:pPr>
        <w:spacing w:before="214"/>
        <w:rPr>
          <w:rFonts w:hint="eastAsia" w:ascii="仿宋" w:hAnsi="仿宋" w:eastAsia="仿宋" w:cs="仿宋"/>
          <w:sz w:val="32"/>
          <w:szCs w:val="32"/>
        </w:rPr>
      </w:pPr>
      <w:r>
        <w:rPr>
          <w:rFonts w:hint="eastAsia" w:ascii="仿宋" w:hAnsi="仿宋" w:eastAsia="仿宋" w:cs="仿宋"/>
          <w:sz w:val="32"/>
          <w:szCs w:val="32"/>
        </w:rPr>
        <w:t>4、直接审计管辖范围内事项并出具审计报告，在法定职权范围内作出审计决定或向有关主管机关提出处理处罚的意见和建议等。</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1、纳入本部门2023年部门预算编制范围的二级预算单位</w:t>
      </w:r>
      <w:r>
        <w:rPr>
          <w:rFonts w:hint="eastAsia" w:ascii="仿宋_GB2312" w:hAnsi="Times New Roman" w:eastAsia="仿宋_GB2312" w:cs="Times New Roman"/>
          <w:snapToGrid/>
          <w:kern w:val="2"/>
          <w:sz w:val="32"/>
          <w:szCs w:val="32"/>
          <w:lang w:eastAsia="zh-CN"/>
        </w:rPr>
        <w:t>为浮梁县审计局</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2、2023年</w:t>
      </w:r>
      <w:r>
        <w:rPr>
          <w:rFonts w:hint="eastAsia" w:ascii="仿宋" w:hAnsi="仿宋" w:eastAsia="仿宋" w:cs="仿宋"/>
          <w:kern w:val="2"/>
          <w:sz w:val="32"/>
          <w:szCs w:val="32"/>
          <w:lang w:val="en-US" w:eastAsia="zh-CN" w:bidi="ar-SA"/>
        </w:rPr>
        <w:t>行政编制人员11人、事业编制人员10人</w:t>
      </w:r>
      <w:r>
        <w:rPr>
          <w:rFonts w:hint="eastAsia" w:ascii="仿宋_GB2312" w:hAnsi="Times New Roman" w:eastAsia="仿宋_GB2312" w:cs="Times New Roman"/>
          <w:snapToGrid/>
          <w:kern w:val="2"/>
          <w:sz w:val="32"/>
          <w:szCs w:val="32"/>
        </w:rPr>
        <w:t>、实有人数</w:t>
      </w:r>
      <w:r>
        <w:rPr>
          <w:rFonts w:hint="eastAsia" w:ascii="仿宋" w:hAnsi="仿宋" w:eastAsia="仿宋" w:cs="仿宋"/>
          <w:kern w:val="2"/>
          <w:sz w:val="32"/>
          <w:szCs w:val="32"/>
          <w:lang w:val="en-US" w:eastAsia="zh-CN" w:bidi="ar-SA"/>
        </w:rPr>
        <w:t>30人</w:t>
      </w:r>
      <w:r>
        <w:rPr>
          <w:rFonts w:hint="eastAsia" w:ascii="仿宋_GB2312" w:hAnsi="Times New Roman" w:eastAsia="仿宋_GB2312" w:cs="Times New Roman"/>
          <w:snapToGrid/>
          <w:kern w:val="2"/>
          <w:sz w:val="32"/>
          <w:szCs w:val="32"/>
        </w:rPr>
        <w:t>。</w:t>
      </w:r>
    </w:p>
    <w:p>
      <w:pPr>
        <w:spacing w:before="3"/>
        <w:ind w:right="52"/>
        <w:rPr>
          <w:rFonts w:ascii="仿宋" w:hAnsi="仿宋" w:eastAsia="仿宋" w:cs="仿宋"/>
          <w:spacing w:val="-9"/>
          <w:sz w:val="32"/>
          <w:szCs w:val="32"/>
        </w:rPr>
      </w:pPr>
    </w:p>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浮梁县XX局2023年部门预算表</w:t>
      </w:r>
    </w:p>
    <w:p>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pPr>
        <w:spacing w:before="215"/>
        <w:ind w:firstLine="3550"/>
        <w:rPr>
          <w:rFonts w:ascii="仿宋" w:hAnsi="仿宋" w:eastAsia="仿宋" w:cs="仿宋"/>
          <w:spacing w:val="17"/>
          <w:sz w:val="32"/>
          <w:szCs w:val="32"/>
        </w:rPr>
      </w:pPr>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浮梁县XX局2023年部门预算情况说明</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一、2023年部门预算收支情况说明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本年</w:t>
      </w:r>
      <w:r>
        <w:rPr>
          <w:rFonts w:hint="eastAsia" w:ascii="仿宋_GB2312" w:hAnsi="Times New Roman" w:eastAsia="仿宋_GB2312" w:cs="Times New Roman"/>
          <w:snapToGrid/>
          <w:kern w:val="2"/>
          <w:sz w:val="32"/>
          <w:szCs w:val="32"/>
        </w:rPr>
        <w:t>收入预算总额</w:t>
      </w:r>
      <w:r>
        <w:rPr>
          <w:rFonts w:hint="eastAsia" w:ascii="仿宋_GB2312" w:hAnsi="Times New Roman" w:eastAsia="仿宋_GB2312" w:cs="Times New Roman"/>
          <w:snapToGrid/>
          <w:kern w:val="2"/>
          <w:sz w:val="32"/>
          <w:szCs w:val="32"/>
          <w:lang w:val="en-US" w:eastAsia="zh-CN"/>
        </w:rPr>
        <w:t>336.72万元</w:t>
      </w:r>
      <w:r>
        <w:rPr>
          <w:rFonts w:hint="eastAsia" w:ascii="仿宋_GB2312" w:hAnsi="Times New Roman" w:eastAsia="仿宋_GB2312" w:cs="Times New Roman"/>
          <w:snapToGrid/>
          <w:kern w:val="2"/>
          <w:sz w:val="32"/>
          <w:szCs w:val="32"/>
        </w:rPr>
        <w:t>，较上年预算安排的减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10.02%</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本年</w:t>
      </w:r>
      <w:r>
        <w:rPr>
          <w:rFonts w:hint="eastAsia" w:ascii="仿宋_GB2312" w:hAnsi="Times New Roman" w:eastAsia="仿宋_GB2312" w:cs="Times New Roman"/>
          <w:snapToGrid/>
          <w:kern w:val="2"/>
          <w:sz w:val="32"/>
          <w:szCs w:val="32"/>
        </w:rPr>
        <w:t>支出预算总额</w:t>
      </w:r>
      <w:r>
        <w:rPr>
          <w:rFonts w:hint="eastAsia" w:ascii="仿宋_GB2312" w:hAnsi="Times New Roman" w:eastAsia="仿宋_GB2312" w:cs="Times New Roman"/>
          <w:snapToGrid/>
          <w:kern w:val="2"/>
          <w:sz w:val="32"/>
          <w:szCs w:val="32"/>
          <w:lang w:val="en-US" w:eastAsia="zh-CN"/>
        </w:rPr>
        <w:t>336.72万元，</w:t>
      </w:r>
      <w:r>
        <w:rPr>
          <w:rFonts w:hint="eastAsia" w:ascii="仿宋_GB2312" w:hAnsi="Times New Roman" w:eastAsia="仿宋_GB2312" w:cs="Times New Roman"/>
          <w:snapToGrid/>
          <w:kern w:val="2"/>
          <w:sz w:val="32"/>
          <w:szCs w:val="32"/>
          <w:lang w:eastAsia="zh-CN"/>
        </w:rPr>
        <w:t>财政拨款</w:t>
      </w:r>
      <w:r>
        <w:rPr>
          <w:rFonts w:hint="eastAsia" w:ascii="仿宋_GB2312" w:hAnsi="Times New Roman" w:eastAsia="仿宋_GB2312" w:cs="Times New Roman"/>
          <w:snapToGrid/>
          <w:kern w:val="2"/>
          <w:sz w:val="32"/>
          <w:szCs w:val="32"/>
          <w:lang w:val="en-US" w:eastAsia="zh-CN"/>
        </w:rPr>
        <w:t>336.72万元</w:t>
      </w:r>
      <w:r>
        <w:rPr>
          <w:rFonts w:hint="eastAsia" w:ascii="仿宋_GB2312" w:hAnsi="Times New Roman" w:eastAsia="仿宋_GB2312" w:cs="Times New Roman"/>
          <w:snapToGrid/>
          <w:kern w:val="2"/>
          <w:sz w:val="32"/>
          <w:szCs w:val="32"/>
          <w:lang w:eastAsia="zh-CN"/>
        </w:rPr>
        <w:t>；一般公共服务支出</w:t>
      </w:r>
      <w:r>
        <w:rPr>
          <w:rFonts w:hint="eastAsia" w:ascii="仿宋_GB2312" w:hAnsi="Times New Roman" w:eastAsia="仿宋_GB2312" w:cs="Times New Roman"/>
          <w:snapToGrid/>
          <w:kern w:val="2"/>
          <w:sz w:val="32"/>
          <w:szCs w:val="32"/>
          <w:lang w:val="en-US" w:eastAsia="zh-CN"/>
        </w:rPr>
        <w:t>264.81万元，社会保障和就业支出41.37万元，卫生健康支出8.41万元，住房保障支出22.14万元；</w:t>
      </w:r>
      <w:r>
        <w:rPr>
          <w:rFonts w:hint="eastAsia" w:ascii="仿宋_GB2312" w:hAnsi="Times New Roman" w:eastAsia="仿宋_GB2312" w:cs="Times New Roman"/>
          <w:snapToGrid/>
          <w:kern w:val="2"/>
          <w:sz w:val="32"/>
          <w:szCs w:val="32"/>
          <w:lang w:eastAsia="zh-CN"/>
        </w:rPr>
        <w:t>人员经费</w:t>
      </w:r>
      <w:r>
        <w:rPr>
          <w:rFonts w:hint="eastAsia" w:ascii="仿宋_GB2312" w:hAnsi="Times New Roman" w:eastAsia="仿宋_GB2312" w:cs="Times New Roman"/>
          <w:snapToGrid/>
          <w:kern w:val="2"/>
          <w:sz w:val="32"/>
          <w:szCs w:val="32"/>
          <w:lang w:val="en-US" w:eastAsia="zh-CN"/>
        </w:rPr>
        <w:t>296.39万元，公用经费40.33万元。</w:t>
      </w:r>
      <w:r>
        <w:rPr>
          <w:rFonts w:hint="eastAsia" w:ascii="仿宋_GB2312" w:hAnsi="Times New Roman" w:eastAsia="仿宋_GB2312" w:cs="Times New Roman"/>
          <w:snapToGrid/>
          <w:kern w:val="2"/>
          <w:sz w:val="32"/>
          <w:szCs w:val="32"/>
        </w:rPr>
        <w:t>较上年预算安排的减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10.02%</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财政拨款支出预算数</w:t>
      </w:r>
      <w:r>
        <w:rPr>
          <w:rFonts w:hint="eastAsia" w:ascii="仿宋_GB2312" w:hAnsi="Times New Roman" w:eastAsia="仿宋_GB2312" w:cs="Times New Roman"/>
          <w:snapToGrid/>
          <w:kern w:val="2"/>
          <w:sz w:val="32"/>
          <w:szCs w:val="32"/>
          <w:lang w:val="en-US" w:eastAsia="zh-CN"/>
        </w:rPr>
        <w:t>336.72万元</w:t>
      </w:r>
      <w:r>
        <w:rPr>
          <w:rFonts w:hint="eastAsia" w:ascii="仿宋_GB2312" w:hAnsi="Times New Roman" w:eastAsia="仿宋_GB2312" w:cs="Times New Roman"/>
          <w:snapToGrid/>
          <w:kern w:val="2"/>
          <w:sz w:val="32"/>
          <w:szCs w:val="32"/>
        </w:rPr>
        <w:t>，较上年预算安排的减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10.02%</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无</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无</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2023年部门机关运行费预算</w:t>
      </w:r>
      <w:r>
        <w:rPr>
          <w:rFonts w:hint="eastAsia" w:ascii="仿宋_GB2312" w:hAnsi="Times New Roman" w:eastAsia="仿宋_GB2312" w:cs="Times New Roman"/>
          <w:snapToGrid/>
          <w:kern w:val="2"/>
          <w:sz w:val="32"/>
          <w:szCs w:val="32"/>
          <w:lang w:val="en-US" w:eastAsia="zh-CN"/>
        </w:rPr>
        <w:t>40.33</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，比202</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lang w:eastAsia="zh-CN"/>
        </w:rPr>
        <w:t>年预算减少1.44万元,下降</w:t>
      </w:r>
      <w:r>
        <w:rPr>
          <w:rFonts w:hint="eastAsia" w:ascii="仿宋_GB2312" w:hAnsi="Times New Roman" w:eastAsia="仿宋_GB2312" w:cs="Times New Roman"/>
          <w:snapToGrid/>
          <w:kern w:val="2"/>
          <w:sz w:val="32"/>
          <w:szCs w:val="32"/>
          <w:lang w:val="en-US" w:eastAsia="zh-CN"/>
        </w:rPr>
        <w:t>3.45</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2023年部门所属各单位政府采购总额</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截至2022年12月31日，部门共有车辆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辆，其中，一般公务用车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辆，安排购置单位价值200万元以上大型设备具体为: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(九)xx项目情况说明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1、**项目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1)项目概述</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2)立项依据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3)实施主体</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4）实施方案</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5)实施周期</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6)年度预算安排</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2、**项目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同上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二、2023年"三公”经费预算情况说明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w:t>
      </w:r>
      <w:r>
        <w:rPr>
          <w:rFonts w:hint="eastAsia" w:ascii="仿宋_GB2312" w:hAnsi="Times New Roman" w:eastAsia="仿宋_GB2312" w:cs="Times New Roman"/>
          <w:snapToGrid/>
          <w:kern w:val="2"/>
          <w:sz w:val="32"/>
          <w:szCs w:val="32"/>
          <w:lang w:eastAsia="zh-CN"/>
        </w:rPr>
        <w:t>浮梁县审计</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万元。其中:</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万元，比上年</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1</w:t>
      </w:r>
      <w:r>
        <w:rPr>
          <w:rFonts w:hint="eastAsia" w:ascii="仿宋_GB2312" w:hAnsi="Times New Roman" w:eastAsia="仿宋_GB2312" w:cs="Times New Roman"/>
          <w:snapToGrid/>
          <w:kern w:val="2"/>
          <w:sz w:val="32"/>
          <w:szCs w:val="32"/>
        </w:rPr>
        <w:t>万元，主要原因</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eastAsia="zh-CN"/>
        </w:rPr>
        <w:t>正常减少公务接待费</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p>
    <w:p>
      <w:pPr>
        <w:spacing w:before="173"/>
        <w:ind w:right="49" w:firstLine="599"/>
        <w:rPr>
          <w:rFonts w:ascii="仿宋" w:hAnsi="仿宋" w:eastAsia="仿宋" w:cs="仿宋"/>
          <w:spacing w:val="-15"/>
          <w:w w:val="94"/>
          <w:sz w:val="32"/>
          <w:szCs w:val="32"/>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(八)使用非财政拨款结余:填列历年滚存的非限定用途的非统计财政拨款结余弥补2023年收支差额的数额。</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(九)上年结转和结余:填列2022年全部结转和结余的资金数，包括当年结转结余资金和历年滚存结转结余资金。</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对部门预算中涉及的支出功能分类科目(明细到项级)，结合部门实际，参照《2023年政府收支分类科目》的规范说明进行解释。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YyZWY1MmE4YjhkZTEyNjY3ZWUwNGE1MDg3ODYyMWMifQ=="/>
  </w:docVars>
  <w:rsids>
    <w:rsidRoot w:val="00E637E3"/>
    <w:rsid w:val="0028241F"/>
    <w:rsid w:val="007D2708"/>
    <w:rsid w:val="00A55E03"/>
    <w:rsid w:val="00E637E3"/>
    <w:rsid w:val="180A0D7A"/>
    <w:rsid w:val="28B74E8B"/>
    <w:rsid w:val="28ED3D5F"/>
    <w:rsid w:val="325D7BAC"/>
    <w:rsid w:val="3B7E6C11"/>
    <w:rsid w:val="474E6296"/>
    <w:rsid w:val="476D2917"/>
    <w:rsid w:val="535A3AA7"/>
    <w:rsid w:val="5D24489D"/>
    <w:rsid w:val="653A4B9B"/>
    <w:rsid w:val="6C0006DE"/>
    <w:rsid w:val="75AE7963"/>
    <w:rsid w:val="7B6E7F21"/>
    <w:rsid w:val="7D06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1"/>
    <w:qFormat/>
    <w:uiPriority w:val="0"/>
    <w:pPr>
      <w:spacing w:after="0"/>
      <w:ind w:left="0" w:leftChars="0" w:firstLine="420" w:firstLineChars="200"/>
    </w:pPr>
    <w:rPr>
      <w:rFonts w:ascii="仿宋_GB2312" w:hAnsi="Calibri"/>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2078</Words>
  <Characters>2254</Characters>
  <Lines>14</Lines>
  <Paragraphs>4</Paragraphs>
  <TotalTime>9</TotalTime>
  <ScaleCrop>false</ScaleCrop>
  <LinksUpToDate>false</LinksUpToDate>
  <CharactersWithSpaces>2269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张嘴吃药</cp:lastModifiedBy>
  <dcterms:modified xsi:type="dcterms:W3CDTF">2023-03-22T10:38:09Z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2052-11.1.0.13703</vt:lpwstr>
  </property>
  <property fmtid="{D5CDD505-2E9C-101B-9397-08002B2CF9AE}" pid="5" name="ICV">
    <vt:lpwstr>88DC4E5DA5774A45A9990BB4EE0325F1</vt:lpwstr>
  </property>
</Properties>
</file>