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bCs/>
          <w:sz w:val="32"/>
          <w:szCs w:val="32"/>
        </w:rPr>
      </w:pPr>
      <w:r>
        <w:rPr>
          <w:rFonts w:hint="eastAsia" w:ascii="黑体" w:hAnsi="黑体" w:eastAsia="黑体" w:cs="黑体"/>
          <w:sz w:val="32"/>
          <w:szCs w:val="32"/>
        </w:rPr>
        <w:t>附件</w:t>
      </w:r>
      <w:r>
        <w:rPr>
          <w:rFonts w:ascii="黑体" w:hAnsi="黑体" w:eastAsia="黑体" w:cs="黑体"/>
          <w:sz w:val="32"/>
          <w:szCs w:val="32"/>
        </w:rPr>
        <w:t>6</w:t>
      </w:r>
    </w:p>
    <w:p>
      <w:pPr>
        <w:spacing w:line="578" w:lineRule="exact"/>
        <w:jc w:val="center"/>
        <w:rPr>
          <w:rFonts w:ascii="仿宋" w:hAnsi="仿宋" w:eastAsia="仿宋"/>
          <w:b/>
          <w:bCs/>
          <w:sz w:val="44"/>
          <w:szCs w:val="44"/>
        </w:rPr>
      </w:pPr>
    </w:p>
    <w:p>
      <w:pPr>
        <w:spacing w:line="578"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部门评价报告</w:t>
      </w: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rPr>
          <w:rFonts w:ascii="仿宋" w:hAnsi="仿宋" w:eastAsia="仿宋"/>
          <w:szCs w:val="21"/>
        </w:rPr>
      </w:pPr>
    </w:p>
    <w:p>
      <w:pPr>
        <w:spacing w:line="578" w:lineRule="exact"/>
        <w:jc w:val="left"/>
        <w:rPr>
          <w:rFonts w:ascii="仿宋_GB2312" w:hAnsi="仿宋" w:eastAsia="仿宋_GB2312"/>
          <w:sz w:val="28"/>
          <w:szCs w:val="28"/>
          <w:u w:val="single"/>
        </w:rPr>
      </w:pPr>
      <w:r>
        <w:rPr>
          <w:rFonts w:ascii="仿宋" w:hAnsi="仿宋" w:eastAsia="仿宋" w:cs="仿宋"/>
          <w:szCs w:val="21"/>
        </w:rPr>
        <w:t xml:space="preserve">         </w:t>
      </w:r>
      <w:r>
        <w:rPr>
          <w:rFonts w:hint="eastAsia" w:ascii="仿宋_GB2312" w:hAnsi="仿宋" w:eastAsia="仿宋_GB2312" w:cs="仿宋_GB2312"/>
          <w:sz w:val="28"/>
          <w:szCs w:val="28"/>
        </w:rPr>
        <w:t>评价类型：</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实施过程评价</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lang w:eastAsia="zh-CN"/>
        </w:rPr>
        <w:t>☑</w:t>
      </w:r>
      <w:r>
        <w:rPr>
          <w:rFonts w:hint="eastAsia" w:ascii="仿宋_GB2312" w:hAnsi="仿宋" w:eastAsia="仿宋_GB2312" w:cs="仿宋_GB2312"/>
          <w:sz w:val="28"/>
          <w:szCs w:val="28"/>
          <w:u w:val="single"/>
        </w:rPr>
        <w:t>完成结果评价</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项目名称：</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rPr>
        <w:t>政府投资审计工作经费</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 xml:space="preserve"> </w:t>
      </w:r>
      <w:r>
        <w:rPr>
          <w:rFonts w:ascii="仿宋_GB2312" w:hAnsi="仿宋" w:eastAsia="仿宋_GB2312" w:cs="仿宋_GB2312"/>
          <w:sz w:val="28"/>
          <w:szCs w:val="28"/>
          <w:u w:val="single"/>
        </w:rPr>
        <w:t xml:space="preserve">  </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项目单位：</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eastAsia="zh-CN"/>
        </w:rPr>
        <w:t>浮梁县审计局</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 xml:space="preserve"> </w:t>
      </w:r>
      <w:r>
        <w:rPr>
          <w:rFonts w:ascii="仿宋_GB2312" w:hAnsi="仿宋" w:eastAsia="仿宋_GB2312" w:cs="仿宋_GB2312"/>
          <w:sz w:val="28"/>
          <w:szCs w:val="28"/>
          <w:u w:val="single"/>
        </w:rPr>
        <w:t xml:space="preserve">   </w:t>
      </w:r>
    </w:p>
    <w:p>
      <w:pPr>
        <w:spacing w:line="578" w:lineRule="exact"/>
        <w:jc w:val="left"/>
        <w:rPr>
          <w:rFonts w:ascii="仿宋_GB2312" w:hAnsi="仿宋" w:eastAsia="仿宋_GB2312" w:cs="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主管部门：</w:t>
      </w:r>
      <w:r>
        <w:rPr>
          <w:rFonts w:ascii="仿宋_GB2312" w:hAnsi="仿宋" w:eastAsia="仿宋_GB2312" w:cs="仿宋_GB2312"/>
          <w:sz w:val="28"/>
          <w:szCs w:val="28"/>
        </w:rPr>
        <w:t xml:space="preserve"> </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eastAsia="zh-CN"/>
        </w:rPr>
        <w:t>浮梁县审计局</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 xml:space="preserve"> </w:t>
      </w:r>
      <w:r>
        <w:rPr>
          <w:rFonts w:ascii="仿宋_GB2312" w:hAnsi="仿宋" w:eastAsia="仿宋_GB2312" w:cs="仿宋_GB2312"/>
          <w:sz w:val="28"/>
          <w:szCs w:val="28"/>
        </w:rPr>
        <w:t xml:space="preserve"> </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评价时间：</w:t>
      </w:r>
      <w:r>
        <w:rPr>
          <w:rFonts w:ascii="仿宋_GB2312" w:hAnsi="仿宋" w:eastAsia="仿宋_GB2312" w:cs="仿宋_GB2312"/>
          <w:sz w:val="28"/>
          <w:szCs w:val="28"/>
        </w:rPr>
        <w:t xml:space="preserve"> </w:t>
      </w:r>
      <w:r>
        <w:rPr>
          <w:rFonts w:hint="eastAsia" w:ascii="仿宋_GB2312" w:hAnsi="仿宋" w:eastAsia="仿宋_GB2312" w:cs="仿宋_GB2312"/>
          <w:sz w:val="28"/>
          <w:szCs w:val="28"/>
          <w:u w:val="single"/>
          <w:lang w:val="en-US" w:eastAsia="zh-CN"/>
        </w:rPr>
        <w:t>2022</w:t>
      </w:r>
      <w:r>
        <w:rPr>
          <w:rFonts w:hint="eastAsia" w:ascii="仿宋_GB2312" w:hAnsi="仿宋" w:eastAsia="仿宋_GB2312" w:cs="仿宋_GB2312"/>
          <w:sz w:val="28"/>
          <w:szCs w:val="28"/>
          <w:u w:val="single"/>
        </w:rPr>
        <w:t>年</w:t>
      </w:r>
      <w:r>
        <w:rPr>
          <w:rFonts w:hint="eastAsia" w:ascii="仿宋_GB2312" w:hAnsi="仿宋" w:eastAsia="仿宋_GB2312" w:cs="仿宋_GB2312"/>
          <w:sz w:val="28"/>
          <w:szCs w:val="28"/>
          <w:u w:val="single"/>
          <w:lang w:val="en-US" w:eastAsia="zh-CN"/>
        </w:rPr>
        <w:t>5</w:t>
      </w:r>
      <w:r>
        <w:rPr>
          <w:rFonts w:hint="eastAsia" w:ascii="仿宋_GB2312" w:hAnsi="仿宋" w:eastAsia="仿宋_GB2312" w:cs="仿宋_GB2312"/>
          <w:sz w:val="28"/>
          <w:szCs w:val="28"/>
          <w:u w:val="single"/>
        </w:rPr>
        <w:t>月</w:t>
      </w:r>
      <w:r>
        <w:rPr>
          <w:rFonts w:hint="eastAsia" w:ascii="仿宋_GB2312" w:hAnsi="仿宋" w:eastAsia="仿宋_GB2312" w:cs="仿宋_GB2312"/>
          <w:sz w:val="28"/>
          <w:szCs w:val="28"/>
          <w:u w:val="single"/>
          <w:lang w:val="en-US" w:eastAsia="zh-CN"/>
        </w:rPr>
        <w:t>23</w:t>
      </w:r>
      <w:r>
        <w:rPr>
          <w:rFonts w:hint="eastAsia" w:ascii="仿宋_GB2312" w:hAnsi="仿宋" w:eastAsia="仿宋_GB2312" w:cs="仿宋_GB2312"/>
          <w:sz w:val="28"/>
          <w:szCs w:val="28"/>
          <w:u w:val="single"/>
        </w:rPr>
        <w:t>日至</w:t>
      </w:r>
      <w:r>
        <w:rPr>
          <w:rFonts w:ascii="仿宋_GB2312" w:hAnsi="仿宋" w:eastAsia="仿宋_GB2312" w:cs="仿宋_GB2312"/>
          <w:sz w:val="28"/>
          <w:szCs w:val="28"/>
          <w:u w:val="single"/>
        </w:rPr>
        <w:t xml:space="preserve">    </w:t>
      </w:r>
      <w:r>
        <w:rPr>
          <w:rFonts w:hint="eastAsia" w:ascii="仿宋_GB2312" w:hAnsi="仿宋" w:eastAsia="仿宋_GB2312" w:cs="仿宋_GB2312"/>
          <w:sz w:val="28"/>
          <w:szCs w:val="28"/>
          <w:u w:val="single"/>
          <w:lang w:val="en-US" w:eastAsia="zh-CN"/>
        </w:rPr>
        <w:t>2022</w:t>
      </w:r>
      <w:r>
        <w:rPr>
          <w:rFonts w:hint="eastAsia" w:ascii="仿宋_GB2312" w:hAnsi="仿宋" w:eastAsia="仿宋_GB2312" w:cs="仿宋_GB2312"/>
          <w:sz w:val="28"/>
          <w:szCs w:val="28"/>
          <w:u w:val="single"/>
        </w:rPr>
        <w:t>年</w:t>
      </w:r>
      <w:r>
        <w:rPr>
          <w:rFonts w:hint="eastAsia" w:ascii="仿宋_GB2312" w:hAnsi="仿宋" w:eastAsia="仿宋_GB2312" w:cs="仿宋_GB2312"/>
          <w:sz w:val="28"/>
          <w:szCs w:val="28"/>
          <w:u w:val="single"/>
          <w:lang w:val="en-US" w:eastAsia="zh-CN"/>
        </w:rPr>
        <w:t>5</w:t>
      </w:r>
      <w:r>
        <w:rPr>
          <w:rFonts w:hint="eastAsia" w:ascii="仿宋_GB2312" w:hAnsi="仿宋" w:eastAsia="仿宋_GB2312" w:cs="仿宋_GB2312"/>
          <w:sz w:val="28"/>
          <w:szCs w:val="28"/>
          <w:u w:val="single"/>
        </w:rPr>
        <w:t>月</w:t>
      </w:r>
      <w:r>
        <w:rPr>
          <w:rFonts w:hint="eastAsia" w:ascii="仿宋_GB2312" w:hAnsi="仿宋" w:eastAsia="仿宋_GB2312" w:cs="仿宋_GB2312"/>
          <w:sz w:val="28"/>
          <w:szCs w:val="28"/>
          <w:u w:val="single"/>
          <w:lang w:val="en-US" w:eastAsia="zh-CN"/>
        </w:rPr>
        <w:t>25</w:t>
      </w:r>
      <w:r>
        <w:rPr>
          <w:rFonts w:hint="eastAsia" w:ascii="仿宋_GB2312" w:hAnsi="仿宋" w:eastAsia="仿宋_GB2312" w:cs="仿宋_GB2312"/>
          <w:sz w:val="28"/>
          <w:szCs w:val="28"/>
          <w:u w:val="single"/>
        </w:rPr>
        <w:t>日</w:t>
      </w:r>
    </w:p>
    <w:p>
      <w:pPr>
        <w:spacing w:line="578" w:lineRule="exact"/>
        <w:jc w:val="left"/>
        <w:rPr>
          <w:rFonts w:ascii="仿宋_GB2312" w:hAnsi="仿宋" w:eastAsia="仿宋_GB2312"/>
          <w:sz w:val="28"/>
          <w:szCs w:val="28"/>
          <w:u w:val="single"/>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组织方式：</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财政部门</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lang w:eastAsia="zh-CN"/>
        </w:rPr>
        <w:t>☑</w:t>
      </w:r>
      <w:r>
        <w:rPr>
          <w:rFonts w:hint="eastAsia" w:ascii="仿宋_GB2312" w:hAnsi="仿宋" w:eastAsia="仿宋_GB2312" w:cs="仿宋_GB2312"/>
          <w:sz w:val="28"/>
          <w:szCs w:val="28"/>
          <w:u w:val="single"/>
        </w:rPr>
        <w:t>主管部门</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lang w:eastAsia="zh-CN"/>
        </w:rPr>
        <w:t>☑</w:t>
      </w:r>
      <w:r>
        <w:rPr>
          <w:rFonts w:hint="eastAsia" w:ascii="仿宋_GB2312" w:hAnsi="仿宋" w:eastAsia="仿宋_GB2312" w:cs="仿宋_GB2312"/>
          <w:sz w:val="28"/>
          <w:szCs w:val="28"/>
          <w:u w:val="single"/>
        </w:rPr>
        <w:t>项目单位</w:t>
      </w:r>
    </w:p>
    <w:p>
      <w:pPr>
        <w:spacing w:line="578" w:lineRule="exact"/>
        <w:jc w:val="left"/>
        <w:rPr>
          <w:rFonts w:ascii="仿宋_GB2312" w:hAnsi="仿宋" w:eastAsia="仿宋_GB2312"/>
          <w:sz w:val="28"/>
          <w:szCs w:val="28"/>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评价机构：</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第三方机构</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rPr>
        <w:t>□</w:t>
      </w:r>
      <w:r>
        <w:rPr>
          <w:rFonts w:hint="eastAsia" w:ascii="仿宋_GB2312" w:hAnsi="仿宋" w:eastAsia="仿宋_GB2312" w:cs="仿宋_GB2312"/>
          <w:sz w:val="28"/>
          <w:szCs w:val="28"/>
          <w:u w:val="single"/>
        </w:rPr>
        <w:t>专家组</w:t>
      </w:r>
      <w:r>
        <w:rPr>
          <w:rFonts w:ascii="仿宋_GB2312" w:hAnsi="仿宋" w:eastAsia="仿宋_GB2312" w:cs="仿宋_GB2312"/>
          <w:sz w:val="28"/>
          <w:szCs w:val="28"/>
          <w:u w:val="single"/>
        </w:rPr>
        <w:t xml:space="preserve"> </w:t>
      </w:r>
      <w:r>
        <w:rPr>
          <w:rFonts w:ascii="仿宋_GB2312" w:hAnsi="仿宋" w:eastAsia="仿宋_GB2312" w:cs="仿宋_GB2312"/>
          <w:sz w:val="28"/>
          <w:szCs w:val="28"/>
        </w:rPr>
        <w:t xml:space="preserve">  </w:t>
      </w:r>
      <w:r>
        <w:rPr>
          <w:rFonts w:hint="eastAsia" w:ascii="仿宋_GB2312" w:hAnsi="仿宋" w:eastAsia="仿宋_GB2312" w:cs="仿宋_GB2312"/>
          <w:spacing w:val="-20"/>
          <w:sz w:val="28"/>
          <w:szCs w:val="28"/>
          <w:u w:val="single"/>
          <w:lang w:eastAsia="zh-CN"/>
        </w:rPr>
        <w:t>☑</w:t>
      </w:r>
      <w:r>
        <w:rPr>
          <w:rFonts w:hint="eastAsia" w:ascii="仿宋_GB2312" w:hAnsi="仿宋" w:eastAsia="仿宋_GB2312" w:cs="仿宋_GB2312"/>
          <w:sz w:val="28"/>
          <w:szCs w:val="28"/>
          <w:u w:val="single"/>
        </w:rPr>
        <w:t>项目单位评价组</w:t>
      </w:r>
    </w:p>
    <w:p>
      <w:pPr>
        <w:spacing w:line="578" w:lineRule="exact"/>
        <w:ind w:left="31680" w:hanging="1050" w:hangingChars="500"/>
        <w:rPr>
          <w:rFonts w:ascii="仿宋_GB2312" w:hAnsi="仿宋" w:eastAsia="仿宋_GB2312"/>
          <w:szCs w:val="21"/>
        </w:rPr>
      </w:pPr>
    </w:p>
    <w:p>
      <w:pPr>
        <w:spacing w:line="578" w:lineRule="exact"/>
        <w:rPr>
          <w:rFonts w:ascii="仿宋_GB2312" w:hAnsi="仿宋" w:eastAsia="仿宋_GB2312"/>
          <w:szCs w:val="21"/>
        </w:rPr>
      </w:pPr>
    </w:p>
    <w:p>
      <w:pPr>
        <w:spacing w:line="578" w:lineRule="exact"/>
        <w:rPr>
          <w:rFonts w:ascii="仿宋_GB2312" w:hAnsi="仿宋" w:eastAsia="仿宋_GB2312"/>
          <w:szCs w:val="21"/>
        </w:rPr>
      </w:pPr>
    </w:p>
    <w:p>
      <w:pPr>
        <w:spacing w:line="578" w:lineRule="exact"/>
        <w:ind w:left="31680" w:hanging="1050" w:hangingChars="500"/>
        <w:rPr>
          <w:rFonts w:ascii="仿宋_GB2312" w:hAnsi="仿宋" w:eastAsia="仿宋_GB2312" w:cs="仿宋_GB2312"/>
          <w:szCs w:val="21"/>
        </w:rPr>
      </w:pPr>
      <w:r>
        <w:rPr>
          <w:rFonts w:ascii="仿宋_GB2312" w:hAnsi="仿宋" w:eastAsia="仿宋_GB2312" w:cs="仿宋_GB2312"/>
          <w:szCs w:val="21"/>
        </w:rPr>
        <w:t xml:space="preserve">             </w:t>
      </w:r>
    </w:p>
    <w:p>
      <w:pPr>
        <w:spacing w:line="578" w:lineRule="exact"/>
        <w:ind w:left="31680" w:hanging="1050" w:hangingChars="500"/>
        <w:rPr>
          <w:rFonts w:ascii="仿宋_GB2312" w:hAnsi="仿宋" w:eastAsia="仿宋_GB2312" w:cs="仿宋_GB2312"/>
          <w:szCs w:val="21"/>
        </w:rPr>
      </w:pPr>
    </w:p>
    <w:p>
      <w:pPr>
        <w:spacing w:line="578" w:lineRule="exact"/>
        <w:ind w:left="31680" w:hanging="1050" w:hangingChars="500"/>
        <w:rPr>
          <w:rFonts w:ascii="仿宋_GB2312" w:hAnsi="仿宋" w:eastAsia="仿宋_GB2312"/>
          <w:sz w:val="28"/>
          <w:szCs w:val="28"/>
        </w:rPr>
      </w:pPr>
      <w:r>
        <w:rPr>
          <w:rFonts w:ascii="仿宋_GB2312" w:hAnsi="仿宋" w:eastAsia="仿宋_GB2312" w:cs="仿宋_GB2312"/>
          <w:szCs w:val="21"/>
        </w:rPr>
        <w:t xml:space="preserve">         </w:t>
      </w:r>
      <w:r>
        <w:rPr>
          <w:rFonts w:hint="eastAsia" w:ascii="仿宋_GB2312" w:hAnsi="仿宋" w:eastAsia="仿宋_GB2312" w:cs="仿宋_GB2312"/>
          <w:sz w:val="28"/>
          <w:szCs w:val="28"/>
        </w:rPr>
        <w:t>评价单位（盖章）：</w:t>
      </w:r>
    </w:p>
    <w:p>
      <w:pPr>
        <w:spacing w:line="578" w:lineRule="exact"/>
        <w:ind w:left="31680" w:hanging="1400" w:hangingChars="500"/>
        <w:rPr>
          <w:rFonts w:hint="default" w:ascii="仿宋_GB2312" w:hAnsi="仿宋" w:eastAsia="仿宋_GB2312"/>
          <w:sz w:val="28"/>
          <w:szCs w:val="28"/>
          <w:lang w:val="en-US" w:eastAsia="zh-CN"/>
        </w:rPr>
      </w:pPr>
      <w:r>
        <w:rPr>
          <w:rFonts w:ascii="仿宋_GB2312" w:hAnsi="仿宋" w:eastAsia="仿宋_GB2312" w:cs="仿宋_GB2312"/>
          <w:sz w:val="28"/>
          <w:szCs w:val="28"/>
        </w:rPr>
        <w:t xml:space="preserve">           </w:t>
      </w:r>
      <w:r>
        <w:rPr>
          <w:rFonts w:hint="eastAsia" w:ascii="仿宋_GB2312" w:hAnsi="仿宋" w:eastAsia="仿宋_GB2312" w:cs="仿宋_GB2312"/>
          <w:sz w:val="28"/>
          <w:szCs w:val="28"/>
        </w:rPr>
        <w:t>上报时间：</w:t>
      </w:r>
      <w:r>
        <w:rPr>
          <w:rFonts w:hint="eastAsia" w:ascii="仿宋_GB2312" w:hAnsi="仿宋" w:eastAsia="仿宋_GB2312" w:cs="仿宋_GB2312"/>
          <w:sz w:val="28"/>
          <w:szCs w:val="28"/>
          <w:lang w:val="en-US" w:eastAsia="zh-CN"/>
        </w:rPr>
        <w:t>2022.6.10</w:t>
      </w:r>
    </w:p>
    <w:p>
      <w:pPr>
        <w:spacing w:line="400" w:lineRule="exact"/>
        <w:jc w:val="left"/>
        <w:rPr>
          <w:rFonts w:ascii="仿宋" w:hAnsi="仿宋" w:eastAsia="仿宋"/>
          <w:szCs w:val="21"/>
        </w:rPr>
      </w:pPr>
    </w:p>
    <w:p>
      <w:pPr>
        <w:jc w:val="center"/>
        <w:rPr>
          <w:rFonts w:ascii="方正小标宋简体" w:hAnsi="方正小标宋简体" w:eastAsia="方正小标宋简体"/>
          <w:sz w:val="44"/>
          <w:szCs w:val="44"/>
        </w:rPr>
      </w:pPr>
      <w:r>
        <w:rPr>
          <w:rFonts w:ascii="仿宋" w:hAnsi="仿宋" w:eastAsia="仿宋"/>
          <w:szCs w:val="21"/>
        </w:rPr>
        <w:br w:type="page"/>
      </w:r>
      <w:r>
        <w:rPr>
          <w:rFonts w:hint="eastAsia" w:ascii="方正小标宋简体" w:hAnsi="方正小标宋简体" w:eastAsia="方正小标宋简体" w:cs="方正小标宋简体"/>
          <w:sz w:val="44"/>
          <w:szCs w:val="44"/>
        </w:rPr>
        <w:t>部门评价报告</w:t>
      </w:r>
    </w:p>
    <w:p>
      <w:pPr>
        <w:spacing w:line="240" w:lineRule="exact"/>
        <w:jc w:val="center"/>
        <w:rPr>
          <w:rFonts w:ascii="楷体_GB2312" w:hAnsi="楷体_GB2312" w:eastAsia="楷体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一、基本情况</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pPr>
        <w:spacing w:line="54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为提高政府投资效率、节约政府投资资金，防范工程项目管理风险，确保工程竣工结算质量，规范社会中介机构执业行为。保证我县政府投资项目结算管理改革工作顺利推进。</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县审计局对建设单位办理的竣工结算情况进行审计监督，按以下原则列入次年度的审计计划：</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建设单位结算金额1000万元以下（含1000万元）的投资项目，原则上按 5%比率选取项目列入审计计划；建设单位结算金额1000万元-5000万元（含5000万元）的投资项目，原则上按10%比率选取项目列入审计计划；建设单位结算金额5000万元-10000万元（含10000万元）的投资项目，原则上按20%比率选取项目列入审计计划；建设单位结算金额10000万元-20000万元（含20000万元）的投资项目，原则上按50%比率选取项目列入审计计划；建设单位结算金额 20000万元以上的投资项目，原则上按80%比率作为重点列入审计计划。</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对于已列入当年审计计划的政府投资项目，建设单位在完成结算审核后（由建设单位委托中介机构出具审核报告后），由县审计局按审计计划实施审计，县审计局按照相关规定出具审计报告。</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县审计局发现工程预算控制、招投标、物质采购、资金支付、工程质量、工程造价等方面存在重大问题的，并应将相关情况报县政府，县政府对建设单位主要负责人、分管负责人约谈直至追责。</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县财政局、审计局发现社会中介机构执业过程中结算结果误差较大或存在违纪违法行为，应对其亮黄牌警告，视情况向建设单位提出中止或取消委托业务的意见。</w:t>
      </w:r>
    </w:p>
    <w:p>
      <w:pPr>
        <w:spacing w:line="54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全年</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lang w:eastAsia="zh-CN"/>
        </w:rPr>
        <w:t>万元，实际财政拨款数240万元，当年共使用76.96万元。</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（二）项目绩效目标。包括总体目标和阶段性目标。</w:t>
      </w:r>
    </w:p>
    <w:p>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为提高政府投资效率、节约政府投资资金，防范工程项目管理风险，确保工程竣工结算质量，规范社会中介机构执业行为。保证我县政府投资项目结算管理改革工作顺利推进。</w:t>
      </w:r>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二、绩效评价工作开展情况</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目的：通过政府投资项目结算审核能够节约财政资金、提高财政资金使用效率、加强财政资金监督。对象：建设单位、社会中介机构。范围：政府投资项目。</w:t>
      </w:r>
    </w:p>
    <w:p>
      <w:pPr>
        <w:numPr>
          <w:ilvl w:val="0"/>
          <w:numId w:val="1"/>
        </w:num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建设单位结算金额1000万元以下（含1000万元）的投资项目，原则上按 5%比率选取项目列入审计计划；建设单位结算金额1000万元-5000万元（含5000万元）的投资项目，原则上按10%比率选取项目列入审计计划；建设单位结算金额5000万元-10000万元（含10000万元）的投资项目，原则上按20%比率选取项目列入审计计划；建设单位结算金额10000万元-20000万元（含20000万元）的投资项目，原则上按50%比率选取项目列入审计计划；建设单位结算金额 20000万元以上的投资项目，原则上按80%比率作为重点列入审计计划。</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 w:hAnsi="仿宋" w:eastAsia="仿宋" w:cs="仿宋"/>
          <w:sz w:val="32"/>
          <w:szCs w:val="32"/>
          <w:lang w:val="en-US" w:eastAsia="zh-CN"/>
        </w:rPr>
        <w:t>根据中央、省、市关于政府投资项目审计转型的文件精神，结合我县实际, 提请县政府出台了《浮梁县人民政府投资项目结算管理暂行办法》。在政府投资结算领导小组的指导下，我局主动担当作为，进一步完善了进驻中介超市的中介机构进行结算审计的各项流程。在具体操作过程中，我们对同一工程项目结算实行三审制（即二审中介机构对一审中介机构审计结算进行复核，我局对二审中介机构的审计结算进行抽查复核），不仅纠正了以往审计机关“以审代结”的错误做法，而且进一步规范了中介机构的执业行为，为财政节约了大量资金。</w:t>
      </w:r>
    </w:p>
    <w:p>
      <w:pPr>
        <w:numPr>
          <w:ilvl w:val="0"/>
          <w:numId w:val="2"/>
        </w:num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综合评价情况及评价结论（附相关评分表）</w:t>
      </w:r>
    </w:p>
    <w:p>
      <w:pPr>
        <w:numPr>
          <w:numId w:val="0"/>
        </w:numPr>
        <w:spacing w:line="54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lang w:eastAsia="zh-CN"/>
        </w:rPr>
        <w:t>提高政府投资效率、节约政府投资资金，防范工程项目管理风险，确保工程竣工结算质量，规范社会中介机构执业行为，保证我县政府投资项目结算管理改革工作顺利推进。通过政府投资项目结算审核节约财政资金、提高财政资金使用效率、加强财政资金监督。</w:t>
      </w:r>
      <w:bookmarkStart w:id="0" w:name="_GoBack"/>
      <w:bookmarkEnd w:id="0"/>
    </w:p>
    <w:p>
      <w:pPr>
        <w:spacing w:line="540" w:lineRule="exact"/>
        <w:ind w:firstLine="640" w:firstLineChars="200"/>
        <w:rPr>
          <w:rFonts w:ascii="黑体" w:hAnsi="黑体" w:eastAsia="黑体"/>
          <w:sz w:val="32"/>
          <w:szCs w:val="32"/>
        </w:rPr>
      </w:pPr>
      <w:r>
        <w:rPr>
          <w:rFonts w:hint="eastAsia" w:ascii="黑体" w:hAnsi="黑体" w:eastAsia="黑体" w:cs="黑体"/>
          <w:sz w:val="32"/>
          <w:szCs w:val="32"/>
        </w:rPr>
        <w:t>四、绩效评价指标分析</w:t>
      </w:r>
    </w:p>
    <w:p>
      <w:pPr>
        <w:spacing w:line="540" w:lineRule="exact"/>
        <w:ind w:firstLine="640" w:firstLineChars="200"/>
        <w:outlineLvl w:val="0"/>
        <w:rPr>
          <w:rFonts w:ascii="仿宋_GB2312" w:hAnsi="仿宋_GB2312" w:eastAsia="仿宋_GB2312"/>
          <w:sz w:val="32"/>
          <w:szCs w:val="32"/>
        </w:rPr>
      </w:pPr>
      <w:r>
        <w:rPr>
          <w:rFonts w:hint="eastAsia" w:ascii="仿宋_GB2312" w:hAnsi="仿宋_GB2312" w:eastAsia="仿宋_GB2312" w:cs="仿宋_GB2312"/>
          <w:sz w:val="32"/>
          <w:szCs w:val="32"/>
        </w:rPr>
        <w:t>（一）项目决策情况。</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pPr>
        <w:spacing w:line="54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对同一工程项目结算实行三审制</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lang w:val="en-US" w:eastAsia="zh-CN"/>
        </w:rPr>
        <w:t>纠正了以往审计机关“以审代结”的错误做法，进一步规范了中介机构的执业行为。</w:t>
      </w:r>
    </w:p>
    <w:p>
      <w:pPr>
        <w:spacing w:line="54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pPr>
        <w:spacing w:line="54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200万以上政府投资项目全部通过领导小组审核率</w:t>
      </w:r>
      <w:r>
        <w:rPr>
          <w:rFonts w:hint="eastAsia" w:ascii="仿宋_GB2312" w:hAnsi="仿宋_GB2312" w:eastAsia="仿宋_GB2312" w:cs="仿宋_GB2312"/>
          <w:sz w:val="32"/>
          <w:szCs w:val="32"/>
          <w:lang w:val="en-US" w:eastAsia="zh-CN"/>
        </w:rPr>
        <w:t>100%，投资额核减率6%，项目完成期限90天。</w:t>
      </w:r>
    </w:p>
    <w:p>
      <w:pPr>
        <w:numPr>
          <w:ilvl w:val="0"/>
          <w:numId w:val="1"/>
        </w:numPr>
        <w:spacing w:line="54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numPr>
          <w:numId w:val="0"/>
        </w:numPr>
        <w:spacing w:line="540" w:lineRule="exact"/>
        <w:ind w:firstLine="640" w:firstLineChars="200"/>
        <w:outlineLvl w:val="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被审项目资金节约率5%</w:t>
      </w:r>
      <w:r>
        <w:rPr>
          <w:rFonts w:hint="eastAsia" w:ascii="仿宋_GB2312" w:hAnsi="仿宋_GB2312" w:eastAsia="仿宋_GB2312" w:cs="仿宋_GB2312"/>
          <w:sz w:val="32"/>
          <w:szCs w:val="32"/>
          <w:lang w:eastAsia="zh-CN"/>
        </w:rPr>
        <w:t>。</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line="54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目前，在全市四个县（市、区）中，我县的结算管理工作走在全市前列，基本上做到了“公开、公正、公平”。但通过近一年的实践，仍然存在业主单位拖欠第三方咨询服务费、部分项目存在送审价超概算的10%以上等亟待解决的问题。</w:t>
      </w:r>
    </w:p>
    <w:p>
      <w:pPr>
        <w:spacing w:line="540" w:lineRule="exact"/>
        <w:ind w:firstLine="640" w:firstLineChars="200"/>
        <w:rPr>
          <w:rFonts w:hint="eastAsia" w:ascii="黑体" w:hAnsi="黑体" w:eastAsia="黑体" w:cs="黑体"/>
          <w:sz w:val="32"/>
          <w:szCs w:val="32"/>
        </w:rPr>
      </w:pPr>
      <w:r>
        <w:rPr>
          <w:rFonts w:hint="eastAsia" w:ascii="仿宋" w:hAnsi="仿宋" w:eastAsia="仿宋" w:cs="仿宋"/>
          <w:color w:val="000000" w:themeColor="text1"/>
          <w:sz w:val="32"/>
          <w:szCs w:val="32"/>
          <w:shd w:val="clear" w:color="auto" w:fill="FFFFFF"/>
          <w14:textFill>
            <w14:solidFill>
              <w14:schemeClr w14:val="tx1"/>
            </w14:solidFill>
          </w14:textFill>
        </w:rPr>
        <w:t>围绕</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县</w:t>
      </w:r>
      <w:r>
        <w:rPr>
          <w:rFonts w:hint="eastAsia" w:ascii="仿宋" w:hAnsi="仿宋" w:eastAsia="仿宋" w:cs="仿宋"/>
          <w:color w:val="000000" w:themeColor="text1"/>
          <w:sz w:val="32"/>
          <w:szCs w:val="32"/>
          <w:shd w:val="clear" w:color="auto" w:fill="FFFFFF"/>
          <w14:textFill>
            <w14:solidFill>
              <w14:schemeClr w14:val="tx1"/>
            </w14:solidFill>
          </w14:textFill>
        </w:rPr>
        <w:t>政府中心工作和重点目标，继续开展政府投资项目审计，主要审计政府投资项目的建设管理工作，包括计划与程序执行、概算执行、资金管理与使用、项目管理、招投标环节等</w:t>
      </w:r>
      <w:r>
        <w:rPr>
          <w:rFonts w:hint="eastAsia" w:ascii="仿宋" w:hAnsi="仿宋" w:eastAsia="仿宋" w:cs="仿宋"/>
          <w:color w:val="000000" w:themeColor="text1"/>
          <w:sz w:val="32"/>
          <w:szCs w:val="32"/>
          <w:shd w:val="clear" w:color="auto" w:fill="FFFFFF"/>
          <w:lang w:eastAsia="zh-CN"/>
          <w14:textFill>
            <w14:solidFill>
              <w14:schemeClr w14:val="tx1"/>
            </w14:solidFill>
          </w14:textFill>
        </w:rPr>
        <w:t>。</w:t>
      </w:r>
      <w:r>
        <w:rPr>
          <w:rFonts w:hint="eastAsia" w:ascii="仿宋" w:hAnsi="仿宋" w:eastAsia="仿宋" w:cs="仿宋"/>
          <w:color w:val="000000" w:themeColor="text1"/>
          <w:sz w:val="32"/>
          <w:szCs w:val="32"/>
          <w:shd w:val="clear" w:color="auto" w:fill="FFFFFF"/>
          <w:lang w:val="en-US" w:eastAsia="zh-CN"/>
          <w14:textFill>
            <w14:solidFill>
              <w14:schemeClr w14:val="tx1"/>
            </w14:solidFill>
          </w14:textFill>
        </w:rPr>
        <w:t>同时继续配合结算管理领导小组，做好政府投资结算管理工作。</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line="54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无</w:t>
      </w:r>
    </w:p>
    <w:p>
      <w:pPr>
        <w:spacing w:line="5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七、其他需要说明的问题</w:t>
      </w:r>
    </w:p>
    <w:p>
      <w:pPr>
        <w:spacing w:line="54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无</w:t>
      </w:r>
    </w:p>
    <w:p>
      <w:pPr>
        <w:spacing w:line="600" w:lineRule="exact"/>
        <w:rPr>
          <w:rFonts w:ascii="仿宋_GB2312" w:eastAsia="仿宋_GB2312"/>
          <w:sz w:val="32"/>
          <w:szCs w:val="32"/>
        </w:rPr>
      </w:pPr>
    </w:p>
    <w:p>
      <w:pPr>
        <w:spacing w:line="578" w:lineRule="exact"/>
        <w:rPr>
          <w:rFonts w:ascii="宋体"/>
          <w:sz w:val="44"/>
          <w:szCs w:val="44"/>
        </w:rPr>
      </w:pPr>
    </w:p>
    <w:p>
      <w:pPr>
        <w:spacing w:line="200" w:lineRule="exact"/>
        <w:jc w:val="center"/>
        <w:rPr>
          <w:rFonts w:ascii="方正小标宋简体" w:hAnsi="方正小标宋简体" w:eastAsia="方正小标宋简体"/>
          <w:sz w:val="44"/>
          <w:szCs w:val="44"/>
        </w:rPr>
      </w:pPr>
    </w:p>
    <w:p>
      <w:pPr>
        <w:spacing w:line="578" w:lineRule="exact"/>
        <w:jc w:val="center"/>
        <w:rPr>
          <w:rFonts w:hint="eastAsia" w:ascii="方正小标宋简体" w:hAnsi="方正小标宋简体" w:eastAsia="方正小标宋简体" w:cs="方正小标宋简体"/>
          <w:sz w:val="44"/>
          <w:szCs w:val="44"/>
        </w:rPr>
      </w:pPr>
    </w:p>
    <w:p>
      <w:pPr>
        <w:spacing w:line="578" w:lineRule="exact"/>
        <w:jc w:val="center"/>
        <w:rPr>
          <w:rFonts w:hint="eastAsia" w:ascii="方正小标宋简体" w:hAnsi="方正小标宋简体" w:eastAsia="方正小标宋简体" w:cs="方正小标宋简体"/>
          <w:sz w:val="44"/>
          <w:szCs w:val="44"/>
        </w:rPr>
      </w:pPr>
    </w:p>
    <w:p>
      <w:pPr>
        <w:spacing w:line="578"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cs="方正小标宋简体"/>
          <w:sz w:val="44"/>
          <w:szCs w:val="44"/>
        </w:rPr>
        <w:t>部门评价表</w:t>
      </w:r>
    </w:p>
    <w:p>
      <w:pPr>
        <w:spacing w:line="200" w:lineRule="exact"/>
        <w:jc w:val="center"/>
        <w:rPr>
          <w:rFonts w:ascii="方正小标宋简体" w:hAnsi="方正小标宋简体" w:eastAsia="方正小标宋简体"/>
          <w:sz w:val="44"/>
          <w:szCs w:val="44"/>
        </w:rPr>
      </w:pPr>
    </w:p>
    <w:tbl>
      <w:tblPr>
        <w:tblStyle w:val="2"/>
        <w:tblpPr w:leftFromText="180" w:rightFromText="180" w:vertAnchor="text" w:horzAnchor="page" w:tblpXSpec="center" w:tblpY="32"/>
        <w:tblOverlap w:val="never"/>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344"/>
        <w:gridCol w:w="17"/>
        <w:gridCol w:w="497"/>
        <w:gridCol w:w="419"/>
        <w:gridCol w:w="703"/>
        <w:gridCol w:w="354"/>
        <w:gridCol w:w="215"/>
        <w:gridCol w:w="759"/>
        <w:gridCol w:w="231"/>
        <w:gridCol w:w="1034"/>
        <w:gridCol w:w="579"/>
        <w:gridCol w:w="423"/>
        <w:gridCol w:w="358"/>
        <w:gridCol w:w="23"/>
        <w:gridCol w:w="2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项目名称：</w:t>
            </w:r>
          </w:p>
        </w:tc>
        <w:tc>
          <w:tcPr>
            <w:tcW w:w="7407" w:type="dxa"/>
            <w:gridSpan w:val="12"/>
            <w:vAlign w:val="center"/>
          </w:tcPr>
          <w:p>
            <w:pPr>
              <w:spacing w:line="300" w:lineRule="exact"/>
              <w:jc w:val="center"/>
              <w:rPr>
                <w:rFonts w:ascii="宋体"/>
                <w:szCs w:val="21"/>
              </w:rPr>
            </w:pPr>
            <w:r>
              <w:rPr>
                <w:rFonts w:hint="eastAsia" w:ascii="宋体"/>
                <w:szCs w:val="21"/>
              </w:rPr>
              <w:t>政府投资审计工作经费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主管部门</w:t>
            </w:r>
          </w:p>
        </w:tc>
        <w:tc>
          <w:tcPr>
            <w:tcW w:w="1476" w:type="dxa"/>
            <w:gridSpan w:val="3"/>
            <w:vAlign w:val="center"/>
          </w:tcPr>
          <w:p>
            <w:pPr>
              <w:spacing w:line="300" w:lineRule="exact"/>
              <w:jc w:val="center"/>
              <w:rPr>
                <w:rFonts w:hint="eastAsia" w:ascii="宋体" w:eastAsia="宋体"/>
                <w:szCs w:val="21"/>
                <w:lang w:eastAsia="zh-CN"/>
              </w:rPr>
            </w:pPr>
            <w:r>
              <w:rPr>
                <w:rFonts w:hint="eastAsia" w:ascii="宋体"/>
                <w:szCs w:val="21"/>
                <w:lang w:eastAsia="zh-CN"/>
              </w:rPr>
              <w:t>浮梁县审计局</w:t>
            </w:r>
          </w:p>
        </w:tc>
        <w:tc>
          <w:tcPr>
            <w:tcW w:w="3241" w:type="dxa"/>
            <w:gridSpan w:val="6"/>
            <w:vAlign w:val="center"/>
          </w:tcPr>
          <w:p>
            <w:pPr>
              <w:spacing w:line="300" w:lineRule="exact"/>
              <w:jc w:val="center"/>
              <w:rPr>
                <w:rFonts w:ascii="宋体"/>
                <w:szCs w:val="21"/>
              </w:rPr>
            </w:pPr>
            <w:r>
              <w:rPr>
                <w:rFonts w:hint="eastAsia" w:ascii="宋体" w:hAnsi="宋体" w:cs="宋体"/>
                <w:szCs w:val="21"/>
              </w:rPr>
              <w:t>项目实施单位</w:t>
            </w:r>
          </w:p>
        </w:tc>
        <w:tc>
          <w:tcPr>
            <w:tcW w:w="2690" w:type="dxa"/>
            <w:gridSpan w:val="3"/>
            <w:vAlign w:val="center"/>
          </w:tcPr>
          <w:p>
            <w:pPr>
              <w:spacing w:line="300" w:lineRule="exact"/>
              <w:jc w:val="center"/>
              <w:rPr>
                <w:rFonts w:hint="eastAsia" w:ascii="宋体" w:eastAsia="宋体"/>
                <w:szCs w:val="21"/>
                <w:lang w:eastAsia="zh-CN"/>
              </w:rPr>
            </w:pPr>
            <w:r>
              <w:rPr>
                <w:rFonts w:hint="eastAsia" w:ascii="宋体"/>
                <w:szCs w:val="21"/>
                <w:lang w:eastAsia="zh-CN"/>
              </w:rPr>
              <w:t>浮梁县审计局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项目负责人</w:t>
            </w:r>
          </w:p>
        </w:tc>
        <w:tc>
          <w:tcPr>
            <w:tcW w:w="1476" w:type="dxa"/>
            <w:gridSpan w:val="3"/>
            <w:vAlign w:val="center"/>
          </w:tcPr>
          <w:p>
            <w:pPr>
              <w:spacing w:line="300" w:lineRule="exact"/>
              <w:jc w:val="center"/>
              <w:rPr>
                <w:rFonts w:hint="eastAsia" w:ascii="宋体" w:eastAsia="宋体"/>
                <w:szCs w:val="21"/>
                <w:lang w:eastAsia="zh-CN"/>
              </w:rPr>
            </w:pPr>
            <w:r>
              <w:rPr>
                <w:rFonts w:hint="eastAsia" w:ascii="宋体"/>
                <w:szCs w:val="21"/>
                <w:lang w:eastAsia="zh-CN"/>
              </w:rPr>
              <w:t>李军华</w:t>
            </w:r>
          </w:p>
        </w:tc>
        <w:tc>
          <w:tcPr>
            <w:tcW w:w="3241" w:type="dxa"/>
            <w:gridSpan w:val="6"/>
            <w:vAlign w:val="center"/>
          </w:tcPr>
          <w:p>
            <w:pPr>
              <w:spacing w:line="300" w:lineRule="exact"/>
              <w:jc w:val="center"/>
              <w:rPr>
                <w:rFonts w:ascii="宋体"/>
                <w:szCs w:val="21"/>
              </w:rPr>
            </w:pPr>
            <w:r>
              <w:rPr>
                <w:rFonts w:hint="eastAsia" w:ascii="宋体" w:hAnsi="宋体" w:cs="宋体"/>
                <w:szCs w:val="21"/>
              </w:rPr>
              <w:t>联系电话</w:t>
            </w:r>
          </w:p>
        </w:tc>
        <w:tc>
          <w:tcPr>
            <w:tcW w:w="2690" w:type="dxa"/>
            <w:gridSpan w:val="3"/>
            <w:vAlign w:val="center"/>
          </w:tcPr>
          <w:p>
            <w:pPr>
              <w:spacing w:line="300" w:lineRule="exact"/>
              <w:jc w:val="center"/>
              <w:rPr>
                <w:rFonts w:ascii="宋体"/>
                <w:szCs w:val="21"/>
              </w:rPr>
            </w:pPr>
            <w:r>
              <w:rPr>
                <w:rFonts w:hint="eastAsia" w:ascii="宋体"/>
                <w:szCs w:val="21"/>
              </w:rPr>
              <w:t xml:space="preserve">13707982827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项目类型</w:t>
            </w:r>
          </w:p>
        </w:tc>
        <w:tc>
          <w:tcPr>
            <w:tcW w:w="7407" w:type="dxa"/>
            <w:gridSpan w:val="12"/>
            <w:vAlign w:val="center"/>
          </w:tcPr>
          <w:p>
            <w:pPr>
              <w:spacing w:line="300" w:lineRule="exact"/>
              <w:jc w:val="center"/>
              <w:rPr>
                <w:rFonts w:ascii="宋体"/>
                <w:szCs w:val="21"/>
              </w:rPr>
            </w:pPr>
            <w:r>
              <w:rPr>
                <w:rFonts w:hint="eastAsia" w:ascii="宋体" w:hAnsi="宋体" w:cs="宋体"/>
                <w:szCs w:val="21"/>
              </w:rPr>
              <w:t>经常性项目（</w:t>
            </w:r>
            <w:r>
              <w:rPr>
                <w:rFonts w:hint="eastAsia" w:ascii="宋体" w:hAnsi="宋体" w:cs="宋体"/>
                <w:szCs w:val="21"/>
                <w:lang w:eastAsia="zh-CN"/>
              </w:rPr>
              <w:t>√</w:t>
            </w:r>
            <w:r>
              <w:rPr>
                <w:rFonts w:hint="eastAsia" w:ascii="宋体" w:hAnsi="宋体" w:cs="宋体"/>
                <w:szCs w:val="21"/>
              </w:rPr>
              <w:t>）</w:t>
            </w:r>
            <w:r>
              <w:rPr>
                <w:rFonts w:ascii="宋体" w:hAnsi="宋体" w:cs="宋体"/>
                <w:szCs w:val="21"/>
              </w:rPr>
              <w:t xml:space="preserve">       </w:t>
            </w:r>
            <w:r>
              <w:rPr>
                <w:rFonts w:hint="eastAsia" w:ascii="宋体" w:hAnsi="宋体" w:cs="宋体"/>
                <w:szCs w:val="21"/>
              </w:rPr>
              <w:t>一次性项目（</w:t>
            </w:r>
            <w:r>
              <w:rPr>
                <w:rFonts w:ascii="宋体" w:hAnsi="宋体" w:cs="宋体"/>
                <w:szCs w:val="21"/>
              </w:rPr>
              <w:t xml:space="preserve">  </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00" w:hRule="atLeast"/>
          <w:jc w:val="center"/>
        </w:trPr>
        <w:tc>
          <w:tcPr>
            <w:tcW w:w="1858" w:type="dxa"/>
            <w:gridSpan w:val="3"/>
            <w:vAlign w:val="center"/>
          </w:tcPr>
          <w:p>
            <w:pPr>
              <w:spacing w:line="240" w:lineRule="exact"/>
              <w:jc w:val="center"/>
              <w:rPr>
                <w:rFonts w:ascii="宋体"/>
                <w:szCs w:val="21"/>
              </w:rPr>
            </w:pPr>
            <w:r>
              <w:rPr>
                <w:rFonts w:hint="eastAsia" w:ascii="宋体" w:hAnsi="宋体" w:cs="宋体"/>
                <w:szCs w:val="21"/>
              </w:rPr>
              <w:t>计划投资额</w:t>
            </w:r>
          </w:p>
          <w:p>
            <w:pPr>
              <w:spacing w:line="240" w:lineRule="exact"/>
              <w:jc w:val="center"/>
              <w:rPr>
                <w:rFonts w:ascii="宋体"/>
                <w:szCs w:val="21"/>
              </w:rPr>
            </w:pPr>
            <w:r>
              <w:rPr>
                <w:rFonts w:hint="eastAsia" w:ascii="宋体" w:hAnsi="宋体" w:cs="宋体"/>
                <w:szCs w:val="21"/>
              </w:rPr>
              <w:t>（万元）</w:t>
            </w:r>
          </w:p>
        </w:tc>
        <w:tc>
          <w:tcPr>
            <w:tcW w:w="1122" w:type="dxa"/>
            <w:gridSpan w:val="2"/>
            <w:vAlign w:val="center"/>
          </w:tcPr>
          <w:p>
            <w:pPr>
              <w:spacing w:line="240" w:lineRule="exact"/>
              <w:jc w:val="center"/>
              <w:rPr>
                <w:rFonts w:hint="default" w:ascii="宋体" w:eastAsia="宋体"/>
                <w:szCs w:val="21"/>
                <w:lang w:val="en-US" w:eastAsia="zh-CN"/>
              </w:rPr>
            </w:pPr>
            <w:r>
              <w:rPr>
                <w:rFonts w:hint="eastAsia" w:ascii="宋体"/>
                <w:szCs w:val="21"/>
                <w:lang w:val="en-US" w:eastAsia="zh-CN"/>
              </w:rPr>
              <w:t>500</w:t>
            </w:r>
          </w:p>
        </w:tc>
        <w:tc>
          <w:tcPr>
            <w:tcW w:w="1559" w:type="dxa"/>
            <w:gridSpan w:val="4"/>
            <w:vAlign w:val="center"/>
          </w:tcPr>
          <w:p>
            <w:pPr>
              <w:spacing w:line="240" w:lineRule="exact"/>
              <w:jc w:val="center"/>
              <w:rPr>
                <w:rFonts w:ascii="宋体"/>
                <w:szCs w:val="21"/>
              </w:rPr>
            </w:pPr>
            <w:r>
              <w:rPr>
                <w:rFonts w:hint="eastAsia" w:ascii="宋体" w:hAnsi="宋体" w:cs="宋体"/>
                <w:szCs w:val="21"/>
              </w:rPr>
              <w:t>实际到位资金（万元）</w:t>
            </w:r>
          </w:p>
        </w:tc>
        <w:tc>
          <w:tcPr>
            <w:tcW w:w="1034" w:type="dxa"/>
            <w:vAlign w:val="center"/>
          </w:tcPr>
          <w:p>
            <w:pPr>
              <w:spacing w:line="240" w:lineRule="exact"/>
              <w:jc w:val="center"/>
              <w:rPr>
                <w:rFonts w:hint="default" w:ascii="宋体" w:eastAsia="宋体"/>
                <w:szCs w:val="21"/>
                <w:lang w:val="en-US" w:eastAsia="zh-CN"/>
              </w:rPr>
            </w:pPr>
            <w:r>
              <w:rPr>
                <w:rFonts w:hint="eastAsia" w:ascii="宋体"/>
                <w:szCs w:val="21"/>
                <w:lang w:val="en-US" w:eastAsia="zh-CN"/>
              </w:rPr>
              <w:t>240</w:t>
            </w:r>
          </w:p>
        </w:tc>
        <w:tc>
          <w:tcPr>
            <w:tcW w:w="1383" w:type="dxa"/>
            <w:gridSpan w:val="4"/>
            <w:vAlign w:val="center"/>
          </w:tcPr>
          <w:p>
            <w:pPr>
              <w:spacing w:line="240" w:lineRule="exact"/>
              <w:jc w:val="center"/>
              <w:rPr>
                <w:rFonts w:ascii="宋体"/>
                <w:szCs w:val="21"/>
              </w:rPr>
            </w:pPr>
            <w:r>
              <w:rPr>
                <w:rFonts w:hint="eastAsia" w:ascii="宋体" w:hAnsi="宋体" w:cs="宋体"/>
                <w:szCs w:val="21"/>
              </w:rPr>
              <w:t>实际使用情况（万元）</w:t>
            </w:r>
          </w:p>
        </w:tc>
        <w:tc>
          <w:tcPr>
            <w:tcW w:w="2309" w:type="dxa"/>
            <w:vAlign w:val="center"/>
          </w:tcPr>
          <w:p>
            <w:pPr>
              <w:spacing w:line="240" w:lineRule="exact"/>
              <w:jc w:val="center"/>
              <w:rPr>
                <w:rFonts w:hint="default" w:ascii="宋体" w:eastAsia="宋体"/>
                <w:szCs w:val="21"/>
                <w:lang w:val="en-US" w:eastAsia="zh-CN"/>
              </w:rPr>
            </w:pPr>
            <w:r>
              <w:rPr>
                <w:rFonts w:hint="eastAsia" w:ascii="宋体"/>
                <w:szCs w:val="21"/>
                <w:lang w:val="en-US" w:eastAsia="zh-CN"/>
              </w:rPr>
              <w:t>76.96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其中：中央财政</w:t>
            </w:r>
          </w:p>
        </w:tc>
        <w:tc>
          <w:tcPr>
            <w:tcW w:w="1122" w:type="dxa"/>
            <w:gridSpan w:val="2"/>
            <w:vAlign w:val="center"/>
          </w:tcPr>
          <w:p>
            <w:pPr>
              <w:spacing w:line="300" w:lineRule="exact"/>
              <w:jc w:val="center"/>
              <w:rPr>
                <w:rFonts w:ascii="宋体"/>
                <w:szCs w:val="21"/>
              </w:rPr>
            </w:pPr>
          </w:p>
        </w:tc>
        <w:tc>
          <w:tcPr>
            <w:tcW w:w="1559" w:type="dxa"/>
            <w:gridSpan w:val="4"/>
            <w:vAlign w:val="center"/>
          </w:tcPr>
          <w:p>
            <w:pPr>
              <w:spacing w:line="300" w:lineRule="exact"/>
              <w:jc w:val="center"/>
              <w:rPr>
                <w:rFonts w:ascii="宋体"/>
                <w:szCs w:val="21"/>
              </w:rPr>
            </w:pPr>
            <w:r>
              <w:rPr>
                <w:rFonts w:hint="eastAsia" w:ascii="宋体" w:hAnsi="宋体" w:cs="宋体"/>
                <w:szCs w:val="21"/>
              </w:rPr>
              <w:t>其中：中央财政</w:t>
            </w:r>
          </w:p>
        </w:tc>
        <w:tc>
          <w:tcPr>
            <w:tcW w:w="1034" w:type="dxa"/>
            <w:vAlign w:val="center"/>
          </w:tcPr>
          <w:p>
            <w:pPr>
              <w:spacing w:line="300" w:lineRule="exact"/>
              <w:jc w:val="center"/>
              <w:rPr>
                <w:rFonts w:ascii="宋体"/>
                <w:szCs w:val="21"/>
              </w:rPr>
            </w:pPr>
          </w:p>
        </w:tc>
        <w:tc>
          <w:tcPr>
            <w:tcW w:w="1383" w:type="dxa"/>
            <w:gridSpan w:val="4"/>
            <w:vAlign w:val="center"/>
          </w:tcPr>
          <w:p>
            <w:pPr>
              <w:spacing w:line="300" w:lineRule="exact"/>
              <w:jc w:val="center"/>
              <w:rPr>
                <w:rFonts w:ascii="宋体"/>
                <w:szCs w:val="21"/>
              </w:rPr>
            </w:pPr>
          </w:p>
        </w:tc>
        <w:tc>
          <w:tcPr>
            <w:tcW w:w="2309" w:type="dxa"/>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省财政</w:t>
            </w:r>
          </w:p>
        </w:tc>
        <w:tc>
          <w:tcPr>
            <w:tcW w:w="1122" w:type="dxa"/>
            <w:gridSpan w:val="2"/>
            <w:vAlign w:val="center"/>
          </w:tcPr>
          <w:p>
            <w:pPr>
              <w:spacing w:line="300" w:lineRule="exact"/>
              <w:jc w:val="center"/>
              <w:rPr>
                <w:rFonts w:ascii="宋体"/>
                <w:szCs w:val="21"/>
              </w:rPr>
            </w:pPr>
          </w:p>
        </w:tc>
        <w:tc>
          <w:tcPr>
            <w:tcW w:w="1559" w:type="dxa"/>
            <w:gridSpan w:val="4"/>
            <w:vAlign w:val="center"/>
          </w:tcPr>
          <w:p>
            <w:pPr>
              <w:spacing w:line="300" w:lineRule="exact"/>
              <w:jc w:val="center"/>
              <w:rPr>
                <w:rFonts w:ascii="宋体"/>
                <w:szCs w:val="21"/>
              </w:rPr>
            </w:pPr>
            <w:r>
              <w:rPr>
                <w:rFonts w:hint="eastAsia" w:ascii="宋体" w:hAnsi="宋体" w:cs="宋体"/>
                <w:szCs w:val="21"/>
              </w:rPr>
              <w:t>省财政</w:t>
            </w:r>
          </w:p>
        </w:tc>
        <w:tc>
          <w:tcPr>
            <w:tcW w:w="1034" w:type="dxa"/>
            <w:vAlign w:val="center"/>
          </w:tcPr>
          <w:p>
            <w:pPr>
              <w:spacing w:line="300" w:lineRule="exact"/>
              <w:jc w:val="center"/>
              <w:rPr>
                <w:rFonts w:ascii="宋体"/>
                <w:szCs w:val="21"/>
              </w:rPr>
            </w:pPr>
          </w:p>
        </w:tc>
        <w:tc>
          <w:tcPr>
            <w:tcW w:w="1383" w:type="dxa"/>
            <w:gridSpan w:val="4"/>
            <w:vAlign w:val="center"/>
          </w:tcPr>
          <w:p>
            <w:pPr>
              <w:spacing w:line="300" w:lineRule="exact"/>
              <w:jc w:val="center"/>
              <w:rPr>
                <w:rFonts w:ascii="宋体"/>
                <w:szCs w:val="21"/>
              </w:rPr>
            </w:pPr>
          </w:p>
        </w:tc>
        <w:tc>
          <w:tcPr>
            <w:tcW w:w="2309" w:type="dxa"/>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市县财政</w:t>
            </w:r>
          </w:p>
        </w:tc>
        <w:tc>
          <w:tcPr>
            <w:tcW w:w="1122" w:type="dxa"/>
            <w:gridSpan w:val="2"/>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500</w:t>
            </w:r>
          </w:p>
        </w:tc>
        <w:tc>
          <w:tcPr>
            <w:tcW w:w="1559" w:type="dxa"/>
            <w:gridSpan w:val="4"/>
            <w:vAlign w:val="center"/>
          </w:tcPr>
          <w:p>
            <w:pPr>
              <w:spacing w:line="300" w:lineRule="exact"/>
              <w:jc w:val="center"/>
              <w:rPr>
                <w:rFonts w:ascii="宋体"/>
                <w:szCs w:val="21"/>
              </w:rPr>
            </w:pPr>
            <w:r>
              <w:rPr>
                <w:rFonts w:hint="eastAsia" w:ascii="宋体" w:hAnsi="宋体" w:cs="宋体"/>
                <w:szCs w:val="21"/>
              </w:rPr>
              <w:t>市县财政</w:t>
            </w:r>
          </w:p>
        </w:tc>
        <w:tc>
          <w:tcPr>
            <w:tcW w:w="1034" w:type="dxa"/>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240</w:t>
            </w:r>
          </w:p>
        </w:tc>
        <w:tc>
          <w:tcPr>
            <w:tcW w:w="1383" w:type="dxa"/>
            <w:gridSpan w:val="4"/>
            <w:vAlign w:val="center"/>
          </w:tcPr>
          <w:p>
            <w:pPr>
              <w:spacing w:line="300" w:lineRule="exact"/>
              <w:jc w:val="center"/>
              <w:rPr>
                <w:rFonts w:ascii="宋体"/>
                <w:szCs w:val="21"/>
              </w:rPr>
            </w:pPr>
          </w:p>
        </w:tc>
        <w:tc>
          <w:tcPr>
            <w:tcW w:w="2309" w:type="dxa"/>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76.96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1858" w:type="dxa"/>
            <w:gridSpan w:val="3"/>
            <w:vAlign w:val="center"/>
          </w:tcPr>
          <w:p>
            <w:pPr>
              <w:spacing w:line="300" w:lineRule="exact"/>
              <w:jc w:val="center"/>
              <w:rPr>
                <w:rFonts w:ascii="宋体"/>
                <w:szCs w:val="21"/>
              </w:rPr>
            </w:pPr>
            <w:r>
              <w:rPr>
                <w:rFonts w:hint="eastAsia" w:ascii="宋体" w:hAnsi="宋体" w:cs="宋体"/>
                <w:szCs w:val="21"/>
              </w:rPr>
              <w:t>其他</w:t>
            </w:r>
          </w:p>
        </w:tc>
        <w:tc>
          <w:tcPr>
            <w:tcW w:w="1122" w:type="dxa"/>
            <w:gridSpan w:val="2"/>
            <w:vAlign w:val="center"/>
          </w:tcPr>
          <w:p>
            <w:pPr>
              <w:spacing w:line="300" w:lineRule="exact"/>
              <w:jc w:val="center"/>
              <w:rPr>
                <w:rFonts w:ascii="宋体"/>
                <w:szCs w:val="21"/>
              </w:rPr>
            </w:pPr>
          </w:p>
        </w:tc>
        <w:tc>
          <w:tcPr>
            <w:tcW w:w="1559" w:type="dxa"/>
            <w:gridSpan w:val="4"/>
            <w:vAlign w:val="center"/>
          </w:tcPr>
          <w:p>
            <w:pPr>
              <w:spacing w:line="300" w:lineRule="exact"/>
              <w:jc w:val="center"/>
              <w:rPr>
                <w:rFonts w:ascii="宋体"/>
                <w:szCs w:val="21"/>
              </w:rPr>
            </w:pPr>
            <w:r>
              <w:rPr>
                <w:rFonts w:hint="eastAsia" w:ascii="宋体" w:hAnsi="宋体" w:cs="宋体"/>
                <w:szCs w:val="21"/>
              </w:rPr>
              <w:t>其他</w:t>
            </w:r>
          </w:p>
        </w:tc>
        <w:tc>
          <w:tcPr>
            <w:tcW w:w="1034" w:type="dxa"/>
            <w:vAlign w:val="center"/>
          </w:tcPr>
          <w:p>
            <w:pPr>
              <w:spacing w:line="300" w:lineRule="exact"/>
              <w:jc w:val="center"/>
              <w:rPr>
                <w:rFonts w:ascii="宋体"/>
                <w:szCs w:val="21"/>
              </w:rPr>
            </w:pPr>
          </w:p>
        </w:tc>
        <w:tc>
          <w:tcPr>
            <w:tcW w:w="1383" w:type="dxa"/>
            <w:gridSpan w:val="4"/>
            <w:vAlign w:val="center"/>
          </w:tcPr>
          <w:p>
            <w:pPr>
              <w:spacing w:line="300" w:lineRule="exact"/>
              <w:jc w:val="center"/>
              <w:rPr>
                <w:rFonts w:ascii="宋体"/>
                <w:szCs w:val="21"/>
              </w:rPr>
            </w:pPr>
          </w:p>
        </w:tc>
        <w:tc>
          <w:tcPr>
            <w:tcW w:w="2309" w:type="dxa"/>
            <w:vAlign w:val="center"/>
          </w:tcPr>
          <w:p>
            <w:pPr>
              <w:spacing w:line="30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192" w:hRule="atLeast"/>
          <w:jc w:val="center"/>
        </w:trPr>
        <w:tc>
          <w:tcPr>
            <w:tcW w:w="9265" w:type="dxa"/>
            <w:gridSpan w:val="15"/>
            <w:vAlign w:val="center"/>
          </w:tcPr>
          <w:p>
            <w:pPr>
              <w:spacing w:line="300" w:lineRule="exact"/>
              <w:rPr>
                <w:rFonts w:ascii="宋体"/>
                <w:szCs w:val="21"/>
              </w:rPr>
            </w:pPr>
            <w:r>
              <w:rPr>
                <w:rFonts w:hint="eastAsia" w:ascii="宋体" w:hAnsi="宋体" w:cs="宋体"/>
                <w:b/>
                <w:bCs/>
                <w:szCs w:val="21"/>
              </w:rPr>
              <w:t>二、</w:t>
            </w:r>
            <w:r>
              <w:rPr>
                <w:rFonts w:hint="eastAsia" w:ascii="宋体" w:hAnsi="宋体" w:cs="宋体"/>
                <w:b/>
                <w:bCs/>
                <w:color w:val="000000"/>
                <w:szCs w:val="21"/>
              </w:rPr>
              <w:t>绩效评价指标评分（参考）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一级指标</w:t>
            </w:r>
          </w:p>
        </w:tc>
        <w:tc>
          <w:tcPr>
            <w:tcW w:w="916" w:type="dxa"/>
            <w:gridSpan w:val="2"/>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二级指标</w:t>
            </w:r>
          </w:p>
        </w:tc>
        <w:tc>
          <w:tcPr>
            <w:tcW w:w="759"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三级指标</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分值</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决策</w:t>
            </w:r>
          </w:p>
        </w:tc>
        <w:tc>
          <w:tcPr>
            <w:tcW w:w="916" w:type="dxa"/>
            <w:gridSpan w:val="2"/>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40</w:t>
            </w:r>
          </w:p>
        </w:tc>
        <w:tc>
          <w:tcPr>
            <w:tcW w:w="1272" w:type="dxa"/>
            <w:gridSpan w:val="3"/>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项目立项</w:t>
            </w:r>
          </w:p>
        </w:tc>
        <w:tc>
          <w:tcPr>
            <w:tcW w:w="759" w:type="dxa"/>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5</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立项依据充分性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272" w:type="dxa"/>
            <w:gridSpan w:val="3"/>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立项程序规范性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272" w:type="dxa"/>
            <w:gridSpan w:val="3"/>
            <w:vMerge w:val="restart"/>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绩效目标</w:t>
            </w:r>
          </w:p>
        </w:tc>
        <w:tc>
          <w:tcPr>
            <w:tcW w:w="759" w:type="dxa"/>
            <w:vMerge w:val="restart"/>
            <w:tcBorders>
              <w:left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5</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绩效目标合理性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272" w:type="dxa"/>
            <w:gridSpan w:val="3"/>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绩效指标明确性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资金投入</w:t>
            </w:r>
          </w:p>
        </w:tc>
        <w:tc>
          <w:tcPr>
            <w:tcW w:w="75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5</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预算编制科学性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资金分配合理性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过程</w:t>
            </w:r>
          </w:p>
        </w:tc>
        <w:tc>
          <w:tcPr>
            <w:tcW w:w="916" w:type="dxa"/>
            <w:gridSpan w:val="2"/>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272" w:type="dxa"/>
            <w:gridSpan w:val="3"/>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资金管理</w:t>
            </w:r>
          </w:p>
        </w:tc>
        <w:tc>
          <w:tcPr>
            <w:tcW w:w="75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5</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资金到位率</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color w:val="000000"/>
                <w:szCs w:val="21"/>
              </w:rPr>
            </w:pPr>
          </w:p>
        </w:tc>
        <w:tc>
          <w:tcPr>
            <w:tcW w:w="759" w:type="dxa"/>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预算执行率</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资金管理</w:t>
            </w:r>
          </w:p>
        </w:tc>
        <w:tc>
          <w:tcPr>
            <w:tcW w:w="759"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资金使用合规性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restart"/>
            <w:tcBorders>
              <w:top w:val="single" w:color="000000" w:sz="4" w:space="0"/>
              <w:left w:val="single" w:color="000000" w:sz="4" w:space="0"/>
              <w:right w:val="single" w:color="000000" w:sz="4" w:space="0"/>
            </w:tcBorders>
            <w:vAlign w:val="center"/>
          </w:tcPr>
          <w:p>
            <w:pPr>
              <w:spacing w:line="240" w:lineRule="atLeast"/>
              <w:jc w:val="center"/>
              <w:rPr>
                <w:rFonts w:ascii="宋体"/>
                <w:color w:val="000000"/>
                <w:szCs w:val="21"/>
              </w:rPr>
            </w:pPr>
            <w:r>
              <w:rPr>
                <w:rFonts w:hint="eastAsia" w:ascii="宋体" w:hAnsi="宋体" w:cs="宋体"/>
                <w:color w:val="000000"/>
                <w:szCs w:val="21"/>
              </w:rPr>
              <w:t>组织实施　</w:t>
            </w:r>
          </w:p>
        </w:tc>
        <w:tc>
          <w:tcPr>
            <w:tcW w:w="759" w:type="dxa"/>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hint="default" w:ascii="宋体" w:eastAsia="宋体"/>
                <w:szCs w:val="21"/>
                <w:lang w:val="en-US" w:eastAsia="zh-CN"/>
              </w:rPr>
            </w:pPr>
            <w:r>
              <w:rPr>
                <w:rFonts w:hint="eastAsia" w:ascii="宋体"/>
                <w:szCs w:val="21"/>
                <w:lang w:val="en-US" w:eastAsia="zh-CN"/>
              </w:rPr>
              <w:t>10</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管理制度健全性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Fonts w:ascii="宋体"/>
                <w:color w:val="000000"/>
                <w:kern w:val="0"/>
                <w:szCs w:val="21"/>
              </w:rPr>
            </w:pPr>
            <w:r>
              <w:rPr>
                <w:rFonts w:hint="eastAsia" w:ascii="宋体" w:hAnsi="宋体" w:cs="宋体"/>
                <w:color w:val="000000"/>
                <w:kern w:val="0"/>
                <w:szCs w:val="21"/>
              </w:rPr>
              <w:t>制度执行有效性</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5</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w:t>
            </w:r>
          </w:p>
        </w:tc>
        <w:tc>
          <w:tcPr>
            <w:tcW w:w="916"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60</w:t>
            </w: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产出数量</w:t>
            </w:r>
          </w:p>
        </w:tc>
        <w:tc>
          <w:tcPr>
            <w:tcW w:w="759"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c>
          <w:tcPr>
            <w:tcW w:w="1844" w:type="dxa"/>
            <w:gridSpan w:val="3"/>
            <w:vMerge w:val="restart"/>
            <w:tcBorders>
              <w:top w:val="single" w:color="000000" w:sz="4" w:space="0"/>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可根据项目实际情况有选择地设置和细化</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产出质量</w:t>
            </w:r>
          </w:p>
        </w:tc>
        <w:tc>
          <w:tcPr>
            <w:tcW w:w="759"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10</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产出时效</w:t>
            </w:r>
          </w:p>
        </w:tc>
        <w:tc>
          <w:tcPr>
            <w:tcW w:w="759"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10</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eastAsia" w:ascii="宋体" w:eastAsia="宋体"/>
                <w:color w:val="000000"/>
                <w:szCs w:val="21"/>
                <w:lang w:val="en-US" w:eastAsia="zh-CN"/>
              </w:rPr>
            </w:pPr>
            <w:r>
              <w:rPr>
                <w:rFonts w:hint="eastAsia" w:ascii="宋体"/>
                <w:color w:val="000000"/>
                <w:szCs w:val="21"/>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产出成本</w:t>
            </w:r>
          </w:p>
        </w:tc>
        <w:tc>
          <w:tcPr>
            <w:tcW w:w="759"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restart"/>
            <w:tcBorders>
              <w:top w:val="single" w:color="000000" w:sz="4" w:space="0"/>
              <w:left w:val="single" w:color="000000" w:sz="4" w:space="0"/>
              <w:right w:val="single" w:color="000000" w:sz="4" w:space="0"/>
            </w:tcBorders>
            <w:vAlign w:val="center"/>
          </w:tcPr>
          <w:p>
            <w:pPr>
              <w:spacing w:line="300" w:lineRule="exact"/>
              <w:jc w:val="center"/>
              <w:rPr>
                <w:rFonts w:ascii="宋体"/>
                <w:szCs w:val="21"/>
              </w:rPr>
            </w:pPr>
            <w:r>
              <w:rPr>
                <w:rFonts w:hint="eastAsia" w:ascii="宋体" w:hAnsi="宋体" w:cs="宋体"/>
                <w:szCs w:val="21"/>
              </w:rPr>
              <w:t>效益</w:t>
            </w: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经济效益</w:t>
            </w:r>
          </w:p>
        </w:tc>
        <w:tc>
          <w:tcPr>
            <w:tcW w:w="759"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hint="default" w:ascii="宋体" w:eastAsia="宋体"/>
                <w:szCs w:val="21"/>
                <w:lang w:val="en-US" w:eastAsia="zh-CN"/>
              </w:rPr>
            </w:pPr>
            <w:r>
              <w:rPr>
                <w:rFonts w:hint="eastAsia" w:ascii="宋体"/>
                <w:szCs w:val="21"/>
                <w:lang w:val="en-US" w:eastAsia="zh-CN"/>
              </w:rPr>
              <w:t>10</w:t>
            </w: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社会效益</w:t>
            </w:r>
          </w:p>
        </w:tc>
        <w:tc>
          <w:tcPr>
            <w:tcW w:w="759"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环境效益</w:t>
            </w:r>
          </w:p>
        </w:tc>
        <w:tc>
          <w:tcPr>
            <w:tcW w:w="759"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844" w:type="dxa"/>
            <w:gridSpan w:val="3"/>
            <w:vMerge w:val="continue"/>
            <w:tcBorders>
              <w:left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vMerge w:val="continue"/>
            <w:tcBorders>
              <w:left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szCs w:val="21"/>
              </w:rPr>
            </w:pPr>
            <w:r>
              <w:rPr>
                <w:rFonts w:hint="eastAsia" w:ascii="宋体" w:hAnsi="宋体" w:cs="宋体"/>
                <w:color w:val="000000"/>
                <w:szCs w:val="21"/>
              </w:rPr>
              <w:t>可持续影响</w:t>
            </w:r>
          </w:p>
        </w:tc>
        <w:tc>
          <w:tcPr>
            <w:tcW w:w="759" w:type="dxa"/>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844" w:type="dxa"/>
            <w:gridSpan w:val="3"/>
            <w:vMerge w:val="continue"/>
            <w:tcBorders>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1361" w:type="dxa"/>
            <w:gridSpan w:val="2"/>
            <w:vMerge w:val="continue"/>
            <w:tcBorders>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916"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00" w:lineRule="exact"/>
              <w:jc w:val="center"/>
              <w:rPr>
                <w:rFonts w:ascii="宋体"/>
                <w:szCs w:val="21"/>
              </w:rPr>
            </w:pP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80" w:lineRule="exact"/>
              <w:jc w:val="center"/>
              <w:textAlignment w:val="center"/>
              <w:rPr>
                <w:rFonts w:ascii="宋体"/>
                <w:szCs w:val="21"/>
              </w:rPr>
            </w:pPr>
            <w:r>
              <w:rPr>
                <w:rFonts w:hint="eastAsia" w:ascii="宋体" w:hAnsi="宋体" w:cs="宋体"/>
                <w:color w:val="000000"/>
                <w:szCs w:val="21"/>
              </w:rPr>
              <w:t>满意度</w:t>
            </w:r>
          </w:p>
        </w:tc>
        <w:tc>
          <w:tcPr>
            <w:tcW w:w="759" w:type="dxa"/>
            <w:tcBorders>
              <w:top w:val="single" w:color="000000" w:sz="4" w:space="0"/>
              <w:left w:val="single" w:color="000000" w:sz="4" w:space="0"/>
              <w:bottom w:val="single" w:color="000000" w:sz="4" w:space="0"/>
              <w:right w:val="single" w:color="000000" w:sz="4" w:space="0"/>
            </w:tcBorders>
            <w:vAlign w:val="center"/>
          </w:tcPr>
          <w:p>
            <w:pPr>
              <w:spacing w:line="280" w:lineRule="exact"/>
              <w:jc w:val="center"/>
              <w:rPr>
                <w:rFonts w:hint="default" w:ascii="宋体" w:eastAsia="宋体"/>
                <w:szCs w:val="21"/>
                <w:lang w:val="en-US" w:eastAsia="zh-CN"/>
              </w:rPr>
            </w:pPr>
            <w:r>
              <w:rPr>
                <w:rFonts w:hint="eastAsia" w:ascii="宋体"/>
                <w:szCs w:val="21"/>
                <w:lang w:val="en-US" w:eastAsia="zh-CN"/>
              </w:rPr>
              <w:t>20</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280" w:lineRule="exact"/>
              <w:jc w:val="center"/>
              <w:textAlignment w:val="center"/>
              <w:rPr>
                <w:rFonts w:ascii="宋体"/>
                <w:color w:val="000000"/>
                <w:szCs w:val="21"/>
              </w:rPr>
            </w:pPr>
            <w:r>
              <w:rPr>
                <w:rFonts w:hint="eastAsia" w:ascii="宋体" w:hAnsi="宋体" w:cs="宋体"/>
                <w:color w:val="000000"/>
                <w:szCs w:val="21"/>
              </w:rPr>
              <w:t>社会公众或服务对象满意度</w:t>
            </w: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136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hint="eastAsia" w:ascii="宋体" w:hAnsi="宋体" w:cs="宋体"/>
                <w:color w:val="000000"/>
                <w:szCs w:val="21"/>
              </w:rPr>
              <w:t>总分</w:t>
            </w:r>
          </w:p>
        </w:tc>
        <w:tc>
          <w:tcPr>
            <w:tcW w:w="916"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1272"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59" w:type="dxa"/>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1844" w:type="dxa"/>
            <w:gridSpan w:val="3"/>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p>
        </w:tc>
        <w:tc>
          <w:tcPr>
            <w:tcW w:w="781"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ascii="宋体"/>
                <w:color w:val="000000"/>
                <w:szCs w:val="21"/>
              </w:rPr>
            </w:pPr>
            <w:r>
              <w:rPr>
                <w:rFonts w:ascii="宋体" w:hAnsi="宋体" w:cs="宋体"/>
                <w:color w:val="000000"/>
                <w:szCs w:val="21"/>
              </w:rPr>
              <w:t>100</w:t>
            </w:r>
          </w:p>
        </w:tc>
        <w:tc>
          <w:tcPr>
            <w:tcW w:w="2332" w:type="dxa"/>
            <w:gridSpan w:val="2"/>
            <w:tcBorders>
              <w:top w:val="single" w:color="000000" w:sz="4" w:space="0"/>
              <w:left w:val="single" w:color="000000" w:sz="4" w:space="0"/>
              <w:bottom w:val="single" w:color="000000" w:sz="4" w:space="0"/>
              <w:right w:val="single" w:color="000000" w:sz="4" w:space="0"/>
            </w:tcBorders>
            <w:vAlign w:val="center"/>
          </w:tcPr>
          <w:p>
            <w:pPr>
              <w:autoSpaceDN w:val="0"/>
              <w:spacing w:line="300" w:lineRule="exact"/>
              <w:jc w:val="center"/>
              <w:textAlignment w:val="center"/>
              <w:rPr>
                <w:rFonts w:hint="default" w:ascii="宋体" w:eastAsia="宋体"/>
                <w:color w:val="000000"/>
                <w:szCs w:val="21"/>
                <w:lang w:val="en-US" w:eastAsia="zh-CN"/>
              </w:rPr>
            </w:pPr>
            <w:r>
              <w:rPr>
                <w:rFonts w:hint="eastAsia" w:ascii="宋体"/>
                <w:color w:val="000000"/>
                <w:szCs w:val="21"/>
                <w:lang w:val="en-US"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344" w:type="dxa"/>
            <w:vMerge w:val="restart"/>
            <w:vAlign w:val="center"/>
          </w:tcPr>
          <w:p>
            <w:pPr>
              <w:spacing w:line="300" w:lineRule="exact"/>
              <w:jc w:val="center"/>
              <w:rPr>
                <w:rFonts w:ascii="宋体"/>
                <w:szCs w:val="21"/>
              </w:rPr>
            </w:pPr>
            <w:r>
              <w:rPr>
                <w:rFonts w:hint="eastAsia" w:ascii="宋体" w:hAnsi="宋体" w:cs="宋体"/>
                <w:szCs w:val="21"/>
              </w:rPr>
              <w:t>评价等次</w:t>
            </w:r>
          </w:p>
        </w:tc>
        <w:tc>
          <w:tcPr>
            <w:tcW w:w="7921" w:type="dxa"/>
            <w:gridSpan w:val="14"/>
            <w:vAlign w:val="center"/>
          </w:tcPr>
          <w:p>
            <w:pPr>
              <w:spacing w:line="300" w:lineRule="exact"/>
              <w:jc w:val="center"/>
              <w:rPr>
                <w:rFonts w:ascii="宋体"/>
                <w:szCs w:val="21"/>
              </w:rPr>
            </w:pPr>
            <w:r>
              <w:rPr>
                <w:rFonts w:hint="eastAsia" w:ascii="宋体" w:hAnsi="宋体" w:cs="宋体"/>
                <w:color w:val="000000"/>
                <w:kern w:val="0"/>
                <w:szCs w:val="21"/>
              </w:rPr>
              <w:t>优</w:t>
            </w:r>
            <w:r>
              <w:rPr>
                <w:rFonts w:hint="eastAsia" w:ascii="宋体" w:hAnsi="宋体" w:cs="宋体"/>
                <w:color w:val="000000"/>
                <w:kern w:val="0"/>
                <w:szCs w:val="21"/>
                <w:lang w:eastAsia="zh-CN"/>
              </w:rPr>
              <w:t>☑</w:t>
            </w:r>
            <w:r>
              <w:rPr>
                <w:rFonts w:ascii="宋体" w:hAnsi="宋体" w:cs="宋体"/>
                <w:color w:val="000000"/>
                <w:kern w:val="0"/>
                <w:szCs w:val="21"/>
              </w:rPr>
              <w:t xml:space="preserve">        </w:t>
            </w:r>
            <w:r>
              <w:rPr>
                <w:rFonts w:hint="eastAsia" w:ascii="宋体" w:hAnsi="宋体" w:cs="宋体"/>
                <w:color w:val="000000"/>
                <w:kern w:val="0"/>
                <w:szCs w:val="21"/>
              </w:rPr>
              <w:t>良□</w:t>
            </w:r>
            <w:r>
              <w:rPr>
                <w:rFonts w:ascii="宋体" w:hAnsi="宋体" w:cs="宋体"/>
                <w:color w:val="000000"/>
                <w:kern w:val="0"/>
                <w:szCs w:val="21"/>
              </w:rPr>
              <w:t xml:space="preserve">       </w:t>
            </w:r>
            <w:r>
              <w:rPr>
                <w:rFonts w:hint="eastAsia" w:ascii="宋体" w:hAnsi="宋体" w:cs="宋体"/>
                <w:color w:val="000000"/>
                <w:kern w:val="0"/>
                <w:szCs w:val="21"/>
              </w:rPr>
              <w:t>中</w:t>
            </w:r>
            <w:r>
              <w:rPr>
                <w:rFonts w:ascii="宋体" w:hAnsi="宋体" w:cs="宋体"/>
                <w:color w:val="000000"/>
                <w:kern w:val="0"/>
                <w:szCs w:val="21"/>
              </w:rPr>
              <w:t xml:space="preserve"> </w:t>
            </w:r>
            <w:r>
              <w:rPr>
                <w:rFonts w:hint="eastAsia" w:ascii="宋体" w:hAnsi="宋体" w:cs="宋体"/>
                <w:color w:val="000000"/>
                <w:kern w:val="0"/>
                <w:szCs w:val="21"/>
              </w:rPr>
              <w:t>□</w:t>
            </w:r>
            <w:r>
              <w:rPr>
                <w:rFonts w:ascii="宋体" w:hAnsi="宋体" w:cs="宋体"/>
                <w:color w:val="000000"/>
                <w:kern w:val="0"/>
                <w:szCs w:val="21"/>
              </w:rPr>
              <w:t xml:space="preserve">       </w:t>
            </w:r>
            <w:r>
              <w:rPr>
                <w:rFonts w:hint="eastAsia" w:ascii="宋体" w:hAnsi="宋体" w:cs="宋体"/>
                <w:color w:val="000000"/>
                <w:kern w:val="0"/>
                <w:szCs w:val="21"/>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344" w:type="dxa"/>
            <w:vMerge w:val="continue"/>
            <w:vAlign w:val="center"/>
          </w:tcPr>
          <w:p>
            <w:pPr>
              <w:spacing w:line="300" w:lineRule="exact"/>
              <w:jc w:val="center"/>
              <w:rPr>
                <w:rFonts w:ascii="宋体"/>
                <w:szCs w:val="21"/>
              </w:rPr>
            </w:pPr>
          </w:p>
        </w:tc>
        <w:tc>
          <w:tcPr>
            <w:tcW w:w="7921" w:type="dxa"/>
            <w:gridSpan w:val="14"/>
          </w:tcPr>
          <w:p>
            <w:pPr>
              <w:spacing w:line="260" w:lineRule="exact"/>
              <w:rPr>
                <w:rFonts w:ascii="宋体"/>
                <w:color w:val="000000"/>
                <w:kern w:val="0"/>
                <w:szCs w:val="21"/>
              </w:rPr>
            </w:pPr>
            <w:r>
              <w:rPr>
                <w:rFonts w:ascii="宋体" w:hAnsi="宋体" w:cs="宋体"/>
                <w:color w:val="000000"/>
                <w:kern w:val="0"/>
                <w:szCs w:val="21"/>
              </w:rPr>
              <w:t>100-90</w:t>
            </w:r>
            <w:r>
              <w:rPr>
                <w:rFonts w:hint="eastAsia" w:ascii="宋体" w:hAnsi="宋体" w:cs="宋体"/>
                <w:color w:val="000000"/>
                <w:kern w:val="0"/>
                <w:szCs w:val="21"/>
              </w:rPr>
              <w:t>（含）分为优、</w:t>
            </w:r>
            <w:r>
              <w:rPr>
                <w:rFonts w:ascii="宋体" w:hAnsi="宋体" w:cs="宋体"/>
                <w:color w:val="000000"/>
                <w:kern w:val="0"/>
                <w:szCs w:val="21"/>
              </w:rPr>
              <w:t>90-80</w:t>
            </w:r>
            <w:r>
              <w:rPr>
                <w:rFonts w:hint="eastAsia" w:ascii="宋体" w:hAnsi="宋体" w:cs="宋体"/>
                <w:color w:val="000000"/>
                <w:kern w:val="0"/>
                <w:szCs w:val="21"/>
              </w:rPr>
              <w:t>（含）分为良、</w:t>
            </w:r>
            <w:r>
              <w:rPr>
                <w:rFonts w:ascii="宋体" w:hAnsi="宋体" w:cs="宋体"/>
                <w:color w:val="000000"/>
                <w:kern w:val="0"/>
                <w:szCs w:val="21"/>
              </w:rPr>
              <w:t>80-60</w:t>
            </w:r>
            <w:r>
              <w:rPr>
                <w:rFonts w:hint="eastAsia" w:ascii="宋体" w:hAnsi="宋体" w:cs="宋体"/>
                <w:color w:val="000000"/>
                <w:kern w:val="0"/>
                <w:szCs w:val="21"/>
              </w:rPr>
              <w:t>（含）分为中、</w:t>
            </w:r>
            <w:r>
              <w:rPr>
                <w:rFonts w:ascii="宋体" w:hAnsi="宋体" w:cs="宋体"/>
                <w:color w:val="000000"/>
                <w:kern w:val="0"/>
                <w:szCs w:val="21"/>
              </w:rPr>
              <w:t>60</w:t>
            </w:r>
            <w:r>
              <w:rPr>
                <w:rFonts w:hint="eastAsia" w:ascii="宋体" w:hAnsi="宋体" w:cs="宋体"/>
                <w:color w:val="000000"/>
                <w:kern w:val="0"/>
                <w:szCs w:val="21"/>
              </w:rPr>
              <w:t>分以下为差</w:t>
            </w:r>
          </w:p>
        </w:tc>
      </w:tr>
    </w:tbl>
    <w:p>
      <w:r>
        <w:rPr>
          <w:rFonts w:hint="eastAsia" w:ascii="仿宋_GB2312" w:hAnsi="仿宋" w:eastAsia="仿宋_GB2312" w:cs="仿宋_GB2312"/>
          <w:szCs w:val="21"/>
        </w:rPr>
        <w:t>注：指标可参考财政部《项目支出绩效评价管理办法》中附件</w:t>
      </w:r>
      <w:r>
        <w:rPr>
          <w:rFonts w:ascii="仿宋_GB2312" w:hAnsi="仿宋" w:eastAsia="仿宋_GB2312" w:cs="仿宋_GB2312"/>
          <w:szCs w:val="21"/>
        </w:rPr>
        <w:t>2</w:t>
      </w:r>
      <w:r>
        <w:rPr>
          <w:rFonts w:hint="eastAsia" w:ascii="仿宋_GB2312" w:hAnsi="仿宋" w:eastAsia="仿宋_GB2312" w:cs="仿宋_GB2312"/>
          <w:szCs w:val="21"/>
        </w:rPr>
        <w:t>：《项目支出绩效评价指标体系框架》设置。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4D3923-4DE6-46C6-9C15-8A5441245AB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72E406B4-106A-4C98-AED4-2F52D8A604ED}"/>
  </w:font>
  <w:font w:name="仿宋">
    <w:panose1 w:val="02010609060101010101"/>
    <w:charset w:val="86"/>
    <w:family w:val="auto"/>
    <w:pitch w:val="default"/>
    <w:sig w:usb0="800002BF" w:usb1="38CF7CFA" w:usb2="00000016" w:usb3="00000000" w:csb0="00040001" w:csb1="00000000"/>
    <w:embedRegular r:id="rId3" w:fontKey="{CC758A68-023E-4370-8324-BF5E36A310B3}"/>
  </w:font>
  <w:font w:name="方正小标宋简体">
    <w:panose1 w:val="02000000000000000000"/>
    <w:charset w:val="86"/>
    <w:family w:val="auto"/>
    <w:pitch w:val="default"/>
    <w:sig w:usb0="00000001" w:usb1="08000000" w:usb2="00000000" w:usb3="00000000" w:csb0="00040000" w:csb1="00000000"/>
    <w:embedRegular r:id="rId4" w:fontKey="{3FB3B635-5BE7-4188-80DF-9308C556829A}"/>
  </w:font>
  <w:font w:name="仿宋_GB2312">
    <w:altName w:val="仿宋"/>
    <w:panose1 w:val="02010609030101010101"/>
    <w:charset w:val="86"/>
    <w:family w:val="modern"/>
    <w:pitch w:val="default"/>
    <w:sig w:usb0="00000000" w:usb1="00000000" w:usb2="00000010" w:usb3="00000000" w:csb0="00040000" w:csb1="00000000"/>
    <w:embedRegular r:id="rId5" w:fontKey="{246FB0BC-8195-4C28-8B9B-9D50B5A4DDB9}"/>
  </w:font>
  <w:font w:name="楷体_GB2312">
    <w:altName w:val="楷体"/>
    <w:panose1 w:val="02010609030101010101"/>
    <w:charset w:val="86"/>
    <w:family w:val="modern"/>
    <w:pitch w:val="default"/>
    <w:sig w:usb0="00000000" w:usb1="00000000" w:usb2="00000010" w:usb3="00000000" w:csb0="00040000" w:csb1="00000000"/>
    <w:embedRegular r:id="rId6" w:fontKey="{6A208F7C-B3B0-45DE-9414-7F059A76652F}"/>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27AED"/>
    <w:multiLevelType w:val="singleLevel"/>
    <w:tmpl w:val="4BD27AED"/>
    <w:lvl w:ilvl="0" w:tentative="0">
      <w:start w:val="3"/>
      <w:numFmt w:val="chineseCounting"/>
      <w:suff w:val="nothing"/>
      <w:lvlText w:val="%1、"/>
      <w:lvlJc w:val="left"/>
      <w:rPr>
        <w:rFonts w:hint="eastAsia"/>
      </w:rPr>
    </w:lvl>
  </w:abstractNum>
  <w:abstractNum w:abstractNumId="1">
    <w:nsid w:val="7B55A285"/>
    <w:multiLevelType w:val="singleLevel"/>
    <w:tmpl w:val="7B55A28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yZWY1MmE4YjhkZTEyNjY3ZWUwNGE1MDg3ODYyMWMifQ=="/>
  </w:docVars>
  <w:rsids>
    <w:rsidRoot w:val="3B396A24"/>
    <w:rsid w:val="01FA70D1"/>
    <w:rsid w:val="0E403413"/>
    <w:rsid w:val="0FB43142"/>
    <w:rsid w:val="11457119"/>
    <w:rsid w:val="121D1E44"/>
    <w:rsid w:val="15CA5E3E"/>
    <w:rsid w:val="28F9286B"/>
    <w:rsid w:val="368D0A96"/>
    <w:rsid w:val="374E6478"/>
    <w:rsid w:val="3A5C5A79"/>
    <w:rsid w:val="3B396A24"/>
    <w:rsid w:val="3F495003"/>
    <w:rsid w:val="43DF6B4D"/>
    <w:rsid w:val="504D083B"/>
    <w:rsid w:val="531C3FD4"/>
    <w:rsid w:val="5AE12BFC"/>
    <w:rsid w:val="6350137D"/>
    <w:rsid w:val="6621369A"/>
    <w:rsid w:val="6A795D6A"/>
    <w:rsid w:val="7537210A"/>
    <w:rsid w:val="78DE29FC"/>
    <w:rsid w:val="7B753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2464</Words>
  <Characters>2705</Characters>
  <Lines>0</Lines>
  <Paragraphs>0</Paragraphs>
  <TotalTime>2</TotalTime>
  <ScaleCrop>false</ScaleCrop>
  <LinksUpToDate>false</LinksUpToDate>
  <CharactersWithSpaces>2930</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2022-06-14T02:43:00Z</dcterms:created>
  <dc:creator>张嘴吃药</dc:creator>
  <cp:lastModifiedBy>张嘴吃药</cp:lastModifiedBy>
  <dcterms:modified xsi:type="dcterms:W3CDTF">2022-06-14T08:19:53Z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45935C050A20409A8F91B9C5DEE87003</vt:lpwstr>
  </property>
</Properties>
</file>