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楷体_GB2312" w:hAnsi="方正大标宋简体" w:eastAsia="楷体_GB2312"/>
          <w:b/>
          <w:bCs/>
          <w:sz w:val="30"/>
          <w:szCs w:val="30"/>
        </w:rPr>
      </w:pPr>
      <w:r>
        <w:rPr>
          <w:rFonts w:hint="eastAsia" w:ascii="楷体_GB2312" w:hAnsi="方正大标宋简体" w:eastAsia="楷体_GB2312" w:cs="楷体_GB2312"/>
          <w:b/>
          <w:bCs/>
          <w:sz w:val="30"/>
          <w:szCs w:val="30"/>
        </w:rPr>
        <w:t>附件</w:t>
      </w:r>
      <w:r>
        <w:rPr>
          <w:rFonts w:ascii="楷体_GB2312" w:hAnsi="方正大标宋简体" w:eastAsia="楷体_GB2312" w:cs="楷体_GB2312"/>
          <w:b/>
          <w:bCs/>
          <w:sz w:val="30"/>
          <w:szCs w:val="30"/>
        </w:rPr>
        <w:t>1</w:t>
      </w:r>
      <w:r>
        <w:rPr>
          <w:rFonts w:hint="eastAsia" w:ascii="楷体_GB2312" w:hAnsi="方正大标宋简体" w:eastAsia="楷体_GB2312" w:cs="楷体_GB2312"/>
          <w:b/>
          <w:bCs/>
          <w:sz w:val="30"/>
          <w:szCs w:val="30"/>
        </w:rPr>
        <w:t>：</w:t>
      </w:r>
    </w:p>
    <w:p>
      <w:pPr>
        <w:spacing w:line="600" w:lineRule="exact"/>
        <w:jc w:val="center"/>
        <w:rPr>
          <w:rFonts w:ascii="方正大标宋简体" w:hAnsi="方正大标宋简体" w:eastAsia="方正大标宋简体"/>
          <w:sz w:val="44"/>
          <w:szCs w:val="44"/>
        </w:rPr>
      </w:pPr>
    </w:p>
    <w:p>
      <w:pPr>
        <w:spacing w:line="600" w:lineRule="exact"/>
        <w:jc w:val="center"/>
        <w:rPr>
          <w:rFonts w:ascii="方正大标宋简体" w:hAnsi="方正大标宋简体" w:eastAsia="方正大标宋简体"/>
          <w:sz w:val="44"/>
          <w:szCs w:val="44"/>
        </w:rPr>
      </w:pPr>
      <w:r>
        <w:rPr>
          <w:rFonts w:ascii="方正大标宋简体" w:hAnsi="方正大标宋简体" w:eastAsia="方正大标宋简体" w:cs="方正大标宋简体"/>
          <w:sz w:val="44"/>
          <w:szCs w:val="44"/>
        </w:rPr>
        <w:t>浮梁县审计局2017</w:t>
      </w:r>
      <w:r>
        <w:rPr>
          <w:rFonts w:hint="eastAsia" w:ascii="方正大标宋简体" w:hAnsi="方正大标宋简体" w:eastAsia="方正大标宋简体" w:cs="方正大标宋简体"/>
          <w:sz w:val="44"/>
          <w:szCs w:val="44"/>
        </w:rPr>
        <w:t>年度部门决算</w:t>
      </w:r>
    </w:p>
    <w:p>
      <w:pPr>
        <w:spacing w:line="600" w:lineRule="exact"/>
        <w:jc w:val="center"/>
        <w:rPr>
          <w:rFonts w:ascii="黑体" w:eastAsia="黑体"/>
          <w:sz w:val="44"/>
          <w:szCs w:val="44"/>
        </w:rPr>
      </w:pPr>
    </w:p>
    <w:p>
      <w:pPr>
        <w:spacing w:line="600" w:lineRule="exact"/>
        <w:jc w:val="center"/>
        <w:rPr>
          <w:rFonts w:ascii="楷体_GB2312" w:hAnsi="楷体_GB2312" w:eastAsia="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pPr>
        <w:widowControl/>
        <w:spacing w:line="600" w:lineRule="exact"/>
        <w:ind w:firstLine="640"/>
        <w:jc w:val="left"/>
        <w:rPr>
          <w:rFonts w:ascii="仿宋_GB2312" w:eastAsia="仿宋_GB2312"/>
          <w:sz w:val="32"/>
          <w:szCs w:val="32"/>
        </w:rPr>
      </w:pPr>
    </w:p>
    <w:p>
      <w:pPr>
        <w:widowControl/>
        <w:spacing w:line="660" w:lineRule="exact"/>
        <w:ind w:firstLine="640"/>
        <w:jc w:val="left"/>
        <w:rPr>
          <w:rFonts w:ascii="黑体" w:hAnsi="黑体" w:eastAsia="黑体"/>
          <w:b/>
          <w:bCs/>
          <w:sz w:val="32"/>
          <w:szCs w:val="32"/>
        </w:rPr>
      </w:pPr>
      <w:r>
        <w:rPr>
          <w:rFonts w:hint="eastAsia" w:ascii="黑体" w:hAnsi="黑体" w:eastAsia="黑体" w:cs="黑体"/>
          <w:sz w:val="32"/>
          <w:szCs w:val="32"/>
        </w:rPr>
        <w:t>第一部分</w:t>
      </w:r>
      <w:r>
        <w:rPr>
          <w:rFonts w:ascii="黑体" w:hAnsi="黑体" w:eastAsia="黑体" w:cs="黑体"/>
          <w:b/>
          <w:bCs/>
          <w:sz w:val="32"/>
          <w:szCs w:val="32"/>
        </w:rPr>
        <w:t xml:space="preserve">  </w:t>
      </w:r>
      <w:r>
        <w:rPr>
          <w:rFonts w:ascii="黑体" w:hAnsi="黑体" w:eastAsia="黑体" w:cs="黑体"/>
          <w:bCs/>
          <w:sz w:val="32"/>
          <w:szCs w:val="32"/>
        </w:rPr>
        <w:t>浮梁县审计局</w:t>
      </w:r>
      <w:r>
        <w:rPr>
          <w:rFonts w:hint="eastAsia" w:ascii="黑体" w:hAnsi="黑体" w:eastAsia="黑体" w:cs="黑体"/>
          <w:sz w:val="32"/>
          <w:szCs w:val="32"/>
        </w:rPr>
        <w:t>概况</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一、部门主要职责</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二、部门基本情况</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二、收入决算表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三、支出决算表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四、财政拨款收入支出决算总表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五、一般公共预算财政拨款支出决算表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六、一般公共预算财政拨款基本支出决算表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七、一般公共预算财政拨款“三公”经费支出决算</w:t>
      </w:r>
    </w:p>
    <w:p>
      <w:pPr>
        <w:widowControl/>
        <w:spacing w:line="6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八、政府性基金预算财政拨款收入支出决算表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九、国有资产占用情况表</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kern w:val="0"/>
          <w:sz w:val="32"/>
          <w:szCs w:val="32"/>
        </w:rPr>
        <w:t xml:space="preserve">    </w:t>
      </w: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三、财政拨款支出决算情况说明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四、一般公共预算财政拨款基本支出决算情况说明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五、一般公共预算财政拨款“三公”经费支出决算</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六、机关运行经费支出情况说明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七、政府采购支出情况说明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八、预算绩效情况说明</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浮梁县审计局</w:t>
      </w:r>
      <w:r>
        <w:rPr>
          <w:rFonts w:hint="eastAsia" w:ascii="黑体" w:hAnsi="黑体" w:eastAsia="黑体" w:cs="黑体"/>
          <w:sz w:val="32"/>
          <w:szCs w:val="32"/>
        </w:rPr>
        <w:t>概况</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一、部门主要职能</w:t>
      </w:r>
    </w:p>
    <w:p>
      <w:pPr>
        <w:spacing w:line="580" w:lineRule="exact"/>
        <w:ind w:firstLine="629"/>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贯彻执行国家、省和市有关审计工作的方针政策和法律法规，拟定本县审计业务规章制度，制定并组织实施审计工作发展规划、专业领域审计工作规划和年度审计计划，对直接审计、调查和核实的事项依法进行审计评价，做出审计决定或提出审计意见和建议。</w:t>
      </w:r>
    </w:p>
    <w:p>
      <w:pPr>
        <w:spacing w:line="580" w:lineRule="exact"/>
        <w:ind w:firstLine="629"/>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负责对县本级财政收支和法律法规规定的属于审计范围的财务收支的真实、合法和效益进行审计监督，维护经济秩序，提高财政资金使用效益，促进廉政建设，保障国民经济和社会健康发展，对审计、专项审计调查和核实审计监督范围的社会审计机构出具的相关审计报告的结果承担责任，并负有督促被审计单位整改的责任。</w:t>
      </w:r>
    </w:p>
    <w:p>
      <w:pPr>
        <w:spacing w:line="580" w:lineRule="exact"/>
        <w:ind w:firstLine="629"/>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（三）向县人民政府和市审计局提出年度县本级预算执行和其他财政收支情况的审计结果报告，受县人民政府委托向人大常委会提出县本级预算执行和其他财政收支情况的审计工作报告。</w:t>
      </w:r>
    </w:p>
    <w:p>
      <w:pPr>
        <w:spacing w:line="580" w:lineRule="exact"/>
        <w:ind w:firstLine="629"/>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（四）直接审计管辖范围内事项并出具审计报告，在法定职权范围内作出审计决定或向有关主管机关提出处理处罚的意见和建议等。</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二、部门基本情况</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纳入本套部门决算汇编范围的单位共1个。</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本部门</w:t>
      </w:r>
      <w:r>
        <w:rPr>
          <w:rFonts w:ascii="仿宋_GB2312" w:hAnsi="仿宋_GB2312" w:eastAsia="仿宋_GB2312" w:cs="仿宋_GB2312"/>
          <w:sz w:val="30"/>
          <w:szCs w:val="30"/>
        </w:rPr>
        <w:t>2017</w:t>
      </w:r>
      <w:r>
        <w:rPr>
          <w:rFonts w:hint="eastAsia" w:ascii="仿宋_GB2312" w:hAnsi="仿宋_GB2312" w:eastAsia="仿宋_GB2312" w:cs="仿宋_GB2312"/>
          <w:sz w:val="30"/>
          <w:szCs w:val="30"/>
        </w:rPr>
        <w:t>年年末编制人数16人，其中行政编制10人，事业编制6人；年末实有人数36人，其中在职人员28人，离休人员0人，退休人员8人；年末学生人数0人。</w:t>
      </w:r>
    </w:p>
    <w:p>
      <w:pPr>
        <w:spacing w:line="240" w:lineRule="exact"/>
        <w:ind w:firstLine="629"/>
        <w:jc w:val="left"/>
        <w:rPr>
          <w:rFonts w:ascii="仿宋_GB2312" w:hAnsi="仿宋_GB2312" w:eastAsia="仿宋_GB2312"/>
          <w:sz w:val="30"/>
          <w:szCs w:val="30"/>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spacing w:line="580" w:lineRule="exact"/>
        <w:ind w:firstLine="629"/>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见附表</w:t>
      </w: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240" w:lineRule="exact"/>
        <w:jc w:val="center"/>
        <w:rPr>
          <w:rFonts w:ascii="黑体" w:hAnsi="黑体" w:eastAsia="黑体"/>
          <w:b/>
          <w:bCs/>
          <w:sz w:val="32"/>
          <w:szCs w:val="32"/>
        </w:rPr>
      </w:pPr>
    </w:p>
    <w:p>
      <w:pPr>
        <w:widowControl/>
        <w:spacing w:line="600" w:lineRule="exact"/>
        <w:ind w:firstLine="640" w:firstLineChars="200"/>
        <w:rPr>
          <w:rFonts w:ascii="黑体" w:hAnsi="黑体" w:eastAsia="黑体"/>
          <w:sz w:val="32"/>
          <w:szCs w:val="32"/>
        </w:rPr>
      </w:pPr>
      <w:r>
        <w:rPr>
          <w:rFonts w:hint="eastAsia" w:ascii="黑体" w:hAnsi="黑体" w:eastAsia="黑体" w:cs="黑体"/>
          <w:sz w:val="32"/>
          <w:szCs w:val="32"/>
        </w:rPr>
        <w:t>一、收入决算情况说明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年度收入总计</w:t>
      </w:r>
      <w:r>
        <w:rPr>
          <w:rFonts w:ascii="仿宋_GB2312" w:hAnsi="仿宋_GB2312" w:eastAsia="仿宋_GB2312" w:cs="仿宋_GB2312"/>
          <w:sz w:val="32"/>
          <w:szCs w:val="32"/>
        </w:rPr>
        <w:t>392</w:t>
      </w:r>
      <w:r>
        <w:rPr>
          <w:rFonts w:hint="eastAsia" w:ascii="仿宋_GB2312" w:hAnsi="仿宋_GB2312" w:eastAsia="仿宋_GB2312" w:cs="仿宋_GB2312"/>
          <w:sz w:val="32"/>
          <w:szCs w:val="32"/>
        </w:rPr>
        <w:t>万元，其中年初结转和结余0万元，较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年增加14万元，增长3.78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；本年收入合计</w:t>
      </w:r>
      <w:r>
        <w:rPr>
          <w:rFonts w:ascii="仿宋_GB2312" w:hAnsi="仿宋_GB2312" w:eastAsia="仿宋_GB2312" w:cs="仿宋_GB2312"/>
          <w:sz w:val="32"/>
          <w:szCs w:val="32"/>
        </w:rPr>
        <w:t>392</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年增加14万元，增长3.78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，主要原因是上缴财政款增加。</w:t>
      </w:r>
    </w:p>
    <w:p>
      <w:pPr>
        <w:pStyle w:val="7"/>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本年收入的具体构成为：财政拨款收入392万元，占100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；事业收入0万元，占0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；经营收入0万元，占0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；其他收入0万元，占0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ind w:firstLine="630"/>
        <w:jc w:val="left"/>
        <w:rPr>
          <w:rFonts w:ascii="黑体" w:hAnsi="黑体" w:eastAsia="黑体"/>
          <w:sz w:val="32"/>
          <w:szCs w:val="32"/>
        </w:rPr>
      </w:pPr>
      <w:r>
        <w:rPr>
          <w:rFonts w:hint="eastAsia" w:ascii="黑体" w:hAnsi="黑体" w:eastAsia="黑体" w:cs="黑体"/>
          <w:sz w:val="32"/>
          <w:szCs w:val="32"/>
        </w:rPr>
        <w:t>二、支出决算情况说明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年度支出总计392万元，其中本年支出合计392万元，较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年增加14万元，增长3.78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，主要原因是人员经费增加，年末结转和结余0万元，较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年增加14万元，增长3.78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，主要原因是人员经费增加。</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本年支出的具体构成为：基本支出368万元，占93.9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；项目支出24万元，占6.1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；经营支出0万元，占0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；其他支出（对附属单位补助支出、上缴上级支出）0万元，占0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ind w:firstLine="630"/>
        <w:jc w:val="left"/>
        <w:rPr>
          <w:rFonts w:ascii="黑体" w:hAnsi="黑体" w:eastAsia="黑体"/>
          <w:sz w:val="32"/>
          <w:szCs w:val="32"/>
        </w:rPr>
      </w:pPr>
      <w:r>
        <w:rPr>
          <w:rFonts w:hint="eastAsia" w:ascii="黑体" w:hAnsi="黑体" w:eastAsia="黑体" w:cs="黑体"/>
          <w:sz w:val="32"/>
          <w:szCs w:val="32"/>
        </w:rPr>
        <w:t>三、财政拨款支出决算情况说明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年度财政拨款本年支出年初预算数为</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万元，决算数为392万元，完成年初预算的1</w:t>
      </w:r>
      <w:r>
        <w:rPr>
          <w:rFonts w:hint="eastAsia" w:ascii="仿宋_GB2312" w:hAnsi="仿宋_GB2312" w:eastAsia="仿宋_GB2312" w:cs="仿宋_GB2312"/>
          <w:sz w:val="32"/>
          <w:szCs w:val="32"/>
          <w:lang w:val="en-US" w:eastAsia="zh-CN"/>
        </w:rPr>
        <w:t>97.98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（一）一般公共服务支出年初预算数为</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万元，决算数为390万元，完成年初预算的</w:t>
      </w:r>
      <w:r>
        <w:rPr>
          <w:rFonts w:hint="eastAsia" w:ascii="仿宋_GB2312" w:hAnsi="仿宋_GB2312" w:eastAsia="仿宋_GB2312" w:cs="仿宋_GB2312"/>
          <w:sz w:val="32"/>
          <w:szCs w:val="32"/>
          <w:lang w:val="en-US" w:eastAsia="zh-CN"/>
        </w:rPr>
        <w:t>196.97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人员变动、日常经费开支增加。</w:t>
      </w:r>
    </w:p>
    <w:p>
      <w:pPr>
        <w:pStyle w:val="7"/>
        <w:spacing w:line="560" w:lineRule="exact"/>
        <w:ind w:firstLine="601"/>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住房保障</w:t>
      </w:r>
      <w:r>
        <w:rPr>
          <w:rFonts w:hint="eastAsia" w:ascii="仿宋_GB2312" w:hAnsi="仿宋_GB2312" w:eastAsia="仿宋_GB2312" w:cs="仿宋_GB2312"/>
          <w:sz w:val="32"/>
          <w:szCs w:val="32"/>
        </w:rPr>
        <w:t>支出年初预算数为0万元，决算数为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，主要原因是：决算报表未填年初预算。</w:t>
      </w:r>
      <w:bookmarkStart w:id="0" w:name="_GoBack"/>
      <w:bookmarkEnd w:id="0"/>
    </w:p>
    <w:p>
      <w:pPr>
        <w:ind w:firstLine="630"/>
        <w:jc w:val="left"/>
        <w:rPr>
          <w:rFonts w:ascii="黑体" w:hAnsi="黑体" w:eastAsia="黑体"/>
          <w:sz w:val="32"/>
          <w:szCs w:val="32"/>
        </w:rPr>
      </w:pPr>
      <w:r>
        <w:rPr>
          <w:rFonts w:hint="eastAsia" w:ascii="黑体" w:hAnsi="黑体" w:eastAsia="黑体" w:cs="黑体"/>
          <w:sz w:val="32"/>
          <w:szCs w:val="32"/>
        </w:rPr>
        <w:t>四、一般公共预算财政拨款基本支出决算情况说明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年度一般公共预算财政拨款基本支出368万元，其中：</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（一）工资福利支出127万元，较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年减少120万元，下降86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，主要原因是局工作人员调整且退休人员工资转至社保发放。</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（二）商品和服务支出199万元，较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年增加68万元，增长52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，主要原因是审计项目增加，日常经费支出增加。</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（三）对个人和家庭补助支出16万元，较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年增加11万元，增长220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，主要原因是对个人和家庭的补助的次数增加。</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（四）其他资本性支出26万元，较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年增加26万元，主要原因是专用办公设备购置等。</w:t>
      </w:r>
    </w:p>
    <w:p>
      <w:pPr>
        <w:pStyle w:val="7"/>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五、一般公共预算财政拨款“三公”经费支出决算情况说明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年度一般公共预算财政拨款“三公”经费支出年初预算数为16万元，决算数为9.5万元，完成预算的59.4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年增加10万元，增长166.6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（一）因公出国（境）支出年初预算数为0万元，决算数为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年增加0万元，增长0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。主要原因是未因公出国。</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（二）公务接待费支出年初预算数为9.5万元，决算数为16万元，完成预算的59.4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年增加3.9万元，增长69.6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。主要原因是调整预算，招待支出增加。</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（三）公务用车购置及运行维护费支出0万元，其中公务用车购置年初预算数为0万元，决算数为0万元，完成预算的0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年减少1万元，下降100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。主要原因是未购置公车；公务用车运行维护费支出年初预算数为0万元，决算数为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0万元，完成预算的0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年减少1万元，下降100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。主要原因是运行费用减少。</w:t>
      </w:r>
    </w:p>
    <w:p>
      <w:pPr>
        <w:pStyle w:val="7"/>
        <w:spacing w:line="560" w:lineRule="exact"/>
        <w:ind w:firstLine="601"/>
        <w:rPr>
          <w:rFonts w:ascii="黑体" w:hAnsi="黑体" w:eastAsia="黑体"/>
          <w:kern w:val="2"/>
          <w:sz w:val="32"/>
          <w:szCs w:val="32"/>
        </w:rPr>
      </w:pPr>
      <w:r>
        <w:rPr>
          <w:rFonts w:hint="eastAsia" w:ascii="黑体" w:hAnsi="黑体" w:eastAsia="黑体" w:cs="黑体"/>
          <w:kern w:val="2"/>
          <w:sz w:val="32"/>
          <w:szCs w:val="32"/>
        </w:rPr>
        <w:t>六、机关运行经费支出情况说明</w:t>
      </w:r>
    </w:p>
    <w:p>
      <w:pPr>
        <w:pStyle w:val="7"/>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年度机关运行经费支出199万元（与部门决算中行政单位和参照公务员法管理事业单位一般公共预算财政拨款基本支出中公用经费保持一致），较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年增加68万元，增长52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，主要原因是审计项目增加，日常经费支出增加。</w:t>
      </w:r>
      <w:r>
        <w:rPr>
          <w:rFonts w:ascii="仿宋_GB2312" w:hAnsi="仿宋_GB2312" w:eastAsia="仿宋_GB2312" w:cs="仿宋_GB2312"/>
          <w:sz w:val="32"/>
          <w:szCs w:val="32"/>
        </w:rPr>
        <w:t xml:space="preserve"> </w:t>
      </w:r>
    </w:p>
    <w:p>
      <w:pPr>
        <w:pStyle w:val="7"/>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七、政府采购支出情况说明</w:t>
      </w:r>
    </w:p>
    <w:p>
      <w:pPr>
        <w:pStyle w:val="7"/>
        <w:spacing w:line="600" w:lineRule="exact"/>
        <w:ind w:firstLine="600"/>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年度政府采购支出总额0万元，其中：政府采购货物支出0万元、政府采购工程支出0万元、政府采购服务支出0万元。授予中小企业合同金额0万元，占政府采购支出总额的0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，其中：授予小微企业合同金额0万元，占政府采购支出总额的0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。（市级部门公开的政府采购金额的计算口径为：本部门纳入</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年部门预算范围的各项政府采购支出金额之和，并做好与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年度政府采购信息统计报表中“政府采购资金情况表”有关数据的衔接。）</w:t>
      </w:r>
    </w:p>
    <w:p>
      <w:pPr>
        <w:spacing w:line="600" w:lineRule="exact"/>
        <w:ind w:firstLine="630"/>
        <w:jc w:val="left"/>
        <w:rPr>
          <w:rFonts w:ascii="黑体" w:hAnsi="黑体" w:eastAsia="黑体"/>
          <w:sz w:val="32"/>
          <w:szCs w:val="32"/>
        </w:rPr>
      </w:pPr>
      <w:r>
        <w:rPr>
          <w:rFonts w:hint="eastAsia" w:ascii="黑体" w:hAnsi="黑体" w:eastAsia="黑体" w:cs="黑体"/>
          <w:sz w:val="32"/>
          <w:szCs w:val="32"/>
        </w:rPr>
        <w:t>八、预算绩效情况说明</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（一）绩效管理工作开展情况。</w:t>
      </w:r>
    </w:p>
    <w:p>
      <w:pPr>
        <w:autoSpaceDE w:val="0"/>
        <w:autoSpaceDN w:val="0"/>
        <w:adjustRightInd w:val="0"/>
        <w:spacing w:line="600" w:lineRule="exact"/>
        <w:ind w:firstLine="6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根据预算绩效管理要求，我部门组织对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个，二级项目</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个，共涉及资金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万元，占一般公共预算项目支出总额的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个政府性基金预算项目支出开展绩效自评，共涉及资金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万元，占政府性基金预算项目支出总额的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共组织对“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个项目进行了重点绩效评价，涉及一般公共预算支出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万元，政府性基金预算支出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万元。其中，对“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”等项目分别委托“</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”等第三方机构开展绩效评价。从评价情况来看，……（请对预算绩效评价情况进行简单说明）。</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个部门（单位）开展整体支出绩效评价试点，涉及一般公共预算支出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万元，政府性基金预算支出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万元。其中，对“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”等部门（单位）整体支出分别委托“</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”等第三方机构开展绩效评价。从评价情况来看，……（请对整体支出绩效评价情况进行简单说明）。</w:t>
      </w:r>
    </w:p>
    <w:p>
      <w:pPr>
        <w:autoSpaceDE w:val="0"/>
        <w:autoSpaceDN w:val="0"/>
        <w:adjustRightInd w:val="0"/>
        <w:spacing w:line="600" w:lineRule="exact"/>
        <w:ind w:firstLine="585"/>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（二）部门决算中项目绩效自评结果（选择</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至</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个项目）。</w:t>
      </w:r>
    </w:p>
    <w:p>
      <w:pPr>
        <w:autoSpaceDE w:val="0"/>
        <w:autoSpaceDN w:val="0"/>
        <w:adjustRightInd w:val="0"/>
        <w:spacing w:line="600" w:lineRule="exact"/>
        <w:ind w:firstLine="585"/>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我部门今年在市市级部门决算中反映</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及</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项目绩效自评结果。</w:t>
      </w:r>
    </w:p>
    <w:p>
      <w:pPr>
        <w:autoSpaceDE w:val="0"/>
        <w:autoSpaceDN w:val="0"/>
        <w:adjustRightInd w:val="0"/>
        <w:spacing w:line="600" w:lineRule="exact"/>
        <w:ind w:firstLine="585"/>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项目绩效自评综述：根据年初设定的绩效目标，</w:t>
      </w:r>
      <w:r>
        <w:rPr>
          <w:rFonts w:ascii="仿宋_GB2312" w:hAnsi="仿宋_GB2312" w:eastAsia="仿宋_GB2312" w:cs="仿宋_GB2312"/>
          <w:kern w:val="0"/>
          <w:sz w:val="32"/>
          <w:szCs w:val="32"/>
        </w:rPr>
        <w:t xml:space="preserve">XXX </w:t>
      </w:r>
      <w:r>
        <w:rPr>
          <w:rFonts w:hint="eastAsia" w:ascii="仿宋_GB2312" w:hAnsi="仿宋_GB2312" w:eastAsia="仿宋_GB2312" w:cs="仿宋_GB2312"/>
          <w:kern w:val="0"/>
          <w:sz w:val="32"/>
          <w:szCs w:val="32"/>
        </w:rPr>
        <w:t>项目绩效自评得分为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分。项目全年预算数为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万元，执行数为</w:t>
      </w:r>
      <w:r>
        <w:rPr>
          <w:rFonts w:ascii="仿宋_GB2312" w:hAnsi="仿宋_GB2312" w:eastAsia="仿宋_GB2312" w:cs="仿宋_GB2312"/>
          <w:kern w:val="0"/>
          <w:sz w:val="32"/>
          <w:szCs w:val="32"/>
        </w:rPr>
        <w:t xml:space="preserve">   </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万元，完成预算的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。主要产出和效果：一是……；二是……。发现的问题及原因：一是……；二是……。下一步改进措施：一是……；二是……。</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XXX</w:t>
      </w:r>
      <w:r>
        <w:rPr>
          <w:rFonts w:hint="eastAsia" w:ascii="仿宋_GB2312" w:hAnsi="仿宋_GB2312" w:eastAsia="仿宋_GB2312" w:cs="仿宋_GB2312"/>
          <w:kern w:val="0"/>
          <w:sz w:val="32"/>
          <w:szCs w:val="32"/>
        </w:rPr>
        <w:t>项目绩效自评综述：……。</w:t>
      </w:r>
    </w:p>
    <w:p>
      <w:pPr>
        <w:autoSpaceDE w:val="0"/>
        <w:autoSpaceDN w:val="0"/>
        <w:adjustRightInd w:val="0"/>
        <w:spacing w:line="60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在公开项目绩效自评综述的同时，需公开《项目支出绩效自评表》。</w:t>
      </w:r>
    </w:p>
    <w:p>
      <w:pPr>
        <w:autoSpaceDE w:val="0"/>
        <w:autoSpaceDN w:val="0"/>
        <w:adjustRightInd w:val="0"/>
        <w:spacing w:line="600" w:lineRule="exact"/>
        <w:ind w:firstLine="641"/>
        <w:jc w:val="left"/>
        <w:rPr>
          <w:rFonts w:ascii="仿宋_GB2312" w:hAnsi="仿宋_GB2312" w:eastAsia="仿宋_GB2312"/>
          <w:kern w:val="0"/>
          <w:sz w:val="32"/>
          <w:szCs w:val="32"/>
        </w:rPr>
      </w:pPr>
    </w:p>
    <w:p>
      <w:pPr>
        <w:widowControl/>
        <w:spacing w:line="600" w:lineRule="exact"/>
        <w:ind w:firstLine="640"/>
        <w:jc w:val="center"/>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widowControl/>
        <w:spacing w:line="600" w:lineRule="exact"/>
        <w:ind w:firstLine="640"/>
        <w:jc w:val="center"/>
        <w:rPr>
          <w:rFonts w:ascii="黑体" w:hAnsi="黑体" w:eastAsia="黑体" w:cs="黑体"/>
          <w:sz w:val="10"/>
          <w:szCs w:val="10"/>
        </w:rPr>
      </w:pP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对部门决算中涉及的收入科目、支出功能分类科目（明细到项级），结合部门实际，参照《2017年政府收支分类科目》的规范说明进行解释。</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（一）财政拨款：指市级财政当年拨付的资金。</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（二）事业收入：指事业单位开展专业业务活动及辅助活动取得的收入。</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（三）行政运行：反映行政单位（包括参公单位）的基本支出。</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560" w:lineRule="exact"/>
        <w:ind w:firstLine="630"/>
        <w:jc w:val="left"/>
        <w:rPr>
          <w:rFonts w:ascii="仿宋_GB2312" w:hAnsi="仿宋_GB2312" w:eastAsia="仿宋_GB2312"/>
          <w:sz w:val="30"/>
          <w:szCs w:val="30"/>
        </w:rPr>
      </w:pPr>
    </w:p>
    <w:p>
      <w:pPr>
        <w:spacing w:line="560" w:lineRule="exact"/>
        <w:rPr>
          <w:rFonts w:ascii="仿宋_GB2312" w:hAnsi="仿宋_GB2312" w:eastAsia="仿宋_GB2312"/>
        </w:rPr>
      </w:pP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8</w: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369DD"/>
    <w:rsid w:val="0019655C"/>
    <w:rsid w:val="002940A1"/>
    <w:rsid w:val="002A2B58"/>
    <w:rsid w:val="002C526D"/>
    <w:rsid w:val="00352A28"/>
    <w:rsid w:val="0042453F"/>
    <w:rsid w:val="00487D11"/>
    <w:rsid w:val="00562B10"/>
    <w:rsid w:val="006C02EC"/>
    <w:rsid w:val="007D5DE4"/>
    <w:rsid w:val="00951DC7"/>
    <w:rsid w:val="00960F8B"/>
    <w:rsid w:val="009A1C9F"/>
    <w:rsid w:val="009C4963"/>
    <w:rsid w:val="009E20EE"/>
    <w:rsid w:val="00A6101F"/>
    <w:rsid w:val="00C6247D"/>
    <w:rsid w:val="00D032BD"/>
    <w:rsid w:val="00D3707B"/>
    <w:rsid w:val="00D51F7E"/>
    <w:rsid w:val="00DE7B48"/>
    <w:rsid w:val="00E207BC"/>
    <w:rsid w:val="00F0644B"/>
    <w:rsid w:val="00F369DD"/>
    <w:rsid w:val="00F5165F"/>
    <w:rsid w:val="00F76C24"/>
    <w:rsid w:val="044024ED"/>
    <w:rsid w:val="0E13271D"/>
    <w:rsid w:val="1631013A"/>
    <w:rsid w:val="33AB1D4A"/>
    <w:rsid w:val="3AA93ED6"/>
    <w:rsid w:val="43CF68D2"/>
    <w:rsid w:val="57661723"/>
    <w:rsid w:val="64863DDA"/>
    <w:rsid w:val="6C6F0E55"/>
    <w:rsid w:val="7A530A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paragraph" w:customStyle="1" w:styleId="7">
    <w:name w:val="p0"/>
    <w:basedOn w:val="1"/>
    <w:qFormat/>
    <w:uiPriority w:val="99"/>
    <w:pPr>
      <w:widowControl/>
    </w:pPr>
    <w:rPr>
      <w:kern w:val="0"/>
    </w:rPr>
  </w:style>
  <w:style w:type="character" w:customStyle="1" w:styleId="8">
    <w:name w:val="页脚 Char"/>
    <w:basedOn w:val="4"/>
    <w:link w:val="2"/>
    <w:semiHidden/>
    <w:qFormat/>
    <w:locked/>
    <w:uiPriority w:val="99"/>
    <w:rPr>
      <w:sz w:val="18"/>
      <w:szCs w:val="18"/>
    </w:rPr>
  </w:style>
  <w:style w:type="character" w:customStyle="1" w:styleId="9">
    <w:name w:val="页眉 Char"/>
    <w:basedOn w:val="4"/>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577</Words>
  <Characters>3289</Characters>
  <Lines>27</Lines>
  <Paragraphs>7</Paragraphs>
  <TotalTime>83</TotalTime>
  <ScaleCrop>false</ScaleCrop>
  <LinksUpToDate>false</LinksUpToDate>
  <CharactersWithSpaces>3859</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2018-10-23T03:03:00Z</dcterms:created>
  <dc:creator>qingshuiban</dc:creator>
  <cp:lastModifiedBy>Hong</cp:lastModifiedBy>
  <cp:lastPrinted>2018-09-21T08:13:00Z</cp:lastPrinted>
  <dcterms:modified xsi:type="dcterms:W3CDTF">2018-10-26T07:06:45Z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