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tblpY="-495"/>
        <w:tblW w:w="8537" w:type="dxa"/>
        <w:tblInd w:w="0" w:type="dxa"/>
        <w:tblLayout w:type="fixed"/>
        <w:tblCellMar>
          <w:top w:w="0" w:type="dxa"/>
          <w:left w:w="108" w:type="dxa"/>
          <w:bottom w:w="0" w:type="dxa"/>
          <w:right w:w="108" w:type="dxa"/>
        </w:tblCellMar>
      </w:tblPr>
      <w:tblGrid>
        <w:gridCol w:w="8537"/>
      </w:tblGrid>
      <w:tr>
        <w:tblPrEx>
          <w:tblLayout w:type="fixed"/>
          <w:tblCellMar>
            <w:top w:w="0" w:type="dxa"/>
            <w:left w:w="108" w:type="dxa"/>
            <w:bottom w:w="0" w:type="dxa"/>
            <w:right w:w="108" w:type="dxa"/>
          </w:tblCellMar>
        </w:tblPrEx>
        <w:trPr>
          <w:trHeight w:val="1521" w:hRule="atLeast"/>
        </w:trPr>
        <w:tc>
          <w:tcPr>
            <w:tcW w:w="8537" w:type="dxa"/>
            <w:tcBorders>
              <w:bottom w:val="single" w:color="4F81BD" w:sz="4" w:space="0"/>
            </w:tcBorders>
            <w:vAlign w:val="center"/>
          </w:tcPr>
          <w:p>
            <w:pPr>
              <w:pStyle w:val="7"/>
              <w:jc w:val="center"/>
              <w:rPr>
                <w:rFonts w:ascii="Cambria" w:hAnsi="Cambria"/>
                <w:sz w:val="80"/>
                <w:szCs w:val="80"/>
              </w:rPr>
            </w:pPr>
            <w:r>
              <w:rPr>
                <w:rFonts w:hint="eastAsia" w:ascii="Cambria" w:hAnsi="Cambria"/>
                <w:b/>
                <w:sz w:val="80"/>
                <w:szCs w:val="80"/>
              </w:rPr>
              <w:t>2016年部门决算</w:t>
            </w:r>
          </w:p>
        </w:tc>
      </w:tr>
      <w:tr>
        <w:tblPrEx>
          <w:tblLayout w:type="fixed"/>
          <w:tblCellMar>
            <w:top w:w="0" w:type="dxa"/>
            <w:left w:w="108" w:type="dxa"/>
            <w:bottom w:w="0" w:type="dxa"/>
            <w:right w:w="108" w:type="dxa"/>
          </w:tblCellMar>
        </w:tblPrEx>
        <w:trPr>
          <w:trHeight w:val="761" w:hRule="atLeast"/>
        </w:trPr>
        <w:tc>
          <w:tcPr>
            <w:tcW w:w="8537" w:type="dxa"/>
            <w:tcBorders>
              <w:top w:val="single" w:color="4F81BD" w:sz="4" w:space="0"/>
            </w:tcBorders>
            <w:vAlign w:val="center"/>
          </w:tcPr>
          <w:p>
            <w:pPr>
              <w:pStyle w:val="7"/>
              <w:jc w:val="center"/>
              <w:rPr>
                <w:rFonts w:ascii="Cambria" w:hAnsi="Cambria"/>
                <w:sz w:val="44"/>
                <w:szCs w:val="44"/>
              </w:rPr>
            </w:pP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7"/>
              <w:jc w:val="center"/>
            </w:pPr>
          </w:p>
          <w:p>
            <w:pPr>
              <w:pStyle w:val="7"/>
              <w:jc w:val="center"/>
            </w:pPr>
          </w:p>
          <w:p>
            <w:pPr>
              <w:pStyle w:val="7"/>
              <w:jc w:val="center"/>
            </w:pPr>
          </w:p>
          <w:p>
            <w:pPr>
              <w:pStyle w:val="7"/>
              <w:jc w:val="center"/>
            </w:pPr>
          </w:p>
          <w:p>
            <w:pPr>
              <w:pStyle w:val="7"/>
              <w:jc w:val="center"/>
            </w:pPr>
          </w:p>
        </w:tc>
      </w:tr>
      <w:tr>
        <w:tblPrEx>
          <w:tblLayout w:type="fixed"/>
          <w:tblCellMar>
            <w:top w:w="0" w:type="dxa"/>
            <w:left w:w="108" w:type="dxa"/>
            <w:bottom w:w="0" w:type="dxa"/>
            <w:right w:w="108" w:type="dxa"/>
          </w:tblCellMar>
        </w:tblPrEx>
        <w:trPr>
          <w:trHeight w:val="1513" w:hRule="atLeast"/>
        </w:trPr>
        <w:tc>
          <w:tcPr>
            <w:tcW w:w="8537" w:type="dxa"/>
            <w:vAlign w:val="center"/>
          </w:tcPr>
          <w:p>
            <w:pPr>
              <w:pStyle w:val="7"/>
              <w:rPr>
                <w:b/>
                <w:bCs/>
                <w:sz w:val="32"/>
                <w:szCs w:val="32"/>
              </w:rPr>
            </w:pPr>
            <w:r>
              <w:rPr>
                <w:rFonts w:hint="eastAsia"/>
                <w:b/>
                <w:bCs/>
                <w:sz w:val="32"/>
                <w:szCs w:val="32"/>
              </w:rPr>
              <w:t xml:space="preserve">           </w:t>
            </w:r>
          </w:p>
          <w:p>
            <w:pPr>
              <w:pStyle w:val="7"/>
              <w:rPr>
                <w:b/>
                <w:bCs/>
                <w:sz w:val="32"/>
                <w:szCs w:val="32"/>
              </w:rPr>
            </w:pPr>
          </w:p>
          <w:p>
            <w:pPr>
              <w:pStyle w:val="7"/>
              <w:rPr>
                <w:b/>
                <w:bCs/>
                <w:sz w:val="32"/>
                <w:szCs w:val="32"/>
              </w:rPr>
            </w:pPr>
          </w:p>
          <w:p>
            <w:pPr>
              <w:pStyle w:val="7"/>
              <w:rPr>
                <w:b/>
                <w:bCs/>
                <w:sz w:val="32"/>
                <w:szCs w:val="32"/>
              </w:rPr>
            </w:pPr>
          </w:p>
          <w:p>
            <w:pPr>
              <w:pStyle w:val="7"/>
              <w:ind w:firstLine="1767" w:firstLineChars="550"/>
              <w:rPr>
                <w:b/>
                <w:bCs/>
              </w:rPr>
            </w:pPr>
            <w:r>
              <w:rPr>
                <w:rFonts w:hint="eastAsia"/>
                <w:b/>
                <w:bCs/>
                <w:sz w:val="32"/>
                <w:szCs w:val="32"/>
              </w:rPr>
              <w:t>单位公章：</w:t>
            </w: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7"/>
              <w:rPr>
                <w:b/>
                <w:bCs/>
                <w:sz w:val="32"/>
                <w:szCs w:val="32"/>
              </w:rPr>
            </w:pPr>
            <w:r>
              <w:rPr>
                <w:rFonts w:hint="eastAsia"/>
                <w:b/>
                <w:bCs/>
                <w:sz w:val="32"/>
                <w:szCs w:val="32"/>
              </w:rPr>
              <w:t xml:space="preserve">           报送日期：</w:t>
            </w:r>
          </w:p>
        </w:tc>
      </w:tr>
    </w:tbl>
    <w:p>
      <w:pPr>
        <w:rPr>
          <w:sz w:val="32"/>
          <w:szCs w:val="32"/>
        </w:rPr>
      </w:pPr>
    </w:p>
    <w:p/>
    <w:p/>
    <w:tbl>
      <w:tblPr>
        <w:tblStyle w:val="5"/>
        <w:tblpPr w:leftFromText="187" w:rightFromText="187" w:vertAnchor="page" w:horzAnchor="margin" w:tblpY="12961"/>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trHeight w:val="80" w:hRule="atLeast"/>
        </w:trPr>
        <w:tc>
          <w:tcPr>
            <w:tcW w:w="8522" w:type="dxa"/>
          </w:tcPr>
          <w:p>
            <w:pPr>
              <w:pStyle w:val="7"/>
              <w:rPr>
                <w:rFonts w:ascii="宋体" w:hAnsi="宋体"/>
                <w:b/>
                <w:sz w:val="32"/>
                <w:szCs w:val="32"/>
              </w:rPr>
            </w:pPr>
            <w:r>
              <w:rPr>
                <w:rFonts w:hint="eastAsia" w:ascii="宋体" w:hAnsi="宋体"/>
                <w:b/>
                <w:sz w:val="32"/>
                <w:szCs w:val="32"/>
              </w:rPr>
              <w:t xml:space="preserve">单位负责人（签章）：    </w:t>
            </w:r>
          </w:p>
          <w:p>
            <w:pPr>
              <w:pStyle w:val="7"/>
              <w:rPr>
                <w:rFonts w:ascii="宋体" w:hAnsi="宋体"/>
                <w:b/>
                <w:sz w:val="32"/>
                <w:szCs w:val="32"/>
              </w:rPr>
            </w:pPr>
            <w:r>
              <w:rPr>
                <w:rFonts w:hint="eastAsia" w:ascii="宋体" w:hAnsi="宋体"/>
                <w:b/>
                <w:sz w:val="32"/>
                <w:szCs w:val="32"/>
              </w:rPr>
              <w:t xml:space="preserve"> </w:t>
            </w:r>
          </w:p>
          <w:p>
            <w:pPr>
              <w:pStyle w:val="7"/>
              <w:rPr>
                <w:sz w:val="32"/>
                <w:szCs w:val="32"/>
              </w:rPr>
            </w:pPr>
            <w:r>
              <w:rPr>
                <w:rFonts w:hint="eastAsia" w:ascii="宋体" w:hAnsi="宋体"/>
                <w:b/>
                <w:sz w:val="32"/>
                <w:szCs w:val="32"/>
              </w:rPr>
              <w:t>财务负责人（签章）：          经办人（签章）：</w:t>
            </w:r>
          </w:p>
        </w:tc>
      </w:tr>
    </w:tbl>
    <w:p>
      <w:pPr>
        <w:widowControl/>
        <w:spacing w:line="580" w:lineRule="exact"/>
        <w:jc w:val="center"/>
        <w:rPr>
          <w:rFonts w:ascii="宋体" w:hAnsi="宋体"/>
          <w:b/>
          <w:sz w:val="32"/>
          <w:szCs w:val="30"/>
        </w:rPr>
      </w:pPr>
    </w:p>
    <w:p>
      <w:pPr>
        <w:ind w:firstLine="630"/>
        <w:jc w:val="left"/>
        <w:rPr>
          <w:rFonts w:ascii="宋体" w:hAnsi="宋体"/>
          <w:b/>
          <w:sz w:val="32"/>
          <w:szCs w:val="30"/>
        </w:rPr>
      </w:pPr>
    </w:p>
    <w:p>
      <w:pPr>
        <w:ind w:firstLine="630"/>
        <w:jc w:val="left"/>
        <w:rPr>
          <w:rFonts w:ascii="宋体" w:hAnsi="宋体"/>
          <w:b/>
          <w:sz w:val="32"/>
          <w:szCs w:val="30"/>
        </w:rPr>
      </w:pPr>
    </w:p>
    <w:p>
      <w:pPr>
        <w:ind w:firstLine="630"/>
        <w:jc w:val="left"/>
        <w:rPr>
          <w:rFonts w:ascii="宋体" w:hAnsi="宋体"/>
          <w:b/>
          <w:sz w:val="32"/>
          <w:szCs w:val="30"/>
        </w:rPr>
      </w:pPr>
    </w:p>
    <w:p>
      <w:pPr>
        <w:ind w:firstLine="630"/>
        <w:jc w:val="left"/>
        <w:rPr>
          <w:rFonts w:ascii="宋体" w:hAnsi="宋体"/>
          <w:b/>
          <w:sz w:val="32"/>
          <w:szCs w:val="30"/>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580" w:lineRule="exact"/>
        <w:ind w:firstLine="640" w:firstLineChars="200"/>
        <w:jc w:val="left"/>
        <w:rPr>
          <w:rFonts w:ascii="黑体" w:hAnsi="黑体" w:eastAsia="黑体"/>
          <w:sz w:val="32"/>
          <w:szCs w:val="32"/>
        </w:rPr>
      </w:pPr>
      <w:r>
        <w:rPr>
          <w:rFonts w:hint="eastAsia" w:ascii="黑体" w:hAnsi="黑体" w:eastAsia="黑体"/>
          <w:sz w:val="32"/>
          <w:szCs w:val="32"/>
        </w:rPr>
        <w:t>第一部分  审计局概况</w:t>
      </w:r>
    </w:p>
    <w:p>
      <w:pPr>
        <w:widowControl/>
        <w:spacing w:line="58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一、部门主要职能</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580" w:lineRule="exact"/>
        <w:ind w:firstLine="640"/>
        <w:jc w:val="left"/>
        <w:rPr>
          <w:rFonts w:ascii="黑体" w:hAnsi="黑体" w:eastAsia="黑体"/>
          <w:sz w:val="32"/>
          <w:szCs w:val="32"/>
        </w:rPr>
      </w:pPr>
      <w:r>
        <w:rPr>
          <w:rFonts w:hint="eastAsia" w:ascii="黑体" w:hAnsi="黑体" w:eastAsia="黑体"/>
          <w:sz w:val="32"/>
          <w:szCs w:val="32"/>
        </w:rPr>
        <w:t>第二部分  审计局2016年部门决算情况说明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四、一般公共预算财政拨款“三公”经费支出决算情况说明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五、机关运行经费情况说明</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六、政府采购支出情况说明</w:t>
      </w:r>
    </w:p>
    <w:p>
      <w:pPr>
        <w:widowControl/>
        <w:spacing w:line="580" w:lineRule="exact"/>
        <w:ind w:firstLine="640"/>
        <w:jc w:val="left"/>
        <w:rPr>
          <w:rFonts w:ascii="仿宋" w:hAnsi="仿宋" w:eastAsia="仿宋"/>
          <w:sz w:val="32"/>
          <w:szCs w:val="30"/>
        </w:rPr>
      </w:pPr>
      <w:r>
        <w:rPr>
          <w:rFonts w:hint="eastAsia" w:ascii="仿宋" w:hAnsi="仿宋" w:eastAsia="仿宋"/>
          <w:sz w:val="32"/>
          <w:szCs w:val="30"/>
        </w:rPr>
        <w:t xml:space="preserve">    七、预算绩效管理工作开展情况说明</w:t>
      </w:r>
    </w:p>
    <w:p>
      <w:pPr>
        <w:widowControl/>
        <w:spacing w:line="580" w:lineRule="exact"/>
        <w:ind w:firstLine="640"/>
        <w:jc w:val="left"/>
        <w:rPr>
          <w:rFonts w:ascii="黑体" w:hAnsi="黑体" w:eastAsia="黑体"/>
          <w:sz w:val="32"/>
          <w:szCs w:val="32"/>
        </w:rPr>
      </w:pPr>
      <w:r>
        <w:rPr>
          <w:rFonts w:hint="eastAsia" w:ascii="黑体" w:hAnsi="黑体" w:eastAsia="黑体"/>
          <w:sz w:val="32"/>
          <w:szCs w:val="32"/>
        </w:rPr>
        <w:t>第三部分  审计局2016年部门决算表</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58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七、一般公共预算财政拨款“三公”经费支出决算表</w:t>
      </w:r>
    </w:p>
    <w:p>
      <w:pPr>
        <w:widowControl/>
        <w:spacing w:line="580" w:lineRule="exact"/>
        <w:ind w:firstLine="1280" w:firstLineChars="400"/>
        <w:jc w:val="left"/>
        <w:rPr>
          <w:rFonts w:ascii="仿宋" w:hAnsi="仿宋" w:eastAsia="仿宋" w:cs="宋体"/>
          <w:kern w:val="0"/>
          <w:sz w:val="32"/>
          <w:szCs w:val="32"/>
        </w:rPr>
      </w:pPr>
      <w:r>
        <w:rPr>
          <w:rFonts w:hint="eastAsia" w:ascii="仿宋" w:hAnsi="仿宋" w:eastAsia="仿宋" w:cs="宋体"/>
          <w:kern w:val="0"/>
          <w:sz w:val="32"/>
          <w:szCs w:val="32"/>
        </w:rPr>
        <w:t>八、政府性基金预算财政拨款收入支出决算表</w:t>
      </w:r>
    </w:p>
    <w:p>
      <w:pPr>
        <w:widowControl/>
        <w:spacing w:line="58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580" w:lineRule="exact"/>
        <w:jc w:val="center"/>
        <w:rPr>
          <w:rFonts w:ascii="宋体" w:hAnsi="宋体"/>
          <w:b/>
          <w:sz w:val="32"/>
          <w:szCs w:val="30"/>
        </w:rPr>
      </w:pPr>
      <w:r>
        <w:rPr>
          <w:rFonts w:hint="eastAsia" w:ascii="宋体" w:hAnsi="宋体"/>
          <w:b/>
          <w:sz w:val="32"/>
          <w:szCs w:val="30"/>
        </w:rPr>
        <w:t>第一部分 审计局概况</w:t>
      </w:r>
    </w:p>
    <w:p>
      <w:pPr>
        <w:ind w:firstLine="630"/>
        <w:jc w:val="left"/>
        <w:rPr>
          <w:rFonts w:ascii="黑体" w:hAnsi="黑体" w:eastAsia="黑体"/>
          <w:sz w:val="30"/>
          <w:szCs w:val="30"/>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ind w:firstLine="630"/>
        <w:jc w:val="left"/>
        <w:rPr>
          <w:rFonts w:ascii="仿宋" w:hAnsi="仿宋" w:eastAsia="仿宋"/>
          <w:sz w:val="30"/>
          <w:szCs w:val="30"/>
        </w:rPr>
      </w:pPr>
      <w:r>
        <w:rPr>
          <w:rFonts w:hint="eastAsia" w:ascii="仿宋" w:hAnsi="仿宋" w:eastAsia="仿宋"/>
          <w:sz w:val="30"/>
          <w:szCs w:val="30"/>
        </w:rPr>
        <w:t>1．贯彻执行国家、省和市有关审计工作的方针政策和法律法规，拟定本县审计业务规章制度，制定并组织实施审计工作发展规划、专业领域审计工作规划和年度审计计划，对直接审计、调查和核实的事项依法进行审计评价，做出审计决定或</w:t>
      </w:r>
      <w:r>
        <w:rPr>
          <w:rFonts w:hint="eastAsia" w:ascii="仿宋" w:hAnsi="仿宋" w:eastAsia="仿宋"/>
          <w:sz w:val="30"/>
          <w:szCs w:val="30"/>
          <w:lang w:eastAsia="zh-CN"/>
        </w:rPr>
        <w:t>提出</w:t>
      </w:r>
      <w:r>
        <w:rPr>
          <w:rFonts w:hint="eastAsia" w:ascii="仿宋" w:hAnsi="仿宋" w:eastAsia="仿宋"/>
          <w:sz w:val="30"/>
          <w:szCs w:val="30"/>
        </w:rPr>
        <w:t>审计意见和建议。</w:t>
      </w:r>
    </w:p>
    <w:p>
      <w:pPr>
        <w:ind w:firstLine="630"/>
        <w:jc w:val="left"/>
        <w:rPr>
          <w:rFonts w:ascii="仿宋" w:hAnsi="仿宋" w:eastAsia="仿宋"/>
          <w:sz w:val="30"/>
          <w:szCs w:val="30"/>
        </w:rPr>
      </w:pPr>
      <w:r>
        <w:rPr>
          <w:rFonts w:hint="eastAsia" w:ascii="仿宋" w:hAnsi="仿宋" w:eastAsia="仿宋"/>
          <w:sz w:val="30"/>
          <w:szCs w:val="30"/>
        </w:rPr>
        <w:t>2．负</w:t>
      </w:r>
      <w:r>
        <w:rPr>
          <w:rFonts w:hint="eastAsia" w:ascii="仿宋" w:hAnsi="仿宋" w:eastAsia="仿宋"/>
          <w:sz w:val="30"/>
          <w:szCs w:val="30"/>
          <w:lang w:eastAsia="zh-CN"/>
        </w:rPr>
        <w:t>责</w:t>
      </w:r>
      <w:r>
        <w:rPr>
          <w:rFonts w:hint="eastAsia" w:ascii="仿宋" w:hAnsi="仿宋" w:eastAsia="仿宋"/>
          <w:sz w:val="30"/>
          <w:szCs w:val="30"/>
        </w:rPr>
        <w:t>对县本级财政收支和法律法规规定的属于审计范围的财务收支的真实、合法和效益进行审计监督，维护经济秩序，提高财政资金使用效益，促进廉政建设</w:t>
      </w:r>
      <w:r>
        <w:rPr>
          <w:rFonts w:hint="eastAsia" w:ascii="仿宋" w:hAnsi="仿宋" w:eastAsia="仿宋"/>
          <w:sz w:val="30"/>
          <w:szCs w:val="30"/>
          <w:lang w:eastAsia="zh-CN"/>
        </w:rPr>
        <w:t>，</w:t>
      </w:r>
      <w:r>
        <w:rPr>
          <w:rFonts w:hint="eastAsia" w:ascii="仿宋" w:hAnsi="仿宋" w:eastAsia="仿宋"/>
          <w:sz w:val="30"/>
          <w:szCs w:val="30"/>
        </w:rPr>
        <w:t>保障国民经济和社会健康发展，对审计、专项审计调查和核实</w:t>
      </w:r>
      <w:r>
        <w:rPr>
          <w:rFonts w:hint="eastAsia" w:ascii="仿宋" w:hAnsi="仿宋" w:eastAsia="仿宋"/>
          <w:sz w:val="30"/>
          <w:szCs w:val="30"/>
          <w:lang w:eastAsia="zh-CN"/>
        </w:rPr>
        <w:t>审计</w:t>
      </w:r>
      <w:r>
        <w:rPr>
          <w:rFonts w:hint="eastAsia" w:ascii="仿宋" w:hAnsi="仿宋" w:eastAsia="仿宋"/>
          <w:sz w:val="30"/>
          <w:szCs w:val="30"/>
        </w:rPr>
        <w:t>监督范围的社会审计机构出具的相关审计报告的结果承担责任，并负有督促被审计单位整改的责任。</w:t>
      </w:r>
    </w:p>
    <w:p>
      <w:pPr>
        <w:ind w:firstLine="585"/>
        <w:jc w:val="left"/>
        <w:rPr>
          <w:rFonts w:ascii="仿宋" w:hAnsi="仿宋" w:eastAsia="仿宋"/>
          <w:sz w:val="30"/>
          <w:szCs w:val="30"/>
        </w:rPr>
      </w:pPr>
      <w:r>
        <w:rPr>
          <w:rFonts w:hint="eastAsia" w:ascii="仿宋" w:hAnsi="仿宋" w:eastAsia="仿宋"/>
          <w:sz w:val="30"/>
          <w:szCs w:val="30"/>
        </w:rPr>
        <w:t>3.向县人民政府和市审计局提出年度县本级预算执行</w:t>
      </w:r>
      <w:r>
        <w:rPr>
          <w:rFonts w:hint="eastAsia" w:ascii="仿宋" w:hAnsi="仿宋" w:eastAsia="仿宋"/>
          <w:sz w:val="30"/>
          <w:szCs w:val="30"/>
          <w:lang w:eastAsia="zh-CN"/>
        </w:rPr>
        <w:t>和</w:t>
      </w:r>
      <w:r>
        <w:rPr>
          <w:rFonts w:hint="eastAsia" w:ascii="仿宋" w:hAnsi="仿宋" w:eastAsia="仿宋"/>
          <w:sz w:val="30"/>
          <w:szCs w:val="30"/>
        </w:rPr>
        <w:t>其他财政收支情况的审计</w:t>
      </w:r>
      <w:r>
        <w:rPr>
          <w:rFonts w:hint="eastAsia" w:ascii="仿宋" w:hAnsi="仿宋" w:eastAsia="仿宋"/>
          <w:sz w:val="30"/>
          <w:szCs w:val="30"/>
          <w:lang w:eastAsia="zh-CN"/>
        </w:rPr>
        <w:t>结果</w:t>
      </w:r>
      <w:r>
        <w:rPr>
          <w:rFonts w:hint="eastAsia" w:ascii="仿宋" w:hAnsi="仿宋" w:eastAsia="仿宋"/>
          <w:sz w:val="30"/>
          <w:szCs w:val="30"/>
        </w:rPr>
        <w:t>报告，受县人民政府委托向人大常委会提出县本级预算执行和其他财政收支情况的审计工作报告。</w:t>
      </w:r>
    </w:p>
    <w:p>
      <w:pPr>
        <w:ind w:firstLine="585"/>
        <w:jc w:val="left"/>
        <w:rPr>
          <w:rFonts w:ascii="仿宋" w:hAnsi="仿宋" w:eastAsia="仿宋"/>
          <w:sz w:val="30"/>
          <w:szCs w:val="30"/>
        </w:rPr>
      </w:pPr>
      <w:r>
        <w:rPr>
          <w:rFonts w:hint="eastAsia" w:ascii="仿宋" w:hAnsi="仿宋" w:eastAsia="仿宋"/>
          <w:sz w:val="30"/>
          <w:szCs w:val="30"/>
        </w:rPr>
        <w:t>4.直接审计</w:t>
      </w:r>
      <w:r>
        <w:rPr>
          <w:rFonts w:hint="eastAsia" w:ascii="仿宋" w:hAnsi="仿宋" w:eastAsia="仿宋"/>
          <w:sz w:val="30"/>
          <w:szCs w:val="30"/>
          <w:lang w:eastAsia="zh-CN"/>
        </w:rPr>
        <w:t>管辖范围内</w:t>
      </w:r>
      <w:bookmarkStart w:id="0" w:name="_GoBack"/>
      <w:bookmarkEnd w:id="0"/>
      <w:r>
        <w:rPr>
          <w:rFonts w:hint="eastAsia" w:ascii="仿宋" w:hAnsi="仿宋" w:eastAsia="仿宋"/>
          <w:sz w:val="30"/>
          <w:szCs w:val="30"/>
        </w:rPr>
        <w:t>事项并出具审计报告，在法定职权范围内作出审计决定或向有关主管机关提出处理处罚的意见和建议等。</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纳入本套部门决算汇编范围的单位共1个。</w:t>
      </w:r>
    </w:p>
    <w:p>
      <w:pPr>
        <w:ind w:firstLine="630"/>
        <w:jc w:val="left"/>
        <w:rPr>
          <w:rFonts w:ascii="仿宋" w:hAnsi="仿宋" w:eastAsia="仿宋"/>
          <w:sz w:val="30"/>
          <w:szCs w:val="30"/>
        </w:rPr>
      </w:pPr>
      <w:r>
        <w:rPr>
          <w:rFonts w:hint="eastAsia" w:ascii="仿宋" w:hAnsi="仿宋" w:eastAsia="仿宋"/>
          <w:sz w:val="30"/>
          <w:szCs w:val="30"/>
        </w:rPr>
        <w:t>本部门2016年年末编制人数16人，其中行政编制10人，事业编制6人；年末实有人数39人，其中在职人员31人，离休人员0人，退休人员8人；年末学生人数0人。</w:t>
      </w:r>
    </w:p>
    <w:p>
      <w:pPr>
        <w:ind w:firstLine="630"/>
        <w:jc w:val="left"/>
        <w:rPr>
          <w:rFonts w:ascii="仿宋" w:hAnsi="仿宋" w:eastAsia="仿宋"/>
          <w:sz w:val="30"/>
          <w:szCs w:val="30"/>
        </w:rPr>
      </w:pPr>
    </w:p>
    <w:p>
      <w:pPr>
        <w:widowControl/>
        <w:spacing w:line="600" w:lineRule="exact"/>
        <w:ind w:firstLine="640"/>
        <w:jc w:val="center"/>
        <w:rPr>
          <w:rFonts w:ascii="宋体" w:hAnsi="宋体"/>
          <w:b/>
          <w:sz w:val="32"/>
          <w:szCs w:val="32"/>
        </w:rPr>
      </w:pPr>
      <w:r>
        <w:rPr>
          <w:rFonts w:hint="eastAsia" w:ascii="宋体" w:hAnsi="宋体"/>
          <w:b/>
          <w:sz w:val="32"/>
          <w:szCs w:val="32"/>
        </w:rPr>
        <w:t>第二部分  审计局2016年部门决算情况说明</w:t>
      </w:r>
    </w:p>
    <w:p>
      <w:pPr>
        <w:ind w:firstLine="630"/>
        <w:jc w:val="left"/>
        <w:rPr>
          <w:rFonts w:hint="eastAsia" w:ascii="黑体" w:hAnsi="黑体" w:eastAsia="黑体"/>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本部门2016年度收入总计378万元，其中上年结转和结余  0万元，较上年增长17.9%；本年收入合计378万元，较上年增长17.9%，主要原因是其他收入增加。</w:t>
      </w:r>
    </w:p>
    <w:p>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本年收入的具体构成为：财政拨款收入234万元，占62%；事业收入0万元，占0%；事业单位经营收入0万元，占0%；其他收入（含附属单位上缴收入、上级补助收入）144万元，占38%。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本部门2016年度支出总计378万元，其中本年支出合计378万元，较上年增长17.9%，主要原因是人员经费增加；年末结转和结余0万元。</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本年支出的具体构成为：基本支出378万元，占100%；项目支出0万元，占0%；事业单位经营支出0万元，占0%；其他支出（对附属单位补助支出、上缴上级支出）0万元，占0%。</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本部门2016年度财政拨款支出年初预算数为166万元，决算数为378万元，完成年初预算的277%，主要原因是人员经费、日常公用经费增加。</w:t>
      </w:r>
    </w:p>
    <w:p>
      <w:pPr>
        <w:ind w:firstLine="630"/>
        <w:jc w:val="left"/>
        <w:rPr>
          <w:rFonts w:ascii="仿宋" w:hAnsi="仿宋" w:eastAsia="仿宋"/>
          <w:sz w:val="30"/>
          <w:szCs w:val="30"/>
        </w:rPr>
      </w:pPr>
      <w:r>
        <w:rPr>
          <w:rFonts w:hint="eastAsia" w:ascii="仿宋" w:hAnsi="仿宋" w:eastAsia="仿宋"/>
          <w:sz w:val="30"/>
          <w:szCs w:val="30"/>
        </w:rPr>
        <w:t>按功能分类科目分：一般公共服务支出年初预算数为166万元，决算数为378万元，完成年初预算的277%。</w:t>
      </w:r>
    </w:p>
    <w:p>
      <w:pPr>
        <w:ind w:firstLine="630"/>
        <w:jc w:val="left"/>
        <w:rPr>
          <w:rFonts w:hint="eastAsia" w:ascii="仿宋" w:hAnsi="仿宋" w:eastAsia="仿宋"/>
          <w:sz w:val="30"/>
          <w:szCs w:val="30"/>
        </w:rPr>
      </w:pPr>
      <w:r>
        <w:rPr>
          <w:rFonts w:hint="eastAsia" w:ascii="仿宋" w:hAnsi="仿宋" w:eastAsia="仿宋"/>
          <w:sz w:val="30"/>
          <w:szCs w:val="30"/>
        </w:rPr>
        <w:t>一般公共预算财政拨款基本支出按经济分类科目分：工资福利支出247万元，较上年增长168%，主要原因是人员增加；商品和服务支出131万元，较上年下降39.6%，主要原因是日常公用经费支出缩减；对个人和家庭补助支出5万元，较上年增长下降84%，主要原因是会计处理分录调整。</w:t>
      </w:r>
    </w:p>
    <w:p>
      <w:pPr>
        <w:ind w:firstLine="63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本部门2016年度一般公共预算财政拨款“三公”经费支出年初预算数为7万元，决算数为6.1万元，完成预算的87%。</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（一）因公出国（境）支出年初预算数为0万元，决算数为  0万元。</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（二）公务接待费支出年初预算数为6万元，决算数为5.6万元，完成预算的93%。</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0.6万元，其中公务用车购置年初预算数为0万元，决算数为0万元，完成预算的100%。公务用车运行维护费支出年初预算数为1万元，决算数为0.6万元，完成预算的60%，主要原因是用车费用缩减。</w:t>
      </w:r>
    </w:p>
    <w:p>
      <w:pPr>
        <w:ind w:firstLine="630"/>
        <w:jc w:val="left"/>
        <w:rPr>
          <w:rFonts w:ascii="黑体" w:hAnsi="黑体" w:eastAsia="黑体"/>
          <w:sz w:val="30"/>
          <w:szCs w:val="30"/>
        </w:rPr>
      </w:pPr>
      <w:r>
        <w:rPr>
          <w:rFonts w:hint="eastAsia" w:ascii="黑体" w:hAnsi="黑体" w:eastAsia="黑体"/>
          <w:sz w:val="30"/>
          <w:szCs w:val="30"/>
        </w:rPr>
        <w:t>五、机关运行经费情况说明</w:t>
      </w:r>
    </w:p>
    <w:p>
      <w:pPr>
        <w:ind w:firstLine="630"/>
        <w:jc w:val="left"/>
        <w:rPr>
          <w:rFonts w:ascii="仿宋" w:hAnsi="仿宋" w:eastAsia="仿宋"/>
          <w:sz w:val="30"/>
          <w:szCs w:val="30"/>
        </w:rPr>
      </w:pPr>
      <w:r>
        <w:rPr>
          <w:rFonts w:hint="eastAsia" w:ascii="仿宋" w:hAnsi="仿宋" w:eastAsia="仿宋"/>
          <w:sz w:val="30"/>
          <w:szCs w:val="30"/>
        </w:rPr>
        <w:t>本部门2016年度机关运行经费131万元，较上年下降39.6%，主要原因是经费支出缩减。</w:t>
      </w:r>
    </w:p>
    <w:p>
      <w:pPr>
        <w:ind w:firstLine="630"/>
        <w:jc w:val="left"/>
        <w:rPr>
          <w:rFonts w:ascii="黑体" w:hAnsi="黑体" w:eastAsia="黑体"/>
          <w:sz w:val="30"/>
          <w:szCs w:val="30"/>
        </w:rPr>
      </w:pPr>
      <w:r>
        <w:rPr>
          <w:rFonts w:hint="eastAsia" w:ascii="黑体" w:hAnsi="黑体" w:eastAsia="黑体"/>
          <w:sz w:val="30"/>
          <w:szCs w:val="30"/>
        </w:rPr>
        <w:t>六、政府采购支出情况说明</w:t>
      </w:r>
    </w:p>
    <w:p>
      <w:pPr>
        <w:ind w:firstLine="630"/>
        <w:jc w:val="left"/>
        <w:rPr>
          <w:rFonts w:ascii="仿宋" w:hAnsi="仿宋" w:eastAsia="仿宋"/>
          <w:sz w:val="30"/>
          <w:szCs w:val="30"/>
        </w:rPr>
      </w:pPr>
      <w:r>
        <w:rPr>
          <w:rFonts w:hint="eastAsia" w:ascii="仿宋" w:hAnsi="仿宋" w:eastAsia="仿宋"/>
          <w:sz w:val="30"/>
          <w:szCs w:val="30"/>
        </w:rPr>
        <w:t>本部门2016年度政府采购支出总额7万元，其中：政府采购货物支出7万元、政府采购工程支出0万元、政府采购服务支出0万元。授予中小企业合同金额0万元，占政府采购支出总额的0%，其中：授予小微企业合同金额0万元，占政府采购支出总额的0%。</w:t>
      </w:r>
    </w:p>
    <w:p>
      <w:pPr>
        <w:ind w:firstLine="630"/>
        <w:jc w:val="left"/>
        <w:rPr>
          <w:rFonts w:ascii="黑体" w:hAnsi="黑体" w:eastAsia="黑体"/>
          <w:sz w:val="30"/>
          <w:szCs w:val="30"/>
        </w:rPr>
      </w:pPr>
      <w:r>
        <w:rPr>
          <w:rFonts w:hint="eastAsia" w:ascii="黑体" w:hAnsi="黑体" w:eastAsia="黑体"/>
          <w:sz w:val="30"/>
          <w:szCs w:val="30"/>
        </w:rPr>
        <w:t>七、预算绩效管理工作开展情况说明</w:t>
      </w:r>
    </w:p>
    <w:p>
      <w:pPr>
        <w:ind w:firstLine="630"/>
        <w:jc w:val="left"/>
        <w:rPr>
          <w:rFonts w:ascii="仿宋" w:hAnsi="仿宋" w:eastAsia="仿宋"/>
          <w:sz w:val="30"/>
          <w:szCs w:val="30"/>
        </w:rPr>
      </w:pPr>
      <w:r>
        <w:rPr>
          <w:rFonts w:hint="eastAsia" w:ascii="仿宋" w:hAnsi="仿宋" w:eastAsia="仿宋"/>
          <w:sz w:val="30"/>
          <w:szCs w:val="30"/>
        </w:rPr>
        <w:t>部门应对本部门开展预算绩效管理工作的基本情况进行说明，并公开主要支出项目的绩效评价结果。</w:t>
      </w:r>
    </w:p>
    <w:p>
      <w:pPr>
        <w:ind w:firstLine="630"/>
        <w:jc w:val="left"/>
        <w:rPr>
          <w:rFonts w:ascii="仿宋" w:hAnsi="仿宋" w:eastAsia="仿宋"/>
          <w:sz w:val="30"/>
          <w:szCs w:val="30"/>
        </w:rPr>
      </w:pPr>
    </w:p>
    <w:p>
      <w:pPr>
        <w:widowControl/>
        <w:spacing w:line="600" w:lineRule="exact"/>
        <w:ind w:firstLine="640"/>
        <w:jc w:val="center"/>
        <w:rPr>
          <w:rFonts w:ascii="宋体" w:hAnsi="宋体"/>
          <w:b/>
          <w:sz w:val="32"/>
          <w:szCs w:val="32"/>
        </w:rPr>
      </w:pPr>
      <w:r>
        <w:rPr>
          <w:rFonts w:hint="eastAsia" w:ascii="宋体" w:hAnsi="宋体"/>
          <w:b/>
          <w:sz w:val="32"/>
          <w:szCs w:val="32"/>
        </w:rPr>
        <w:t>第三部分  审计局2016年部门决算表</w:t>
      </w:r>
    </w:p>
    <w:p>
      <w:pPr>
        <w:widowControl/>
        <w:spacing w:line="600" w:lineRule="exact"/>
        <w:ind w:firstLine="640"/>
        <w:jc w:val="center"/>
        <w:rPr>
          <w:rFonts w:ascii="宋体" w:hAnsi="宋体"/>
          <w:b/>
          <w:sz w:val="32"/>
          <w:szCs w:val="32"/>
        </w:rPr>
      </w:pP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（详见附表）</w:t>
      </w:r>
    </w:p>
    <w:p>
      <w:pPr>
        <w:ind w:firstLine="630"/>
        <w:jc w:val="left"/>
        <w:rPr>
          <w:rFonts w:ascii="仿宋" w:hAnsi="仿宋" w:eastAsia="仿宋"/>
          <w:sz w:val="30"/>
          <w:szCs w:val="30"/>
        </w:rPr>
      </w:pPr>
    </w:p>
    <w:p>
      <w:pPr>
        <w:widowControl/>
        <w:spacing w:line="600" w:lineRule="exact"/>
        <w:ind w:firstLine="640"/>
        <w:jc w:val="center"/>
        <w:rPr>
          <w:rFonts w:ascii="宋体" w:hAnsi="宋体"/>
          <w:b/>
          <w:sz w:val="32"/>
          <w:szCs w:val="32"/>
        </w:rPr>
      </w:pPr>
    </w:p>
    <w:p>
      <w:pPr>
        <w:ind w:firstLine="630"/>
        <w:jc w:val="left"/>
        <w:rPr>
          <w:rFonts w:ascii="仿宋" w:hAnsi="仿宋" w:eastAsia="仿宋"/>
          <w:sz w:val="30"/>
          <w:szCs w:val="30"/>
        </w:rPr>
      </w:pPr>
    </w:p>
    <w:p>
      <w:pPr>
        <w:ind w:firstLine="630"/>
        <w:jc w:val="left"/>
        <w:rPr>
          <w:rFonts w:ascii="仿宋" w:hAnsi="仿宋" w:eastAsia="仿宋"/>
          <w:sz w:val="30"/>
          <w:szCs w:val="30"/>
        </w:rPr>
      </w:pPr>
    </w:p>
    <w:p/>
    <w:sectPr>
      <w:head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4522"/>
    <w:rsid w:val="00002593"/>
    <w:rsid w:val="000729FF"/>
    <w:rsid w:val="000D269D"/>
    <w:rsid w:val="00134522"/>
    <w:rsid w:val="0014512D"/>
    <w:rsid w:val="001F312E"/>
    <w:rsid w:val="003673E8"/>
    <w:rsid w:val="004C48E8"/>
    <w:rsid w:val="00522E25"/>
    <w:rsid w:val="0064525E"/>
    <w:rsid w:val="00923528"/>
    <w:rsid w:val="00931F15"/>
    <w:rsid w:val="00C60A11"/>
    <w:rsid w:val="3D786195"/>
    <w:rsid w:val="4546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宋体" w:cs="Times New Roman"/>
      <w:sz w:val="18"/>
      <w:szCs w:val="18"/>
    </w:rPr>
  </w:style>
  <w:style w:type="paragraph" w:customStyle="1" w:styleId="7">
    <w:name w:val="No Spacing"/>
    <w:link w:val="8"/>
    <w:qFormat/>
    <w:uiPriority w:val="1"/>
    <w:rPr>
      <w:rFonts w:ascii="Calibri" w:hAnsi="Calibri" w:eastAsia="宋体" w:cs="Times New Roman"/>
      <w:kern w:val="0"/>
      <w:sz w:val="22"/>
      <w:szCs w:val="22"/>
      <w:lang w:val="en-US" w:eastAsia="zh-CN" w:bidi="ar-SA"/>
    </w:rPr>
  </w:style>
  <w:style w:type="character" w:customStyle="1" w:styleId="8">
    <w:name w:val="无间隔 Char"/>
    <w:basedOn w:val="4"/>
    <w:link w:val="7"/>
    <w:qFormat/>
    <w:uiPriority w:val="1"/>
    <w:rPr>
      <w:rFonts w:ascii="Calibri" w:hAnsi="Calibri" w:eastAsia="宋体" w:cs="Times New Roman"/>
      <w:kern w:val="0"/>
      <w:sz w:val="22"/>
    </w:rPr>
  </w:style>
  <w:style w:type="character" w:customStyle="1" w:styleId="9">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Words>
  <Characters>1870</Characters>
  <Lines>15</Lines>
  <Paragraphs>4</Paragraphs>
  <ScaleCrop>false</ScaleCrop>
  <LinksUpToDate>false</LinksUpToDate>
  <CharactersWithSpaces>2194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2017-09-05T03:30:00Z</dcterms:created>
  <dc:creator>Administrator</dc:creator>
  <cp:lastModifiedBy>Administrator</cp:lastModifiedBy>
  <dcterms:modified xsi:type="dcterms:W3CDTF">2017-09-11T07:46:14Z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