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基本信息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113001 浮梁县审计局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支出项目类别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 本级支出项目（预算单位）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特定目标类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部门履职类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审计专项工作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二级项目目录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审计监督工作经费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审计监督工作经费_（下达2025年中央对地方审计机关专项补助经费）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地方债务项目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设立年度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起始时间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项目经办人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李雨亭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项目经办人电话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17779895709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部门上下级往来支出项目标识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0非部门上下级往来支出项目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行政政法股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行政政法股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项目优先级次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5部门自身履职项目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地方政府债券项目标识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 非地方政府债券支出项目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 项目法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上级转移支付项目代码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基建项目标识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 非基建项目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发改委安排项目代码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发改委安排项目名称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160000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是否事前绩效评估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是否开展部门预算评审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是否财力性补助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民生实事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惠企利民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直达资金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高标准农田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置换隐性债务的地方政府专项债务资金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根据县委审计委员会审议通过的年度审计项目计划，围绕县委、县政府中心工作，聚焦财政、金融、国资国企、经济责任、生态环境和民生保障等开展审计监督。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立项背景依据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根据县委审计委员会审议通过的年度审计项目计划，围绕县委、县政府中心工作，聚焦财政、金融、国资国企、经济责任、生态环境和民生保障等开展审计监督。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项目可行性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部门评审意见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财政评审意见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项目测算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"/>
        <w:gridCol w:w="531"/>
        <w:gridCol w:w="364"/>
        <w:gridCol w:w="865"/>
        <w:gridCol w:w="197"/>
        <w:gridCol w:w="865"/>
        <w:gridCol w:w="364"/>
        <w:gridCol w:w="364"/>
        <w:gridCol w:w="86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支出标准代码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测算数（元）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支出内容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第四年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第五年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主要用于补助市（县、区）审计机关困难经费补助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下达2025年中央对地方审计机关专项补助经费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下达2025年中央对地方审计机关专项补助经费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下达2025年中央对地方审计机关专项补助经费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分年支出计划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31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申报数（元）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160,000.00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160,000.00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项目资产配置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资产分类代码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资产用途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资产名称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资产配置申请数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资产编制数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资产存量数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总金额（元）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数量计量单位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预算年度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项目存量资产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31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资产分类代码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资产代码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资产名称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项目绩效目标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根据县委审计委员会审议通过的年度审计项目计划，围绕县委、县政府中心工作，聚焦财政、金融、国资国企、经济责任、生态环境和民生保障等开展审计监督。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项目绩效指标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14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指标名称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计算符号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指标值说明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是否入库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行业大类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行业类别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资金用途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下达审计机关专项补助经费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市审计局参评全省优秀审计项目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审计项目质量合格率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审计（调查）项目完成及时率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完工时间2026年12月底前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审计发现问题整改率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审计建议事项采纳率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县区审计机关正常运转率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被审计单位对审计机关的满意度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1357</Words>
  <Characters>1465</Characters>
  <TotalTime>0</TotalTime>
  <ScaleCrop>false</ScaleCrop>
  <LinksUpToDate>false</LinksUpToDate>
  <CharactersWithSpaces>1476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2026-02-24T02:34:35Z</dcterms:created>
  <dc:creator>Administrator</dc:creator>
  <cp:lastModifiedBy>张嘴吃药</cp:lastModifiedBy>
  <dcterms:modified xsi:type="dcterms:W3CDTF">2026-02-24T02:35:14Z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F6B8009D392D43B8ACBB07775609CDC3</vt:lpwstr>
  </property>
</Properties>
</file>