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41" w:lineRule="auto"/>
      </w:pPr>
    </w:p>
    <w:p>
      <w:pPr>
        <w:spacing w:line="341" w:lineRule="auto"/>
      </w:pPr>
    </w:p>
    <w:p>
      <w:pPr>
        <w:spacing w:before="110" w:line="224" w:lineRule="auto"/>
        <w:ind w:firstLine="14"/>
        <w:rPr>
          <w:rFonts w:ascii="黑体" w:hAnsi="黑体" w:eastAsia="黑体" w:cs="黑体"/>
          <w:sz w:val="34"/>
          <w:szCs w:val="34"/>
        </w:rPr>
      </w:pPr>
      <w:r>
        <w:rPr>
          <w:rFonts w:ascii="黑体" w:hAnsi="黑体" w:eastAsia="黑体" w:cs="黑体"/>
          <w:spacing w:val="3"/>
          <w:sz w:val="34"/>
          <w:szCs w:val="34"/>
          <w14:textOutline w14:w="6172" w14:cap="flat" w14:cmpd="sng" w14:algn="ctr">
            <w14:solidFill>
              <w14:srgbClr w14:val="000000"/>
            </w14:solidFill>
            <w14:prstDash w14:val="solid"/>
            <w14:miter w14:val="0"/>
          </w14:textOutline>
        </w:rPr>
        <w:t>附件</w:t>
      </w:r>
      <w:r>
        <w:rPr>
          <w:rFonts w:hint="eastAsia" w:ascii="黑体" w:hAnsi="黑体" w:eastAsia="黑体" w:cs="黑体"/>
          <w:spacing w:val="3"/>
          <w:sz w:val="34"/>
          <w:szCs w:val="34"/>
          <w14:textOutline w14:w="6172" w14:cap="flat" w14:cmpd="sng" w14:algn="ctr">
            <w14:solidFill>
              <w14:srgbClr w14:val="000000"/>
            </w14:solidFill>
            <w14:prstDash w14:val="solid"/>
            <w14:miter w14:val="0"/>
          </w14:textOutline>
        </w:rPr>
        <w:t>1</w:t>
      </w:r>
    </w:p>
    <w:p>
      <w:pPr>
        <w:spacing w:line="289" w:lineRule="auto"/>
        <w:jc w:val="center"/>
      </w:pPr>
    </w:p>
    <w:p>
      <w:pPr>
        <w:spacing w:line="290" w:lineRule="auto"/>
        <w:jc w:val="center"/>
      </w:pPr>
    </w:p>
    <w:p>
      <w:pPr>
        <w:widowControl w:val="0"/>
        <w:kinsoku/>
        <w:autoSpaceDE/>
        <w:autoSpaceDN/>
        <w:adjustRightInd/>
        <w:snapToGrid/>
        <w:spacing w:line="860" w:lineRule="exact"/>
        <w:jc w:val="center"/>
        <w:textAlignment w:val="auto"/>
        <w:rPr>
          <w:rFonts w:ascii="方正大标宋简体" w:hAnsi="Times New Roman" w:eastAsia="方正大标宋简体" w:cs="Times New Roman"/>
          <w:snapToGrid/>
          <w:kern w:val="2"/>
          <w:sz w:val="44"/>
          <w:szCs w:val="44"/>
        </w:rPr>
      </w:pPr>
      <w:r>
        <w:rPr>
          <w:rFonts w:hint="eastAsia" w:ascii="方正大标宋简体" w:hAnsi="Times New Roman" w:eastAsia="方正大标宋简体" w:cs="Times New Roman"/>
          <w:snapToGrid/>
          <w:kern w:val="2"/>
          <w:sz w:val="44"/>
          <w:szCs w:val="44"/>
        </w:rPr>
        <w:t>浮梁县xx局 2023年部门预算</w:t>
      </w:r>
    </w:p>
    <w:p>
      <w:pPr>
        <w:spacing w:before="143" w:line="219" w:lineRule="auto"/>
        <w:ind w:firstLine="1146"/>
        <w:jc w:val="center"/>
        <w:rPr>
          <w:rFonts w:ascii="宋体" w:hAnsi="宋体" w:eastAsia="宋体" w:cs="宋体"/>
          <w:spacing w:val="2"/>
          <w:sz w:val="44"/>
          <w:szCs w:val="44"/>
          <w14:textOutline w14:w="7988" w14:cap="flat" w14:cmpd="sng" w14:algn="ctr">
            <w14:solidFill>
              <w14:srgbClr w14:val="000000"/>
            </w14:solidFill>
            <w14:prstDash w14:val="solid"/>
            <w14:miter w14:val="0"/>
          </w14:textOutline>
        </w:rPr>
      </w:pPr>
    </w:p>
    <w:p>
      <w:pPr>
        <w:spacing w:line="334" w:lineRule="auto"/>
      </w:pPr>
    </w:p>
    <w:p>
      <w:pPr>
        <w:spacing w:line="334" w:lineRule="auto"/>
        <w:rPr>
          <w:rFonts w:eastAsia="宋体"/>
        </w:rPr>
      </w:pPr>
    </w:p>
    <w:p>
      <w:pPr>
        <w:widowControl w:val="0"/>
        <w:kinsoku/>
        <w:autoSpaceDE/>
        <w:autoSpaceDN/>
        <w:adjustRightInd/>
        <w:snapToGrid/>
        <w:jc w:val="center"/>
        <w:textAlignment w:val="auto"/>
        <w:rPr>
          <w:rFonts w:ascii="黑体" w:hAnsi="黑体" w:eastAsia="黑体" w:cs="黑体"/>
          <w:snapToGrid/>
          <w:kern w:val="2"/>
          <w:sz w:val="32"/>
          <w:szCs w:val="32"/>
        </w:rPr>
      </w:pPr>
      <w:r>
        <w:rPr>
          <w:rFonts w:hint="eastAsia" w:ascii="黑体" w:hAnsi="黑体" w:eastAsia="黑体" w:cs="黑体"/>
          <w:snapToGrid/>
          <w:kern w:val="2"/>
          <w:sz w:val="32"/>
          <w:szCs w:val="32"/>
        </w:rPr>
        <w:t>目    录</w:t>
      </w:r>
    </w:p>
    <w:p>
      <w:pPr>
        <w:spacing w:line="347" w:lineRule="auto"/>
      </w:pPr>
    </w:p>
    <w:p>
      <w:pPr>
        <w:spacing w:line="347" w:lineRule="auto"/>
      </w:pPr>
    </w:p>
    <w:p>
      <w:pPr>
        <w:widowControl w:val="0"/>
        <w:kinsoku/>
        <w:autoSpaceDE/>
        <w:autoSpaceDN/>
        <w:adjustRightInd/>
        <w:snapToGrid/>
        <w:jc w:val="both"/>
        <w:textAlignment w:val="auto"/>
        <w:rPr>
          <w:rFonts w:ascii="黑体" w:hAnsi="黑体" w:eastAsia="黑体" w:cs="黑体"/>
          <w:snapToGrid/>
          <w:kern w:val="2"/>
          <w:sz w:val="32"/>
          <w:szCs w:val="32"/>
        </w:rPr>
      </w:pPr>
      <w:r>
        <w:rPr>
          <w:rFonts w:hint="eastAsia" w:ascii="黑体" w:hAnsi="黑体" w:eastAsia="黑体" w:cs="黑体"/>
          <w:snapToGrid/>
          <w:kern w:val="2"/>
          <w:sz w:val="32"/>
          <w:szCs w:val="32"/>
        </w:rPr>
        <w:t>第一部分 浮梁县xx局概况</w:t>
      </w:r>
    </w:p>
    <w:p>
      <w:pPr>
        <w:spacing w:before="207"/>
        <w:ind w:firstLine="632" w:firstLineChars="200"/>
        <w:rPr>
          <w:rFonts w:ascii="楷体" w:hAnsi="楷体" w:eastAsia="楷体" w:cs="楷体"/>
          <w:sz w:val="32"/>
          <w:szCs w:val="32"/>
        </w:rPr>
      </w:pPr>
      <w:r>
        <w:rPr>
          <w:rFonts w:ascii="楷体" w:hAnsi="楷体" w:eastAsia="楷体" w:cs="楷体"/>
          <w:spacing w:val="-2"/>
          <w:sz w:val="32"/>
          <w:szCs w:val="32"/>
        </w:rPr>
        <w:t>一、部门主要职责</w:t>
      </w:r>
      <w:bookmarkStart w:id="0" w:name="_GoBack"/>
      <w:bookmarkEnd w:id="0"/>
    </w:p>
    <w:p>
      <w:pPr>
        <w:spacing w:before="200"/>
        <w:ind w:firstLine="644" w:firstLineChars="200"/>
        <w:rPr>
          <w:rFonts w:ascii="楷体" w:hAnsi="楷体" w:eastAsia="楷体" w:cs="楷体"/>
          <w:sz w:val="32"/>
          <w:szCs w:val="32"/>
        </w:rPr>
      </w:pPr>
      <w:r>
        <w:rPr>
          <w:rFonts w:ascii="楷体" w:hAnsi="楷体" w:eastAsia="楷体" w:cs="楷体"/>
          <w:spacing w:val="1"/>
          <w:sz w:val="32"/>
          <w:szCs w:val="32"/>
        </w:rPr>
        <w:t>二、机构设置及人员情况</w:t>
      </w:r>
    </w:p>
    <w:p>
      <w:pPr>
        <w:widowControl w:val="0"/>
        <w:kinsoku/>
        <w:autoSpaceDE/>
        <w:autoSpaceDN/>
        <w:adjustRightInd/>
        <w:snapToGrid/>
        <w:jc w:val="both"/>
        <w:textAlignment w:val="auto"/>
        <w:rPr>
          <w:rFonts w:ascii="黑体" w:hAnsi="黑体" w:eastAsia="黑体" w:cs="黑体"/>
          <w:snapToGrid/>
          <w:kern w:val="2"/>
          <w:sz w:val="32"/>
          <w:szCs w:val="32"/>
        </w:rPr>
      </w:pPr>
      <w:r>
        <w:rPr>
          <w:rFonts w:hint="eastAsia" w:ascii="黑体" w:hAnsi="黑体" w:eastAsia="黑体" w:cs="黑体"/>
          <w:snapToGrid/>
          <w:kern w:val="2"/>
          <w:sz w:val="32"/>
          <w:szCs w:val="32"/>
        </w:rPr>
        <w:t>第二部分 浮梁县xx局2023年部门预算表</w:t>
      </w:r>
    </w:p>
    <w:p>
      <w:pPr>
        <w:spacing w:before="200"/>
        <w:ind w:firstLine="644" w:firstLineChars="200"/>
        <w:rPr>
          <w:rFonts w:ascii="楷体" w:hAnsi="楷体" w:eastAsia="楷体" w:cs="楷体"/>
          <w:spacing w:val="1"/>
          <w:sz w:val="32"/>
          <w:szCs w:val="32"/>
        </w:rPr>
      </w:pPr>
      <w:r>
        <w:rPr>
          <w:rFonts w:hint="eastAsia" w:ascii="楷体" w:hAnsi="楷体" w:eastAsia="楷体" w:cs="楷体"/>
          <w:spacing w:val="1"/>
          <w:sz w:val="32"/>
          <w:szCs w:val="32"/>
        </w:rPr>
        <w:t>一、《收支预算总表》</w:t>
      </w:r>
    </w:p>
    <w:p>
      <w:pPr>
        <w:spacing w:before="200"/>
        <w:ind w:firstLine="644" w:firstLineChars="200"/>
        <w:rPr>
          <w:rFonts w:ascii="楷体" w:hAnsi="楷体" w:eastAsia="楷体" w:cs="楷体"/>
          <w:spacing w:val="1"/>
          <w:sz w:val="32"/>
          <w:szCs w:val="32"/>
        </w:rPr>
      </w:pPr>
      <w:r>
        <w:rPr>
          <w:rFonts w:hint="eastAsia" w:ascii="楷体" w:hAnsi="楷体" w:eastAsia="楷体" w:cs="楷体"/>
          <w:spacing w:val="1"/>
          <w:sz w:val="32"/>
          <w:szCs w:val="32"/>
        </w:rPr>
        <w:t>二、《部门收入总表》</w:t>
      </w:r>
    </w:p>
    <w:p>
      <w:pPr>
        <w:spacing w:before="200"/>
        <w:ind w:firstLine="644" w:firstLineChars="200"/>
        <w:rPr>
          <w:rFonts w:ascii="楷体" w:hAnsi="楷体" w:eastAsia="楷体" w:cs="楷体"/>
          <w:spacing w:val="1"/>
          <w:sz w:val="32"/>
          <w:szCs w:val="32"/>
        </w:rPr>
      </w:pPr>
      <w:r>
        <w:rPr>
          <w:rFonts w:hint="eastAsia" w:ascii="楷体" w:hAnsi="楷体" w:eastAsia="楷体" w:cs="楷体"/>
          <w:spacing w:val="1"/>
          <w:sz w:val="32"/>
          <w:szCs w:val="32"/>
        </w:rPr>
        <w:t>三、《部门支出总表》</w:t>
      </w:r>
    </w:p>
    <w:p>
      <w:pPr>
        <w:spacing w:before="200"/>
        <w:ind w:firstLine="644" w:firstLineChars="200"/>
        <w:rPr>
          <w:rFonts w:ascii="楷体" w:hAnsi="楷体" w:eastAsia="楷体" w:cs="楷体"/>
          <w:spacing w:val="1"/>
          <w:sz w:val="32"/>
          <w:szCs w:val="32"/>
        </w:rPr>
      </w:pPr>
      <w:r>
        <w:rPr>
          <w:rFonts w:hint="eastAsia" w:ascii="楷体" w:hAnsi="楷体" w:eastAsia="楷体" w:cs="楷体"/>
          <w:spacing w:val="1"/>
          <w:sz w:val="32"/>
          <w:szCs w:val="32"/>
        </w:rPr>
        <w:t>四、《财政拨款收支总表》</w:t>
      </w:r>
    </w:p>
    <w:p>
      <w:pPr>
        <w:spacing w:before="200"/>
        <w:ind w:firstLine="644" w:firstLineChars="200"/>
        <w:rPr>
          <w:rFonts w:ascii="楷体" w:hAnsi="楷体" w:eastAsia="楷体" w:cs="楷体"/>
          <w:spacing w:val="1"/>
          <w:sz w:val="32"/>
          <w:szCs w:val="32"/>
        </w:rPr>
      </w:pPr>
      <w:r>
        <w:rPr>
          <w:rFonts w:hint="eastAsia" w:ascii="楷体" w:hAnsi="楷体" w:eastAsia="楷体" w:cs="楷体"/>
          <w:spacing w:val="1"/>
          <w:sz w:val="32"/>
          <w:szCs w:val="32"/>
        </w:rPr>
        <w:t>五、《一般公共预算支出表》</w:t>
      </w:r>
    </w:p>
    <w:p>
      <w:pPr>
        <w:spacing w:before="200"/>
        <w:ind w:firstLine="644" w:firstLineChars="200"/>
        <w:rPr>
          <w:rFonts w:ascii="楷体" w:hAnsi="楷体" w:eastAsia="楷体" w:cs="楷体"/>
          <w:spacing w:val="1"/>
          <w:sz w:val="32"/>
          <w:szCs w:val="32"/>
        </w:rPr>
      </w:pPr>
      <w:r>
        <w:rPr>
          <w:rFonts w:hint="eastAsia" w:ascii="楷体" w:hAnsi="楷体" w:eastAsia="楷体" w:cs="楷体"/>
          <w:spacing w:val="1"/>
          <w:sz w:val="32"/>
          <w:szCs w:val="32"/>
        </w:rPr>
        <w:t>六、《一般公共预算基本支出表》</w:t>
      </w:r>
    </w:p>
    <w:p>
      <w:pPr>
        <w:spacing w:before="200"/>
        <w:ind w:firstLine="644" w:firstLineChars="200"/>
        <w:rPr>
          <w:rFonts w:ascii="楷体" w:hAnsi="楷体" w:eastAsia="楷体" w:cs="楷体"/>
          <w:spacing w:val="1"/>
          <w:sz w:val="32"/>
          <w:szCs w:val="32"/>
        </w:rPr>
      </w:pPr>
      <w:r>
        <w:rPr>
          <w:rFonts w:hint="eastAsia" w:ascii="楷体" w:hAnsi="楷体" w:eastAsia="楷体" w:cs="楷体"/>
          <w:spacing w:val="1"/>
          <w:sz w:val="32"/>
          <w:szCs w:val="32"/>
        </w:rPr>
        <w:t>七、《一般公共预算"三公"经费支出表》</w:t>
      </w:r>
    </w:p>
    <w:p>
      <w:pPr>
        <w:spacing w:before="200"/>
        <w:ind w:firstLine="644" w:firstLineChars="200"/>
        <w:rPr>
          <w:rFonts w:ascii="楷体" w:hAnsi="楷体" w:eastAsia="楷体" w:cs="楷体"/>
          <w:spacing w:val="1"/>
          <w:sz w:val="32"/>
          <w:szCs w:val="32"/>
        </w:rPr>
      </w:pPr>
      <w:r>
        <w:rPr>
          <w:rFonts w:hint="eastAsia" w:ascii="楷体" w:hAnsi="楷体" w:eastAsia="楷体" w:cs="楷体"/>
          <w:spacing w:val="1"/>
          <w:sz w:val="32"/>
          <w:szCs w:val="32"/>
        </w:rPr>
        <w:t>八、《政府性基金预算支出表》</w:t>
      </w:r>
    </w:p>
    <w:p>
      <w:pPr>
        <w:spacing w:before="200"/>
        <w:ind w:firstLine="644" w:firstLineChars="200"/>
        <w:rPr>
          <w:rFonts w:ascii="楷体" w:hAnsi="楷体" w:eastAsia="楷体" w:cs="楷体"/>
          <w:spacing w:val="1"/>
          <w:sz w:val="32"/>
          <w:szCs w:val="32"/>
        </w:rPr>
      </w:pPr>
      <w:r>
        <w:rPr>
          <w:rFonts w:hint="eastAsia" w:ascii="楷体" w:hAnsi="楷体" w:eastAsia="楷体" w:cs="楷体"/>
          <w:spacing w:val="1"/>
          <w:sz w:val="32"/>
          <w:szCs w:val="32"/>
        </w:rPr>
        <w:t>九、《国有资本经营预算支出表》</w:t>
      </w:r>
    </w:p>
    <w:p>
      <w:pPr>
        <w:spacing w:before="200"/>
        <w:ind w:firstLine="644" w:firstLineChars="200"/>
        <w:rPr>
          <w:rFonts w:ascii="楷体" w:hAnsi="楷体" w:eastAsia="楷体" w:cs="楷体"/>
          <w:spacing w:val="1"/>
          <w:sz w:val="32"/>
          <w:szCs w:val="32"/>
        </w:rPr>
      </w:pPr>
      <w:r>
        <w:rPr>
          <w:rFonts w:hint="eastAsia" w:ascii="楷体" w:hAnsi="楷体" w:eastAsia="楷体" w:cs="楷体"/>
          <w:spacing w:val="1"/>
          <w:sz w:val="32"/>
          <w:szCs w:val="32"/>
        </w:rPr>
        <w:t>十、《部门整体支出绩效目标表》</w:t>
      </w:r>
    </w:p>
    <w:p>
      <w:pPr>
        <w:spacing w:before="200"/>
        <w:ind w:firstLine="644" w:firstLineChars="200"/>
        <w:rPr>
          <w:rFonts w:ascii="楷体" w:hAnsi="楷体" w:eastAsia="楷体" w:cs="楷体"/>
          <w:spacing w:val="1"/>
          <w:sz w:val="32"/>
          <w:szCs w:val="32"/>
        </w:rPr>
      </w:pPr>
      <w:r>
        <w:rPr>
          <w:rFonts w:hint="eastAsia" w:ascii="楷体" w:hAnsi="楷体" w:eastAsia="楷体" w:cs="楷体"/>
          <w:spacing w:val="1"/>
          <w:sz w:val="32"/>
          <w:szCs w:val="32"/>
        </w:rPr>
        <w:t>十一、《项目绩效目标表》</w:t>
      </w:r>
    </w:p>
    <w:p>
      <w:pPr>
        <w:widowControl w:val="0"/>
        <w:kinsoku/>
        <w:autoSpaceDE/>
        <w:autoSpaceDN/>
        <w:adjustRightInd/>
        <w:snapToGrid/>
        <w:jc w:val="both"/>
        <w:textAlignment w:val="auto"/>
        <w:rPr>
          <w:rFonts w:ascii="黑体" w:hAnsi="黑体" w:eastAsia="黑体" w:cs="黑体"/>
          <w:snapToGrid/>
          <w:kern w:val="2"/>
          <w:sz w:val="32"/>
          <w:szCs w:val="32"/>
        </w:rPr>
      </w:pPr>
      <w:r>
        <w:rPr>
          <w:rFonts w:hint="eastAsia" w:ascii="黑体" w:hAnsi="黑体" w:eastAsia="黑体" w:cs="黑体"/>
          <w:snapToGrid/>
          <w:kern w:val="2"/>
          <w:sz w:val="32"/>
          <w:szCs w:val="32"/>
        </w:rPr>
        <w:t>第三部分 浮梁县XX局2023年部门预算情况说明</w:t>
      </w:r>
    </w:p>
    <w:p>
      <w:pPr>
        <w:spacing w:before="200"/>
        <w:ind w:firstLine="644" w:firstLineChars="200"/>
        <w:rPr>
          <w:rFonts w:ascii="楷体" w:hAnsi="楷体" w:eastAsia="楷体" w:cs="楷体"/>
          <w:spacing w:val="1"/>
          <w:sz w:val="32"/>
          <w:szCs w:val="32"/>
        </w:rPr>
      </w:pPr>
      <w:r>
        <w:rPr>
          <w:rFonts w:hint="eastAsia" w:ascii="楷体" w:hAnsi="楷体" w:eastAsia="楷体" w:cs="楷体"/>
          <w:spacing w:val="1"/>
          <w:sz w:val="32"/>
          <w:szCs w:val="32"/>
        </w:rPr>
        <w:t>一、2023年部门预算收支情况说明</w:t>
      </w:r>
    </w:p>
    <w:p>
      <w:pPr>
        <w:spacing w:before="200"/>
        <w:ind w:firstLine="644" w:firstLineChars="200"/>
        <w:rPr>
          <w:rFonts w:ascii="楷体" w:hAnsi="楷体" w:eastAsia="楷体" w:cs="楷体"/>
          <w:spacing w:val="1"/>
          <w:sz w:val="32"/>
          <w:szCs w:val="32"/>
        </w:rPr>
      </w:pPr>
      <w:r>
        <w:rPr>
          <w:rFonts w:hint="eastAsia" w:ascii="楷体" w:hAnsi="楷体" w:eastAsia="楷体" w:cs="楷体"/>
          <w:spacing w:val="1"/>
          <w:sz w:val="32"/>
          <w:szCs w:val="32"/>
        </w:rPr>
        <w:t>二、2023年"三公”经费预算情况说明</w:t>
      </w:r>
    </w:p>
    <w:p>
      <w:pPr>
        <w:widowControl w:val="0"/>
        <w:kinsoku/>
        <w:autoSpaceDE/>
        <w:autoSpaceDN/>
        <w:adjustRightInd/>
        <w:snapToGrid/>
        <w:jc w:val="both"/>
        <w:textAlignment w:val="auto"/>
        <w:rPr>
          <w:rFonts w:ascii="黑体" w:hAnsi="黑体" w:eastAsia="黑体" w:cs="黑体"/>
          <w:snapToGrid/>
          <w:kern w:val="2"/>
          <w:sz w:val="32"/>
          <w:szCs w:val="32"/>
        </w:rPr>
      </w:pPr>
      <w:r>
        <w:rPr>
          <w:rFonts w:hint="eastAsia" w:ascii="黑体" w:hAnsi="黑体" w:eastAsia="黑体" w:cs="黑体"/>
          <w:snapToGrid/>
          <w:kern w:val="2"/>
          <w:sz w:val="32"/>
          <w:szCs w:val="32"/>
        </w:rPr>
        <w:t>第四部分 名词解释</w:t>
      </w:r>
    </w:p>
    <w:p/>
    <w:p/>
    <w:p/>
    <w:p/>
    <w:p/>
    <w:p>
      <w:pPr>
        <w:widowControl w:val="0"/>
        <w:kinsoku/>
        <w:autoSpaceDE/>
        <w:autoSpaceDN/>
        <w:adjustRightInd/>
        <w:snapToGrid/>
        <w:jc w:val="center"/>
        <w:textAlignment w:val="auto"/>
      </w:pPr>
      <w:r>
        <w:rPr>
          <w:rFonts w:hint="eastAsia" w:ascii="黑体" w:hAnsi="黑体" w:eastAsia="黑体" w:cs="黑体"/>
          <w:snapToGrid/>
          <w:kern w:val="2"/>
          <w:sz w:val="32"/>
          <w:szCs w:val="32"/>
        </w:rPr>
        <w:t>第一部分 浮梁县XX局概况</w:t>
      </w:r>
    </w:p>
    <w:p>
      <w:pPr>
        <w:spacing w:before="214"/>
        <w:rPr>
          <w:rFonts w:ascii="楷体" w:hAnsi="楷体" w:eastAsia="楷体" w:cs="楷体"/>
          <w:spacing w:val="13"/>
          <w:sz w:val="32"/>
          <w:szCs w:val="32"/>
        </w:rPr>
      </w:pPr>
      <w:r>
        <w:rPr>
          <w:rFonts w:hint="eastAsia" w:ascii="楷体" w:hAnsi="楷体" w:eastAsia="楷体" w:cs="楷体"/>
          <w:spacing w:val="13"/>
          <w:sz w:val="32"/>
          <w:szCs w:val="32"/>
        </w:rPr>
        <w:t>一、部门主要职责</w:t>
      </w:r>
    </w:p>
    <w:p>
      <w:pPr>
        <w:keepNext w:val="0"/>
        <w:keepLines w:val="0"/>
        <w:pageBreakBefore w:val="0"/>
        <w:kinsoku/>
        <w:wordWrap/>
        <w:overflowPunct/>
        <w:topLinePunct w:val="0"/>
        <w:autoSpaceDE/>
        <w:autoSpaceDN/>
        <w:bidi w:val="0"/>
        <w:adjustRightInd/>
        <w:snapToGrid/>
        <w:spacing w:line="600" w:lineRule="exact"/>
        <w:ind w:firstLine="630"/>
        <w:jc w:val="left"/>
        <w:textAlignment w:val="auto"/>
        <w:rPr>
          <w:rFonts w:hint="eastAsia" w:ascii="仿宋" w:hAnsi="仿宋" w:eastAsia="仿宋" w:cs="仿宋"/>
          <w:sz w:val="32"/>
          <w:szCs w:val="32"/>
        </w:rPr>
      </w:pPr>
      <w:r>
        <w:rPr>
          <w:rFonts w:hint="eastAsia" w:ascii="仿宋" w:hAnsi="仿宋" w:eastAsia="仿宋" w:cs="仿宋"/>
          <w:sz w:val="32"/>
          <w:szCs w:val="32"/>
        </w:rPr>
        <w:t>1、贯彻执行国家、省和市有关审计工作的方针政策和法律法规，拟定本县审计业务规章制度，制定并组织实施审计工作发展规划、专业领域审计工作规划和年度审计计划，对直接审计、调查和核实的事项依法进行审计评价，做出审计决定或提出审计意见和建议。</w:t>
      </w:r>
    </w:p>
    <w:p>
      <w:pPr>
        <w:keepNext w:val="0"/>
        <w:keepLines w:val="0"/>
        <w:pageBreakBefore w:val="0"/>
        <w:kinsoku/>
        <w:wordWrap/>
        <w:overflowPunct/>
        <w:topLinePunct w:val="0"/>
        <w:autoSpaceDE/>
        <w:autoSpaceDN/>
        <w:bidi w:val="0"/>
        <w:adjustRightInd/>
        <w:snapToGrid/>
        <w:spacing w:line="600" w:lineRule="exact"/>
        <w:ind w:firstLine="630"/>
        <w:jc w:val="left"/>
        <w:textAlignment w:val="auto"/>
        <w:rPr>
          <w:rFonts w:hint="eastAsia" w:ascii="仿宋" w:hAnsi="仿宋" w:eastAsia="仿宋" w:cs="仿宋"/>
          <w:sz w:val="32"/>
          <w:szCs w:val="32"/>
        </w:rPr>
      </w:pPr>
      <w:r>
        <w:rPr>
          <w:rFonts w:hint="eastAsia" w:ascii="仿宋" w:hAnsi="仿宋" w:eastAsia="仿宋" w:cs="仿宋"/>
          <w:sz w:val="32"/>
          <w:szCs w:val="32"/>
        </w:rPr>
        <w:t>2、负责对县本级财政收支和法律法规规定的属于审计范围的财务收支的真实、合法和效益进行审计监督，维护经济秩序，提高财政资金使用效益，促进廉政建设，保障国民经济和社会健康发展，对审计、专项审计调查和核实审计监督范围的社会审计机构出具的相关审计报告的结果承担责任，并负有督促被审计单位整改的责任。</w:t>
      </w:r>
    </w:p>
    <w:p>
      <w:pPr>
        <w:keepNext w:val="0"/>
        <w:keepLines w:val="0"/>
        <w:pageBreakBefore w:val="0"/>
        <w:kinsoku/>
        <w:wordWrap/>
        <w:overflowPunct/>
        <w:topLinePunct w:val="0"/>
        <w:autoSpaceDE/>
        <w:autoSpaceDN/>
        <w:bidi w:val="0"/>
        <w:adjustRightInd/>
        <w:snapToGrid/>
        <w:spacing w:line="600" w:lineRule="exact"/>
        <w:ind w:firstLine="630"/>
        <w:jc w:val="left"/>
        <w:textAlignment w:val="auto"/>
        <w:rPr>
          <w:rFonts w:hint="eastAsia" w:ascii="仿宋" w:hAnsi="仿宋" w:eastAsia="仿宋" w:cs="仿宋"/>
          <w:sz w:val="32"/>
          <w:szCs w:val="32"/>
        </w:rPr>
      </w:pPr>
      <w:r>
        <w:rPr>
          <w:rFonts w:hint="eastAsia" w:ascii="仿宋" w:hAnsi="仿宋" w:eastAsia="仿宋" w:cs="仿宋"/>
          <w:sz w:val="32"/>
          <w:szCs w:val="32"/>
        </w:rPr>
        <w:t>3、向县</w:t>
      </w:r>
      <w:r>
        <w:rPr>
          <w:rFonts w:hint="eastAsia" w:ascii="仿宋" w:hAnsi="仿宋" w:eastAsia="仿宋" w:cs="仿宋"/>
          <w:sz w:val="32"/>
          <w:szCs w:val="32"/>
          <w:lang w:eastAsia="zh-CN"/>
        </w:rPr>
        <w:t>委</w:t>
      </w:r>
      <w:r>
        <w:rPr>
          <w:rFonts w:hint="eastAsia" w:ascii="仿宋" w:hAnsi="仿宋" w:eastAsia="仿宋" w:cs="仿宋"/>
          <w:sz w:val="32"/>
          <w:szCs w:val="32"/>
          <w:lang w:val="en-US" w:eastAsia="zh-CN"/>
        </w:rPr>
        <w:t>审计委员会</w:t>
      </w:r>
      <w:r>
        <w:rPr>
          <w:rFonts w:hint="eastAsia" w:ascii="仿宋" w:hAnsi="仿宋" w:eastAsia="仿宋" w:cs="仿宋"/>
          <w:sz w:val="32"/>
          <w:szCs w:val="32"/>
        </w:rPr>
        <w:t>和市</w:t>
      </w:r>
      <w:r>
        <w:rPr>
          <w:rFonts w:hint="eastAsia" w:ascii="仿宋" w:hAnsi="仿宋" w:eastAsia="仿宋" w:cs="仿宋"/>
          <w:sz w:val="32"/>
          <w:szCs w:val="32"/>
          <w:lang w:eastAsia="zh-CN"/>
        </w:rPr>
        <w:t>委</w:t>
      </w:r>
      <w:r>
        <w:rPr>
          <w:rFonts w:hint="eastAsia" w:ascii="仿宋" w:hAnsi="仿宋" w:eastAsia="仿宋" w:cs="仿宋"/>
          <w:sz w:val="32"/>
          <w:szCs w:val="32"/>
        </w:rPr>
        <w:t>审计</w:t>
      </w:r>
      <w:r>
        <w:rPr>
          <w:rFonts w:hint="eastAsia" w:ascii="仿宋" w:hAnsi="仿宋" w:eastAsia="仿宋" w:cs="仿宋"/>
          <w:sz w:val="32"/>
          <w:szCs w:val="32"/>
          <w:lang w:eastAsia="zh-CN"/>
        </w:rPr>
        <w:t>委员会</w:t>
      </w:r>
      <w:r>
        <w:rPr>
          <w:rFonts w:hint="eastAsia" w:ascii="仿宋" w:hAnsi="仿宋" w:eastAsia="仿宋" w:cs="仿宋"/>
          <w:sz w:val="32"/>
          <w:szCs w:val="32"/>
        </w:rPr>
        <w:t>提出年度县本级预算执行和其他财政收支情况的审计结果报告，受县人民政府委托向人大常委会提出县本级预算执行和其他财政收支情况的审计工作报告。</w:t>
      </w:r>
    </w:p>
    <w:p>
      <w:pPr>
        <w:spacing w:before="214"/>
        <w:rPr>
          <w:rFonts w:hint="eastAsia" w:ascii="仿宋" w:hAnsi="仿宋" w:eastAsia="仿宋" w:cs="仿宋"/>
          <w:sz w:val="32"/>
          <w:szCs w:val="32"/>
        </w:rPr>
      </w:pPr>
      <w:r>
        <w:rPr>
          <w:rFonts w:hint="eastAsia" w:ascii="仿宋" w:hAnsi="仿宋" w:eastAsia="仿宋" w:cs="仿宋"/>
          <w:sz w:val="32"/>
          <w:szCs w:val="32"/>
        </w:rPr>
        <w:t>4、直接审计管辖范围内事项并出具审计报告，在法定职权范围内作出审计决定或向有关主管机关提出处理处罚的意见和建议等。</w:t>
      </w:r>
    </w:p>
    <w:p>
      <w:pPr>
        <w:spacing w:before="214"/>
        <w:rPr>
          <w:rFonts w:ascii="楷体" w:hAnsi="楷体" w:eastAsia="楷体" w:cs="楷体"/>
          <w:spacing w:val="13"/>
          <w:sz w:val="32"/>
          <w:szCs w:val="32"/>
        </w:rPr>
      </w:pPr>
      <w:r>
        <w:rPr>
          <w:rFonts w:hint="eastAsia" w:ascii="楷体" w:hAnsi="楷体" w:eastAsia="楷体" w:cs="楷体"/>
          <w:spacing w:val="13"/>
          <w:sz w:val="32"/>
          <w:szCs w:val="32"/>
        </w:rPr>
        <w:t>二、机构设置及人员情况</w:t>
      </w:r>
    </w:p>
    <w:p>
      <w:pPr>
        <w:widowControl w:val="0"/>
        <w:kinsoku/>
        <w:autoSpaceDE/>
        <w:autoSpaceDN/>
        <w:adjustRightInd/>
        <w:snapToGrid/>
        <w:ind w:firstLine="640" w:firstLineChars="200"/>
        <w:jc w:val="both"/>
        <w:textAlignment w:val="auto"/>
        <w:rPr>
          <w:rFonts w:ascii="仿宋_GB2312" w:hAnsi="Times New Roman" w:eastAsia="仿宋_GB2312" w:cs="Times New Roman"/>
          <w:snapToGrid/>
          <w:kern w:val="2"/>
          <w:sz w:val="32"/>
          <w:szCs w:val="32"/>
        </w:rPr>
      </w:pPr>
      <w:r>
        <w:rPr>
          <w:rFonts w:hint="eastAsia" w:ascii="仿宋_GB2312" w:hAnsi="Times New Roman" w:eastAsia="仿宋_GB2312" w:cs="Times New Roman"/>
          <w:snapToGrid/>
          <w:kern w:val="2"/>
          <w:sz w:val="32"/>
          <w:szCs w:val="32"/>
        </w:rPr>
        <w:t>1、纳入本部门2023年部门预算编制范围的二级预算单位</w:t>
      </w:r>
      <w:r>
        <w:rPr>
          <w:rFonts w:hint="eastAsia" w:ascii="仿宋_GB2312" w:hAnsi="Times New Roman" w:eastAsia="仿宋_GB2312" w:cs="Times New Roman"/>
          <w:snapToGrid/>
          <w:kern w:val="2"/>
          <w:sz w:val="32"/>
          <w:szCs w:val="32"/>
          <w:lang w:eastAsia="zh-CN"/>
        </w:rPr>
        <w:t>为浮梁县审计局</w:t>
      </w:r>
      <w:r>
        <w:rPr>
          <w:rFonts w:hint="eastAsia" w:ascii="仿宋_GB2312" w:hAnsi="Times New Roman" w:eastAsia="仿宋_GB2312" w:cs="Times New Roman"/>
          <w:snapToGrid/>
          <w:kern w:val="2"/>
          <w:sz w:val="32"/>
          <w:szCs w:val="32"/>
        </w:rPr>
        <w:t>。</w:t>
      </w:r>
    </w:p>
    <w:p>
      <w:pPr>
        <w:widowControl w:val="0"/>
        <w:kinsoku/>
        <w:autoSpaceDE/>
        <w:autoSpaceDN/>
        <w:adjustRightInd/>
        <w:snapToGrid/>
        <w:ind w:firstLine="640" w:firstLineChars="200"/>
        <w:jc w:val="both"/>
        <w:textAlignment w:val="auto"/>
        <w:rPr>
          <w:rFonts w:ascii="仿宋_GB2312" w:hAnsi="Times New Roman" w:eastAsia="仿宋_GB2312" w:cs="Times New Roman"/>
          <w:snapToGrid/>
          <w:kern w:val="2"/>
          <w:sz w:val="32"/>
          <w:szCs w:val="32"/>
        </w:rPr>
      </w:pPr>
      <w:r>
        <w:rPr>
          <w:rFonts w:hint="eastAsia" w:ascii="仿宋_GB2312" w:hAnsi="Times New Roman" w:eastAsia="仿宋_GB2312" w:cs="Times New Roman"/>
          <w:snapToGrid/>
          <w:kern w:val="2"/>
          <w:sz w:val="32"/>
          <w:szCs w:val="32"/>
        </w:rPr>
        <w:t>2、2023年</w:t>
      </w:r>
      <w:r>
        <w:rPr>
          <w:rFonts w:hint="eastAsia" w:ascii="仿宋" w:hAnsi="仿宋" w:eastAsia="仿宋" w:cs="仿宋"/>
          <w:kern w:val="2"/>
          <w:sz w:val="32"/>
          <w:szCs w:val="32"/>
          <w:lang w:val="en-US" w:eastAsia="zh-CN" w:bidi="ar-SA"/>
        </w:rPr>
        <w:t>行政编制人员11人、事业编制人员10人</w:t>
      </w:r>
      <w:r>
        <w:rPr>
          <w:rFonts w:hint="eastAsia" w:ascii="仿宋_GB2312" w:hAnsi="Times New Roman" w:eastAsia="仿宋_GB2312" w:cs="Times New Roman"/>
          <w:snapToGrid/>
          <w:kern w:val="2"/>
          <w:sz w:val="32"/>
          <w:szCs w:val="32"/>
        </w:rPr>
        <w:t>、实有人数</w:t>
      </w:r>
      <w:r>
        <w:rPr>
          <w:rFonts w:hint="eastAsia" w:ascii="仿宋" w:hAnsi="仿宋" w:eastAsia="仿宋" w:cs="仿宋"/>
          <w:kern w:val="2"/>
          <w:sz w:val="32"/>
          <w:szCs w:val="32"/>
          <w:lang w:val="en-US" w:eastAsia="zh-CN" w:bidi="ar-SA"/>
        </w:rPr>
        <w:t>30人</w:t>
      </w:r>
      <w:r>
        <w:rPr>
          <w:rFonts w:hint="eastAsia" w:ascii="仿宋_GB2312" w:hAnsi="Times New Roman" w:eastAsia="仿宋_GB2312" w:cs="Times New Roman"/>
          <w:snapToGrid/>
          <w:kern w:val="2"/>
          <w:sz w:val="32"/>
          <w:szCs w:val="32"/>
        </w:rPr>
        <w:t>。</w:t>
      </w:r>
    </w:p>
    <w:p>
      <w:pPr>
        <w:spacing w:before="3"/>
        <w:ind w:right="52"/>
        <w:rPr>
          <w:rFonts w:ascii="仿宋" w:hAnsi="仿宋" w:eastAsia="仿宋" w:cs="仿宋"/>
          <w:spacing w:val="-9"/>
          <w:sz w:val="32"/>
          <w:szCs w:val="32"/>
        </w:rPr>
      </w:pPr>
    </w:p>
    <w:p/>
    <w:p>
      <w:pPr>
        <w:widowControl w:val="0"/>
        <w:kinsoku/>
        <w:autoSpaceDE/>
        <w:autoSpaceDN/>
        <w:adjustRightInd/>
        <w:snapToGrid/>
        <w:jc w:val="center"/>
        <w:textAlignment w:val="auto"/>
        <w:rPr>
          <w:rFonts w:ascii="黑体" w:hAnsi="黑体" w:eastAsia="黑体" w:cs="黑体"/>
          <w:snapToGrid/>
          <w:kern w:val="2"/>
          <w:sz w:val="32"/>
          <w:szCs w:val="32"/>
        </w:rPr>
      </w:pPr>
      <w:r>
        <w:rPr>
          <w:rFonts w:hint="eastAsia" w:ascii="黑体" w:hAnsi="黑体" w:eastAsia="黑体" w:cs="黑体"/>
          <w:snapToGrid/>
          <w:kern w:val="2"/>
          <w:sz w:val="32"/>
          <w:szCs w:val="32"/>
        </w:rPr>
        <w:t>第二部分 浮梁县XX局2023年部门预算表</w:t>
      </w:r>
    </w:p>
    <w:p>
      <w:pPr>
        <w:spacing w:before="215"/>
        <w:ind w:firstLine="3550"/>
        <w:rPr>
          <w:rFonts w:ascii="仿宋" w:hAnsi="仿宋" w:eastAsia="仿宋" w:cs="仿宋"/>
          <w:spacing w:val="17"/>
          <w:sz w:val="32"/>
          <w:szCs w:val="32"/>
        </w:rPr>
      </w:pPr>
      <w:r>
        <w:rPr>
          <w:rFonts w:ascii="仿宋" w:hAnsi="仿宋" w:eastAsia="仿宋" w:cs="仿宋"/>
          <w:spacing w:val="17"/>
          <w:sz w:val="32"/>
          <w:szCs w:val="32"/>
        </w:rPr>
        <w:t>(详见附表)</w:t>
      </w:r>
    </w:p>
    <w:p>
      <w:pPr>
        <w:spacing w:before="215"/>
        <w:ind w:firstLine="3550"/>
        <w:rPr>
          <w:rFonts w:ascii="仿宋" w:hAnsi="仿宋" w:eastAsia="仿宋" w:cs="仿宋"/>
          <w:spacing w:val="17"/>
          <w:sz w:val="32"/>
          <w:szCs w:val="32"/>
        </w:rPr>
      </w:pPr>
    </w:p>
    <w:p/>
    <w:p>
      <w:pPr>
        <w:widowControl w:val="0"/>
        <w:kinsoku/>
        <w:autoSpaceDE/>
        <w:autoSpaceDN/>
        <w:adjustRightInd/>
        <w:snapToGrid/>
        <w:jc w:val="center"/>
        <w:textAlignment w:val="auto"/>
      </w:pPr>
      <w:r>
        <w:rPr>
          <w:rFonts w:hint="eastAsia" w:ascii="黑体" w:hAnsi="黑体" w:eastAsia="黑体" w:cs="黑体"/>
          <w:snapToGrid/>
          <w:kern w:val="2"/>
          <w:sz w:val="32"/>
          <w:szCs w:val="32"/>
        </w:rPr>
        <w:t>第三部分 浮梁县XX局2023年部门预算情况说明</w:t>
      </w:r>
    </w:p>
    <w:p>
      <w:pPr>
        <w:spacing w:before="214"/>
        <w:rPr>
          <w:rFonts w:ascii="楷体" w:hAnsi="楷体" w:eastAsia="楷体" w:cs="楷体"/>
          <w:spacing w:val="13"/>
          <w:sz w:val="32"/>
          <w:szCs w:val="32"/>
        </w:rPr>
      </w:pPr>
      <w:r>
        <w:rPr>
          <w:rFonts w:hint="eastAsia" w:ascii="楷体" w:hAnsi="楷体" w:eastAsia="楷体" w:cs="楷体"/>
          <w:spacing w:val="13"/>
          <w:sz w:val="32"/>
          <w:szCs w:val="32"/>
        </w:rPr>
        <w:t>一、2023年部门预算收支情况说明</w:t>
      </w:r>
    </w:p>
    <w:p>
      <w:pPr>
        <w:widowControl w:val="0"/>
        <w:kinsoku/>
        <w:autoSpaceDE/>
        <w:autoSpaceDN/>
        <w:adjustRightInd/>
        <w:snapToGrid/>
        <w:ind w:firstLine="640" w:firstLineChars="200"/>
        <w:jc w:val="both"/>
        <w:textAlignment w:val="auto"/>
        <w:rPr>
          <w:rFonts w:ascii="仿宋_GB2312" w:hAnsi="Times New Roman" w:eastAsia="仿宋_GB2312" w:cs="Times New Roman"/>
          <w:snapToGrid/>
          <w:kern w:val="2"/>
          <w:sz w:val="32"/>
          <w:szCs w:val="32"/>
        </w:rPr>
      </w:pPr>
      <w:r>
        <w:rPr>
          <w:rFonts w:hint="eastAsia" w:ascii="仿宋_GB2312" w:hAnsi="Times New Roman" w:eastAsia="仿宋_GB2312" w:cs="Times New Roman"/>
          <w:snapToGrid/>
          <w:kern w:val="2"/>
          <w:sz w:val="32"/>
          <w:szCs w:val="32"/>
        </w:rPr>
        <w:t>(一)收入预算情况</w:t>
      </w:r>
    </w:p>
    <w:p>
      <w:pPr>
        <w:widowControl w:val="0"/>
        <w:kinsoku/>
        <w:autoSpaceDE/>
        <w:autoSpaceDN/>
        <w:adjustRightInd/>
        <w:snapToGrid/>
        <w:ind w:firstLine="640" w:firstLineChars="200"/>
        <w:jc w:val="both"/>
        <w:textAlignment w:val="auto"/>
        <w:rPr>
          <w:rFonts w:ascii="仿宋_GB2312" w:hAnsi="Times New Roman" w:eastAsia="仿宋_GB2312" w:cs="Times New Roman"/>
          <w:snapToGrid/>
          <w:kern w:val="2"/>
          <w:sz w:val="32"/>
          <w:szCs w:val="32"/>
        </w:rPr>
      </w:pPr>
      <w:r>
        <w:rPr>
          <w:rFonts w:hint="eastAsia" w:ascii="仿宋_GB2312" w:hAnsi="Times New Roman" w:eastAsia="仿宋_GB2312" w:cs="Times New Roman"/>
          <w:snapToGrid/>
          <w:kern w:val="2"/>
          <w:sz w:val="32"/>
          <w:szCs w:val="32"/>
          <w:lang w:eastAsia="zh-CN"/>
        </w:rPr>
        <w:t>本年</w:t>
      </w:r>
      <w:r>
        <w:rPr>
          <w:rFonts w:hint="eastAsia" w:ascii="仿宋_GB2312" w:hAnsi="Times New Roman" w:eastAsia="仿宋_GB2312" w:cs="Times New Roman"/>
          <w:snapToGrid/>
          <w:kern w:val="2"/>
          <w:sz w:val="32"/>
          <w:szCs w:val="32"/>
        </w:rPr>
        <w:t>收入预算总额</w:t>
      </w:r>
      <w:r>
        <w:rPr>
          <w:rFonts w:hint="eastAsia" w:ascii="仿宋_GB2312" w:hAnsi="Times New Roman" w:eastAsia="仿宋_GB2312" w:cs="Times New Roman"/>
          <w:snapToGrid/>
          <w:kern w:val="2"/>
          <w:sz w:val="32"/>
          <w:szCs w:val="32"/>
          <w:lang w:val="en-US" w:eastAsia="zh-CN"/>
        </w:rPr>
        <w:t>336.72万元</w:t>
      </w:r>
      <w:r>
        <w:rPr>
          <w:rFonts w:hint="eastAsia" w:ascii="仿宋_GB2312" w:hAnsi="Times New Roman" w:eastAsia="仿宋_GB2312" w:cs="Times New Roman"/>
          <w:snapToGrid/>
          <w:kern w:val="2"/>
          <w:sz w:val="32"/>
          <w:szCs w:val="32"/>
        </w:rPr>
        <w:t>，较上年预算安排的减</w:t>
      </w:r>
      <w:r>
        <w:rPr>
          <w:rFonts w:hint="eastAsia" w:ascii="仿宋_GB2312" w:hAnsi="Times New Roman" w:eastAsia="仿宋_GB2312" w:cs="Times New Roman"/>
          <w:snapToGrid/>
          <w:kern w:val="2"/>
          <w:sz w:val="32"/>
          <w:szCs w:val="32"/>
          <w:lang w:eastAsia="zh-CN"/>
        </w:rPr>
        <w:t>少</w:t>
      </w:r>
      <w:r>
        <w:rPr>
          <w:rFonts w:hint="eastAsia" w:ascii="仿宋_GB2312" w:hAnsi="Times New Roman" w:eastAsia="仿宋_GB2312" w:cs="Times New Roman"/>
          <w:snapToGrid/>
          <w:kern w:val="2"/>
          <w:sz w:val="32"/>
          <w:szCs w:val="32"/>
          <w:lang w:val="en-US" w:eastAsia="zh-CN"/>
        </w:rPr>
        <w:t>10.02%</w:t>
      </w:r>
      <w:r>
        <w:rPr>
          <w:rFonts w:hint="eastAsia" w:ascii="仿宋_GB2312" w:hAnsi="Times New Roman" w:eastAsia="仿宋_GB2312" w:cs="Times New Roman"/>
          <w:snapToGrid/>
          <w:kern w:val="2"/>
          <w:sz w:val="32"/>
          <w:szCs w:val="32"/>
        </w:rPr>
        <w:t>。</w:t>
      </w:r>
    </w:p>
    <w:p>
      <w:pPr>
        <w:widowControl w:val="0"/>
        <w:kinsoku/>
        <w:autoSpaceDE/>
        <w:autoSpaceDN/>
        <w:adjustRightInd/>
        <w:snapToGrid/>
        <w:ind w:firstLine="640" w:firstLineChars="200"/>
        <w:jc w:val="both"/>
        <w:textAlignment w:val="auto"/>
        <w:rPr>
          <w:rFonts w:ascii="仿宋_GB2312" w:hAnsi="Times New Roman" w:eastAsia="仿宋_GB2312" w:cs="Times New Roman"/>
          <w:snapToGrid/>
          <w:kern w:val="2"/>
          <w:sz w:val="32"/>
          <w:szCs w:val="32"/>
        </w:rPr>
      </w:pPr>
      <w:r>
        <w:rPr>
          <w:rFonts w:hint="eastAsia" w:ascii="仿宋_GB2312" w:hAnsi="Times New Roman" w:eastAsia="仿宋_GB2312" w:cs="Times New Roman"/>
          <w:snapToGrid/>
          <w:kern w:val="2"/>
          <w:sz w:val="32"/>
          <w:szCs w:val="32"/>
        </w:rPr>
        <w:t>(二)支出预算情况</w:t>
      </w:r>
    </w:p>
    <w:p>
      <w:pPr>
        <w:widowControl w:val="0"/>
        <w:kinsoku/>
        <w:autoSpaceDE/>
        <w:autoSpaceDN/>
        <w:adjustRightInd/>
        <w:snapToGrid/>
        <w:ind w:firstLine="640" w:firstLineChars="200"/>
        <w:jc w:val="both"/>
        <w:textAlignment w:val="auto"/>
        <w:rPr>
          <w:rFonts w:ascii="仿宋_GB2312" w:hAnsi="Times New Roman" w:eastAsia="仿宋_GB2312" w:cs="Times New Roman"/>
          <w:snapToGrid/>
          <w:kern w:val="2"/>
          <w:sz w:val="32"/>
          <w:szCs w:val="32"/>
        </w:rPr>
      </w:pPr>
      <w:r>
        <w:rPr>
          <w:rFonts w:hint="eastAsia" w:ascii="仿宋_GB2312" w:hAnsi="Times New Roman" w:eastAsia="仿宋_GB2312" w:cs="Times New Roman"/>
          <w:snapToGrid/>
          <w:kern w:val="2"/>
          <w:sz w:val="32"/>
          <w:szCs w:val="32"/>
          <w:lang w:eastAsia="zh-CN"/>
        </w:rPr>
        <w:t>本年</w:t>
      </w:r>
      <w:r>
        <w:rPr>
          <w:rFonts w:hint="eastAsia" w:ascii="仿宋_GB2312" w:hAnsi="Times New Roman" w:eastAsia="仿宋_GB2312" w:cs="Times New Roman"/>
          <w:snapToGrid/>
          <w:kern w:val="2"/>
          <w:sz w:val="32"/>
          <w:szCs w:val="32"/>
        </w:rPr>
        <w:t>支出预算总额</w:t>
      </w:r>
      <w:r>
        <w:rPr>
          <w:rFonts w:hint="eastAsia" w:ascii="仿宋_GB2312" w:hAnsi="Times New Roman" w:eastAsia="仿宋_GB2312" w:cs="Times New Roman"/>
          <w:snapToGrid/>
          <w:kern w:val="2"/>
          <w:sz w:val="32"/>
          <w:szCs w:val="32"/>
          <w:lang w:val="en-US" w:eastAsia="zh-CN"/>
        </w:rPr>
        <w:t>336.72万元，</w:t>
      </w:r>
      <w:r>
        <w:rPr>
          <w:rFonts w:hint="eastAsia" w:ascii="仿宋_GB2312" w:hAnsi="Times New Roman" w:eastAsia="仿宋_GB2312" w:cs="Times New Roman"/>
          <w:snapToGrid/>
          <w:kern w:val="2"/>
          <w:sz w:val="32"/>
          <w:szCs w:val="32"/>
          <w:lang w:eastAsia="zh-CN"/>
        </w:rPr>
        <w:t>财政拨款</w:t>
      </w:r>
      <w:r>
        <w:rPr>
          <w:rFonts w:hint="eastAsia" w:ascii="仿宋_GB2312" w:hAnsi="Times New Roman" w:eastAsia="仿宋_GB2312" w:cs="Times New Roman"/>
          <w:snapToGrid/>
          <w:kern w:val="2"/>
          <w:sz w:val="32"/>
          <w:szCs w:val="32"/>
          <w:lang w:val="en-US" w:eastAsia="zh-CN"/>
        </w:rPr>
        <w:t>336.72万元</w:t>
      </w:r>
      <w:r>
        <w:rPr>
          <w:rFonts w:hint="eastAsia" w:ascii="仿宋_GB2312" w:hAnsi="Times New Roman" w:eastAsia="仿宋_GB2312" w:cs="Times New Roman"/>
          <w:snapToGrid/>
          <w:kern w:val="2"/>
          <w:sz w:val="32"/>
          <w:szCs w:val="32"/>
          <w:lang w:eastAsia="zh-CN"/>
        </w:rPr>
        <w:t>；一般公共服务支出</w:t>
      </w:r>
      <w:r>
        <w:rPr>
          <w:rFonts w:hint="eastAsia" w:ascii="仿宋_GB2312" w:hAnsi="Times New Roman" w:eastAsia="仿宋_GB2312" w:cs="Times New Roman"/>
          <w:snapToGrid/>
          <w:kern w:val="2"/>
          <w:sz w:val="32"/>
          <w:szCs w:val="32"/>
          <w:lang w:val="en-US" w:eastAsia="zh-CN"/>
        </w:rPr>
        <w:t>264.81万元，社会保障和就业支出41.37万元，卫生健康支出8.41万元，住房保障支出22.14万元；</w:t>
      </w:r>
      <w:r>
        <w:rPr>
          <w:rFonts w:hint="eastAsia" w:ascii="仿宋_GB2312" w:hAnsi="Times New Roman" w:eastAsia="仿宋_GB2312" w:cs="Times New Roman"/>
          <w:snapToGrid/>
          <w:kern w:val="2"/>
          <w:sz w:val="32"/>
          <w:szCs w:val="32"/>
          <w:lang w:eastAsia="zh-CN"/>
        </w:rPr>
        <w:t>人员经费</w:t>
      </w:r>
      <w:r>
        <w:rPr>
          <w:rFonts w:hint="eastAsia" w:ascii="仿宋_GB2312" w:hAnsi="Times New Roman" w:eastAsia="仿宋_GB2312" w:cs="Times New Roman"/>
          <w:snapToGrid/>
          <w:kern w:val="2"/>
          <w:sz w:val="32"/>
          <w:szCs w:val="32"/>
          <w:lang w:val="en-US" w:eastAsia="zh-CN"/>
        </w:rPr>
        <w:t>296.39万元，公用经费40.33万元。</w:t>
      </w:r>
      <w:r>
        <w:rPr>
          <w:rFonts w:hint="eastAsia" w:ascii="仿宋_GB2312" w:hAnsi="Times New Roman" w:eastAsia="仿宋_GB2312" w:cs="Times New Roman"/>
          <w:snapToGrid/>
          <w:kern w:val="2"/>
          <w:sz w:val="32"/>
          <w:szCs w:val="32"/>
        </w:rPr>
        <w:t>较上年预算安排的减</w:t>
      </w:r>
      <w:r>
        <w:rPr>
          <w:rFonts w:hint="eastAsia" w:ascii="仿宋_GB2312" w:hAnsi="Times New Roman" w:eastAsia="仿宋_GB2312" w:cs="Times New Roman"/>
          <w:snapToGrid/>
          <w:kern w:val="2"/>
          <w:sz w:val="32"/>
          <w:szCs w:val="32"/>
          <w:lang w:eastAsia="zh-CN"/>
        </w:rPr>
        <w:t>少</w:t>
      </w:r>
      <w:r>
        <w:rPr>
          <w:rFonts w:hint="eastAsia" w:ascii="仿宋_GB2312" w:hAnsi="Times New Roman" w:eastAsia="仿宋_GB2312" w:cs="Times New Roman"/>
          <w:snapToGrid/>
          <w:kern w:val="2"/>
          <w:sz w:val="32"/>
          <w:szCs w:val="32"/>
          <w:lang w:val="en-US" w:eastAsia="zh-CN"/>
        </w:rPr>
        <w:t>10.02%</w:t>
      </w:r>
      <w:r>
        <w:rPr>
          <w:rFonts w:hint="eastAsia" w:ascii="仿宋_GB2312" w:hAnsi="Times New Roman" w:eastAsia="仿宋_GB2312" w:cs="Times New Roman"/>
          <w:snapToGrid/>
          <w:kern w:val="2"/>
          <w:sz w:val="32"/>
          <w:szCs w:val="32"/>
        </w:rPr>
        <w:t>。</w:t>
      </w:r>
    </w:p>
    <w:p>
      <w:pPr>
        <w:widowControl w:val="0"/>
        <w:kinsoku/>
        <w:autoSpaceDE/>
        <w:autoSpaceDN/>
        <w:adjustRightInd/>
        <w:snapToGrid/>
        <w:ind w:firstLine="640" w:firstLineChars="200"/>
        <w:jc w:val="both"/>
        <w:textAlignment w:val="auto"/>
        <w:rPr>
          <w:rFonts w:ascii="仿宋_GB2312" w:hAnsi="Times New Roman" w:eastAsia="仿宋_GB2312" w:cs="Times New Roman"/>
          <w:snapToGrid/>
          <w:kern w:val="2"/>
          <w:sz w:val="32"/>
          <w:szCs w:val="32"/>
        </w:rPr>
      </w:pPr>
      <w:r>
        <w:rPr>
          <w:rFonts w:hint="eastAsia" w:ascii="仿宋_GB2312" w:hAnsi="Times New Roman" w:eastAsia="仿宋_GB2312" w:cs="Times New Roman"/>
          <w:snapToGrid/>
          <w:kern w:val="2"/>
          <w:sz w:val="32"/>
          <w:szCs w:val="32"/>
        </w:rPr>
        <w:t>(三)财政拨款支出情况</w:t>
      </w:r>
    </w:p>
    <w:p>
      <w:pPr>
        <w:widowControl w:val="0"/>
        <w:kinsoku/>
        <w:autoSpaceDE/>
        <w:autoSpaceDN/>
        <w:adjustRightInd/>
        <w:snapToGrid/>
        <w:ind w:firstLine="640" w:firstLineChars="200"/>
        <w:jc w:val="both"/>
        <w:textAlignment w:val="auto"/>
        <w:rPr>
          <w:rFonts w:ascii="仿宋_GB2312" w:hAnsi="Times New Roman" w:eastAsia="仿宋_GB2312" w:cs="Times New Roman"/>
          <w:snapToGrid/>
          <w:kern w:val="2"/>
          <w:sz w:val="32"/>
          <w:szCs w:val="32"/>
        </w:rPr>
      </w:pPr>
      <w:r>
        <w:rPr>
          <w:rFonts w:hint="eastAsia" w:ascii="仿宋_GB2312" w:hAnsi="Times New Roman" w:eastAsia="仿宋_GB2312" w:cs="Times New Roman"/>
          <w:snapToGrid/>
          <w:kern w:val="2"/>
          <w:sz w:val="32"/>
          <w:szCs w:val="32"/>
        </w:rPr>
        <w:t>财政拨款支出预算数</w:t>
      </w:r>
      <w:r>
        <w:rPr>
          <w:rFonts w:hint="eastAsia" w:ascii="仿宋_GB2312" w:hAnsi="Times New Roman" w:eastAsia="仿宋_GB2312" w:cs="Times New Roman"/>
          <w:snapToGrid/>
          <w:kern w:val="2"/>
          <w:sz w:val="32"/>
          <w:szCs w:val="32"/>
          <w:lang w:val="en-US" w:eastAsia="zh-CN"/>
        </w:rPr>
        <w:t>336.72万元</w:t>
      </w:r>
      <w:r>
        <w:rPr>
          <w:rFonts w:hint="eastAsia" w:ascii="仿宋_GB2312" w:hAnsi="Times New Roman" w:eastAsia="仿宋_GB2312" w:cs="Times New Roman"/>
          <w:snapToGrid/>
          <w:kern w:val="2"/>
          <w:sz w:val="32"/>
          <w:szCs w:val="32"/>
        </w:rPr>
        <w:t>，较上年预算安排的减</w:t>
      </w:r>
      <w:r>
        <w:rPr>
          <w:rFonts w:hint="eastAsia" w:ascii="仿宋_GB2312" w:hAnsi="Times New Roman" w:eastAsia="仿宋_GB2312" w:cs="Times New Roman"/>
          <w:snapToGrid/>
          <w:kern w:val="2"/>
          <w:sz w:val="32"/>
          <w:szCs w:val="32"/>
          <w:lang w:eastAsia="zh-CN"/>
        </w:rPr>
        <w:t>少</w:t>
      </w:r>
      <w:r>
        <w:rPr>
          <w:rFonts w:hint="eastAsia" w:ascii="仿宋_GB2312" w:hAnsi="Times New Roman" w:eastAsia="仿宋_GB2312" w:cs="Times New Roman"/>
          <w:snapToGrid/>
          <w:kern w:val="2"/>
          <w:sz w:val="32"/>
          <w:szCs w:val="32"/>
          <w:lang w:val="en-US" w:eastAsia="zh-CN"/>
        </w:rPr>
        <w:t>10.02%</w:t>
      </w:r>
      <w:r>
        <w:rPr>
          <w:rFonts w:hint="eastAsia" w:ascii="仿宋_GB2312" w:hAnsi="Times New Roman" w:eastAsia="仿宋_GB2312" w:cs="Times New Roman"/>
          <w:snapToGrid/>
          <w:kern w:val="2"/>
          <w:sz w:val="32"/>
          <w:szCs w:val="32"/>
        </w:rPr>
        <w:t>。</w:t>
      </w:r>
    </w:p>
    <w:p>
      <w:pPr>
        <w:widowControl w:val="0"/>
        <w:kinsoku/>
        <w:autoSpaceDE/>
        <w:autoSpaceDN/>
        <w:adjustRightInd/>
        <w:snapToGrid/>
        <w:ind w:firstLine="640" w:firstLineChars="200"/>
        <w:jc w:val="both"/>
        <w:textAlignment w:val="auto"/>
        <w:rPr>
          <w:rFonts w:ascii="仿宋_GB2312" w:hAnsi="Times New Roman" w:eastAsia="仿宋_GB2312" w:cs="Times New Roman"/>
          <w:snapToGrid/>
          <w:kern w:val="2"/>
          <w:sz w:val="32"/>
          <w:szCs w:val="32"/>
        </w:rPr>
      </w:pPr>
      <w:r>
        <w:rPr>
          <w:rFonts w:hint="eastAsia" w:ascii="仿宋_GB2312" w:hAnsi="Times New Roman" w:eastAsia="仿宋_GB2312" w:cs="Times New Roman"/>
          <w:snapToGrid/>
          <w:kern w:val="2"/>
          <w:sz w:val="32"/>
          <w:szCs w:val="32"/>
        </w:rPr>
        <w:t>(四)政府性基金情况</w:t>
      </w:r>
    </w:p>
    <w:p>
      <w:pPr>
        <w:widowControl w:val="0"/>
        <w:kinsoku/>
        <w:autoSpaceDE/>
        <w:autoSpaceDN/>
        <w:adjustRightInd/>
        <w:snapToGrid/>
        <w:ind w:firstLine="640" w:firstLineChars="200"/>
        <w:jc w:val="both"/>
        <w:textAlignment w:val="auto"/>
        <w:rPr>
          <w:rFonts w:hint="eastAsia" w:ascii="仿宋_GB2312" w:hAnsi="Times New Roman" w:eastAsia="仿宋_GB2312" w:cs="Times New Roman"/>
          <w:snapToGrid/>
          <w:kern w:val="2"/>
          <w:sz w:val="32"/>
          <w:szCs w:val="32"/>
          <w:lang w:eastAsia="zh-CN"/>
        </w:rPr>
      </w:pPr>
      <w:r>
        <w:rPr>
          <w:rFonts w:hint="eastAsia" w:ascii="仿宋_GB2312" w:hAnsi="Times New Roman" w:eastAsia="仿宋_GB2312" w:cs="Times New Roman"/>
          <w:snapToGrid/>
          <w:kern w:val="2"/>
          <w:sz w:val="32"/>
          <w:szCs w:val="32"/>
          <w:lang w:eastAsia="zh-CN"/>
        </w:rPr>
        <w:t>无</w:t>
      </w:r>
    </w:p>
    <w:p>
      <w:pPr>
        <w:widowControl w:val="0"/>
        <w:kinsoku/>
        <w:autoSpaceDE/>
        <w:autoSpaceDN/>
        <w:adjustRightInd/>
        <w:snapToGrid/>
        <w:ind w:firstLine="640" w:firstLineChars="200"/>
        <w:jc w:val="both"/>
        <w:textAlignment w:val="auto"/>
        <w:rPr>
          <w:rFonts w:ascii="仿宋_GB2312" w:hAnsi="Times New Roman" w:eastAsia="仿宋_GB2312" w:cs="Times New Roman"/>
          <w:snapToGrid/>
          <w:kern w:val="2"/>
          <w:sz w:val="32"/>
          <w:szCs w:val="32"/>
        </w:rPr>
      </w:pPr>
      <w:r>
        <w:rPr>
          <w:rFonts w:hint="eastAsia" w:ascii="仿宋_GB2312" w:hAnsi="Times New Roman" w:eastAsia="仿宋_GB2312" w:cs="Times New Roman"/>
          <w:snapToGrid/>
          <w:kern w:val="2"/>
          <w:sz w:val="32"/>
          <w:szCs w:val="32"/>
        </w:rPr>
        <w:t>(五)国有资本经营情况</w:t>
      </w:r>
    </w:p>
    <w:p>
      <w:pPr>
        <w:widowControl w:val="0"/>
        <w:kinsoku/>
        <w:autoSpaceDE/>
        <w:autoSpaceDN/>
        <w:adjustRightInd/>
        <w:snapToGrid/>
        <w:ind w:firstLine="640" w:firstLineChars="200"/>
        <w:jc w:val="both"/>
        <w:textAlignment w:val="auto"/>
        <w:rPr>
          <w:rFonts w:hint="eastAsia" w:ascii="仿宋_GB2312" w:hAnsi="Times New Roman" w:eastAsia="仿宋_GB2312" w:cs="Times New Roman"/>
          <w:snapToGrid/>
          <w:kern w:val="2"/>
          <w:sz w:val="32"/>
          <w:szCs w:val="32"/>
          <w:lang w:eastAsia="zh-CN"/>
        </w:rPr>
      </w:pPr>
      <w:r>
        <w:rPr>
          <w:rFonts w:hint="eastAsia" w:ascii="仿宋_GB2312" w:hAnsi="Times New Roman" w:eastAsia="仿宋_GB2312" w:cs="Times New Roman"/>
          <w:snapToGrid/>
          <w:kern w:val="2"/>
          <w:sz w:val="32"/>
          <w:szCs w:val="32"/>
          <w:lang w:eastAsia="zh-CN"/>
        </w:rPr>
        <w:t>无</w:t>
      </w:r>
    </w:p>
    <w:p>
      <w:pPr>
        <w:widowControl w:val="0"/>
        <w:kinsoku/>
        <w:autoSpaceDE/>
        <w:autoSpaceDN/>
        <w:adjustRightInd/>
        <w:snapToGrid/>
        <w:ind w:firstLine="640" w:firstLineChars="200"/>
        <w:jc w:val="both"/>
        <w:textAlignment w:val="auto"/>
        <w:rPr>
          <w:rFonts w:ascii="仿宋_GB2312" w:hAnsi="Times New Roman" w:eastAsia="仿宋_GB2312" w:cs="Times New Roman"/>
          <w:snapToGrid/>
          <w:kern w:val="2"/>
          <w:sz w:val="32"/>
          <w:szCs w:val="32"/>
        </w:rPr>
      </w:pPr>
      <w:r>
        <w:rPr>
          <w:rFonts w:hint="eastAsia" w:ascii="仿宋_GB2312" w:hAnsi="Times New Roman" w:eastAsia="仿宋_GB2312" w:cs="Times New Roman"/>
          <w:snapToGrid/>
          <w:kern w:val="2"/>
          <w:sz w:val="32"/>
          <w:szCs w:val="32"/>
        </w:rPr>
        <w:t>(六)机关运行经费等重要事项的说明</w:t>
      </w:r>
    </w:p>
    <w:p>
      <w:pPr>
        <w:widowControl w:val="0"/>
        <w:kinsoku/>
        <w:autoSpaceDE/>
        <w:autoSpaceDN/>
        <w:adjustRightInd/>
        <w:snapToGrid/>
        <w:ind w:firstLine="640" w:firstLineChars="200"/>
        <w:jc w:val="both"/>
        <w:textAlignment w:val="auto"/>
        <w:rPr>
          <w:rFonts w:ascii="仿宋_GB2312" w:hAnsi="Times New Roman" w:eastAsia="仿宋_GB2312" w:cs="Times New Roman"/>
          <w:snapToGrid/>
          <w:kern w:val="2"/>
          <w:sz w:val="32"/>
          <w:szCs w:val="32"/>
        </w:rPr>
      </w:pPr>
      <w:r>
        <w:rPr>
          <w:rFonts w:hint="eastAsia" w:ascii="仿宋_GB2312" w:hAnsi="Times New Roman" w:eastAsia="仿宋_GB2312" w:cs="Times New Roman"/>
          <w:snapToGrid/>
          <w:kern w:val="2"/>
          <w:sz w:val="32"/>
          <w:szCs w:val="32"/>
        </w:rPr>
        <w:t>2023年部门机关运行费预算</w:t>
      </w:r>
      <w:r>
        <w:rPr>
          <w:rFonts w:hint="eastAsia" w:ascii="仿宋_GB2312" w:hAnsi="Times New Roman" w:eastAsia="仿宋_GB2312" w:cs="Times New Roman"/>
          <w:snapToGrid/>
          <w:kern w:val="2"/>
          <w:sz w:val="32"/>
          <w:szCs w:val="32"/>
          <w:lang w:val="en-US" w:eastAsia="zh-CN"/>
        </w:rPr>
        <w:t>40.33</w:t>
      </w:r>
      <w:r>
        <w:rPr>
          <w:rFonts w:hint="eastAsia" w:ascii="仿宋_GB2312" w:hAnsi="Times New Roman" w:eastAsia="仿宋_GB2312" w:cs="Times New Roman"/>
          <w:snapToGrid/>
          <w:kern w:val="2"/>
          <w:sz w:val="32"/>
          <w:szCs w:val="32"/>
        </w:rPr>
        <w:t>万元</w:t>
      </w:r>
      <w:r>
        <w:rPr>
          <w:rFonts w:hint="eastAsia" w:ascii="仿宋_GB2312" w:hAnsi="Times New Roman" w:eastAsia="仿宋_GB2312" w:cs="Times New Roman"/>
          <w:snapToGrid/>
          <w:kern w:val="2"/>
          <w:sz w:val="32"/>
          <w:szCs w:val="32"/>
          <w:lang w:eastAsia="zh-CN"/>
        </w:rPr>
        <w:t>，比202</w:t>
      </w:r>
      <w:r>
        <w:rPr>
          <w:rFonts w:hint="eastAsia" w:ascii="仿宋_GB2312" w:hAnsi="Times New Roman" w:eastAsia="仿宋_GB2312" w:cs="Times New Roman"/>
          <w:snapToGrid/>
          <w:kern w:val="2"/>
          <w:sz w:val="32"/>
          <w:szCs w:val="32"/>
          <w:lang w:val="en-US" w:eastAsia="zh-CN"/>
        </w:rPr>
        <w:t>2</w:t>
      </w:r>
      <w:r>
        <w:rPr>
          <w:rFonts w:hint="eastAsia" w:ascii="仿宋_GB2312" w:hAnsi="Times New Roman" w:eastAsia="仿宋_GB2312" w:cs="Times New Roman"/>
          <w:snapToGrid/>
          <w:kern w:val="2"/>
          <w:sz w:val="32"/>
          <w:szCs w:val="32"/>
          <w:lang w:eastAsia="zh-CN"/>
        </w:rPr>
        <w:t>年预算减少1.44万元,下降</w:t>
      </w:r>
      <w:r>
        <w:rPr>
          <w:rFonts w:hint="eastAsia" w:ascii="仿宋_GB2312" w:hAnsi="Times New Roman" w:eastAsia="仿宋_GB2312" w:cs="Times New Roman"/>
          <w:snapToGrid/>
          <w:kern w:val="2"/>
          <w:sz w:val="32"/>
          <w:szCs w:val="32"/>
          <w:lang w:val="en-US" w:eastAsia="zh-CN"/>
        </w:rPr>
        <w:t>3.45</w:t>
      </w:r>
      <w:r>
        <w:rPr>
          <w:rFonts w:hint="eastAsia" w:ascii="仿宋_GB2312" w:hAnsi="Times New Roman" w:eastAsia="仿宋_GB2312" w:cs="Times New Roman"/>
          <w:snapToGrid/>
          <w:kern w:val="2"/>
          <w:sz w:val="32"/>
          <w:szCs w:val="32"/>
          <w:lang w:eastAsia="zh-CN"/>
        </w:rPr>
        <w:t>%</w:t>
      </w:r>
      <w:r>
        <w:rPr>
          <w:rFonts w:hint="eastAsia" w:ascii="仿宋_GB2312" w:hAnsi="Times New Roman" w:eastAsia="仿宋_GB2312" w:cs="Times New Roman"/>
          <w:snapToGrid/>
          <w:kern w:val="2"/>
          <w:sz w:val="32"/>
          <w:szCs w:val="32"/>
        </w:rPr>
        <w:t>。</w:t>
      </w:r>
    </w:p>
    <w:p>
      <w:pPr>
        <w:widowControl w:val="0"/>
        <w:kinsoku/>
        <w:autoSpaceDE/>
        <w:autoSpaceDN/>
        <w:adjustRightInd/>
        <w:snapToGrid/>
        <w:ind w:firstLine="640" w:firstLineChars="200"/>
        <w:jc w:val="both"/>
        <w:textAlignment w:val="auto"/>
        <w:rPr>
          <w:rFonts w:ascii="仿宋_GB2312" w:hAnsi="Times New Roman" w:eastAsia="仿宋_GB2312" w:cs="Times New Roman"/>
          <w:snapToGrid/>
          <w:kern w:val="2"/>
          <w:sz w:val="32"/>
          <w:szCs w:val="32"/>
        </w:rPr>
      </w:pPr>
      <w:r>
        <w:rPr>
          <w:rFonts w:hint="eastAsia" w:ascii="仿宋_GB2312" w:hAnsi="Times New Roman" w:eastAsia="仿宋_GB2312" w:cs="Times New Roman"/>
          <w:snapToGrid/>
          <w:kern w:val="2"/>
          <w:sz w:val="32"/>
          <w:szCs w:val="32"/>
        </w:rPr>
        <w:t>按照财政部《地方预决算公开操作规程》明确的口径，机关运行费指各部门的公用经费，包括办公及印刷费、邮电费、差旅费、会议费、福利费、日常维修费、专用材料及一般设备购置费、办公用房水电费、办公用房取暖费、办公用房物业管理费、公务用车运行维护费以及其他费用。</w:t>
      </w:r>
    </w:p>
    <w:p>
      <w:pPr>
        <w:widowControl w:val="0"/>
        <w:kinsoku/>
        <w:autoSpaceDE/>
        <w:autoSpaceDN/>
        <w:adjustRightInd/>
        <w:snapToGrid/>
        <w:ind w:firstLine="640" w:firstLineChars="200"/>
        <w:jc w:val="both"/>
        <w:textAlignment w:val="auto"/>
        <w:rPr>
          <w:rFonts w:ascii="仿宋_GB2312" w:hAnsi="Times New Roman" w:eastAsia="仿宋_GB2312" w:cs="Times New Roman"/>
          <w:snapToGrid/>
          <w:kern w:val="2"/>
          <w:sz w:val="32"/>
          <w:szCs w:val="32"/>
        </w:rPr>
      </w:pPr>
      <w:r>
        <w:rPr>
          <w:rFonts w:hint="eastAsia" w:ascii="仿宋_GB2312" w:hAnsi="Times New Roman" w:eastAsia="仿宋_GB2312" w:cs="Times New Roman"/>
          <w:snapToGrid/>
          <w:kern w:val="2"/>
          <w:sz w:val="32"/>
          <w:szCs w:val="32"/>
        </w:rPr>
        <w:t>(七)政府采购情况</w:t>
      </w:r>
    </w:p>
    <w:p>
      <w:pPr>
        <w:widowControl w:val="0"/>
        <w:kinsoku/>
        <w:autoSpaceDE/>
        <w:autoSpaceDN/>
        <w:adjustRightInd/>
        <w:snapToGrid/>
        <w:ind w:firstLine="640" w:firstLineChars="200"/>
        <w:jc w:val="both"/>
        <w:textAlignment w:val="auto"/>
        <w:rPr>
          <w:rFonts w:ascii="仿宋_GB2312" w:hAnsi="Times New Roman" w:eastAsia="仿宋_GB2312" w:cs="Times New Roman"/>
          <w:snapToGrid/>
          <w:kern w:val="2"/>
          <w:sz w:val="32"/>
          <w:szCs w:val="32"/>
        </w:rPr>
      </w:pPr>
      <w:r>
        <w:rPr>
          <w:rFonts w:hint="eastAsia" w:ascii="仿宋_GB2312" w:hAnsi="Times New Roman" w:eastAsia="仿宋_GB2312" w:cs="Times New Roman"/>
          <w:snapToGrid/>
          <w:kern w:val="2"/>
          <w:sz w:val="32"/>
          <w:szCs w:val="32"/>
        </w:rPr>
        <w:t>2023年部门所属各单位政府采购总额</w:t>
      </w:r>
      <w:r>
        <w:rPr>
          <w:rFonts w:hint="eastAsia" w:ascii="仿宋_GB2312" w:hAnsi="Times New Roman" w:eastAsia="仿宋_GB2312" w:cs="Times New Roman"/>
          <w:snapToGrid/>
          <w:kern w:val="2"/>
          <w:sz w:val="32"/>
          <w:szCs w:val="32"/>
          <w:lang w:val="en-US" w:eastAsia="zh-CN"/>
        </w:rPr>
        <w:t>5</w:t>
      </w:r>
      <w:r>
        <w:rPr>
          <w:rFonts w:hint="eastAsia" w:ascii="仿宋_GB2312" w:hAnsi="Times New Roman" w:eastAsia="仿宋_GB2312" w:cs="Times New Roman"/>
          <w:snapToGrid/>
          <w:kern w:val="2"/>
          <w:sz w:val="32"/>
          <w:szCs w:val="32"/>
        </w:rPr>
        <w:t>万元，其中:政府采购货物预算</w:t>
      </w:r>
      <w:r>
        <w:rPr>
          <w:rFonts w:hint="eastAsia" w:ascii="仿宋_GB2312" w:hAnsi="Times New Roman" w:eastAsia="仿宋_GB2312" w:cs="Times New Roman"/>
          <w:snapToGrid/>
          <w:kern w:val="2"/>
          <w:sz w:val="32"/>
          <w:szCs w:val="32"/>
          <w:lang w:val="en-US" w:eastAsia="zh-CN"/>
        </w:rPr>
        <w:t>5</w:t>
      </w:r>
      <w:r>
        <w:rPr>
          <w:rFonts w:hint="eastAsia" w:ascii="仿宋_GB2312" w:hAnsi="Times New Roman" w:eastAsia="仿宋_GB2312" w:cs="Times New Roman"/>
          <w:snapToGrid/>
          <w:kern w:val="2"/>
          <w:sz w:val="32"/>
          <w:szCs w:val="32"/>
        </w:rPr>
        <w:t>万元、政府采购工程预算</w:t>
      </w:r>
      <w:r>
        <w:rPr>
          <w:rFonts w:hint="eastAsia" w:ascii="仿宋_GB2312" w:hAnsi="Times New Roman" w:eastAsia="仿宋_GB2312" w:cs="Times New Roman"/>
          <w:snapToGrid/>
          <w:kern w:val="2"/>
          <w:sz w:val="32"/>
          <w:szCs w:val="32"/>
          <w:lang w:val="en-US" w:eastAsia="zh-CN"/>
        </w:rPr>
        <w:t>0</w:t>
      </w:r>
      <w:r>
        <w:rPr>
          <w:rFonts w:hint="eastAsia" w:ascii="仿宋_GB2312" w:hAnsi="Times New Roman" w:eastAsia="仿宋_GB2312" w:cs="Times New Roman"/>
          <w:snapToGrid/>
          <w:kern w:val="2"/>
          <w:sz w:val="32"/>
          <w:szCs w:val="32"/>
        </w:rPr>
        <w:t>万元、政府采购服务预算</w:t>
      </w:r>
      <w:r>
        <w:rPr>
          <w:rFonts w:hint="eastAsia" w:ascii="仿宋_GB2312" w:hAnsi="Times New Roman" w:eastAsia="仿宋_GB2312" w:cs="Times New Roman"/>
          <w:snapToGrid/>
          <w:kern w:val="2"/>
          <w:sz w:val="32"/>
          <w:szCs w:val="32"/>
          <w:lang w:val="en-US" w:eastAsia="zh-CN"/>
        </w:rPr>
        <w:t>0</w:t>
      </w:r>
      <w:r>
        <w:rPr>
          <w:rFonts w:hint="eastAsia" w:ascii="仿宋_GB2312" w:hAnsi="Times New Roman" w:eastAsia="仿宋_GB2312" w:cs="Times New Roman"/>
          <w:snapToGrid/>
          <w:kern w:val="2"/>
          <w:sz w:val="32"/>
          <w:szCs w:val="32"/>
        </w:rPr>
        <w:t>万元。</w:t>
      </w:r>
    </w:p>
    <w:p>
      <w:pPr>
        <w:widowControl w:val="0"/>
        <w:kinsoku/>
        <w:autoSpaceDE/>
        <w:autoSpaceDN/>
        <w:adjustRightInd/>
        <w:snapToGrid/>
        <w:ind w:firstLine="640" w:firstLineChars="200"/>
        <w:jc w:val="both"/>
        <w:textAlignment w:val="auto"/>
        <w:rPr>
          <w:rFonts w:ascii="仿宋_GB2312" w:hAnsi="Times New Roman" w:eastAsia="仿宋_GB2312" w:cs="Times New Roman"/>
          <w:snapToGrid/>
          <w:kern w:val="2"/>
          <w:sz w:val="32"/>
          <w:szCs w:val="32"/>
        </w:rPr>
      </w:pPr>
      <w:r>
        <w:rPr>
          <w:rFonts w:hint="eastAsia" w:ascii="仿宋_GB2312" w:hAnsi="Times New Roman" w:eastAsia="仿宋_GB2312" w:cs="Times New Roman"/>
          <w:snapToGrid/>
          <w:kern w:val="2"/>
          <w:sz w:val="32"/>
          <w:szCs w:val="32"/>
        </w:rPr>
        <w:t>(八)国有资产占有使用情况</w:t>
      </w:r>
    </w:p>
    <w:p>
      <w:pPr>
        <w:widowControl w:val="0"/>
        <w:kinsoku/>
        <w:autoSpaceDE/>
        <w:autoSpaceDN/>
        <w:adjustRightInd/>
        <w:snapToGrid/>
        <w:ind w:firstLine="640" w:firstLineChars="200"/>
        <w:jc w:val="both"/>
        <w:textAlignment w:val="auto"/>
        <w:rPr>
          <w:rFonts w:ascii="仿宋_GB2312" w:hAnsi="Times New Roman" w:eastAsia="仿宋_GB2312" w:cs="Times New Roman"/>
          <w:snapToGrid/>
          <w:kern w:val="2"/>
          <w:sz w:val="32"/>
          <w:szCs w:val="32"/>
        </w:rPr>
      </w:pPr>
      <w:r>
        <w:rPr>
          <w:rFonts w:hint="eastAsia" w:ascii="仿宋_GB2312" w:hAnsi="Times New Roman" w:eastAsia="仿宋_GB2312" w:cs="Times New Roman"/>
          <w:snapToGrid/>
          <w:kern w:val="2"/>
          <w:sz w:val="32"/>
          <w:szCs w:val="32"/>
        </w:rPr>
        <w:t>截至2022年12月31日，部门共有车辆</w:t>
      </w:r>
      <w:r>
        <w:rPr>
          <w:rFonts w:hint="eastAsia" w:ascii="仿宋_GB2312" w:hAnsi="Times New Roman" w:eastAsia="仿宋_GB2312" w:cs="Times New Roman"/>
          <w:snapToGrid/>
          <w:kern w:val="2"/>
          <w:sz w:val="32"/>
          <w:szCs w:val="32"/>
          <w:lang w:val="en-US" w:eastAsia="zh-CN"/>
        </w:rPr>
        <w:t>0</w:t>
      </w:r>
      <w:r>
        <w:rPr>
          <w:rFonts w:hint="eastAsia" w:ascii="仿宋_GB2312" w:hAnsi="Times New Roman" w:eastAsia="仿宋_GB2312" w:cs="Times New Roman"/>
          <w:snapToGrid/>
          <w:kern w:val="2"/>
          <w:sz w:val="32"/>
          <w:szCs w:val="32"/>
        </w:rPr>
        <w:t>辆，其中，一般公务用车</w:t>
      </w:r>
      <w:r>
        <w:rPr>
          <w:rFonts w:hint="eastAsia" w:ascii="仿宋_GB2312" w:hAnsi="Times New Roman" w:eastAsia="仿宋_GB2312" w:cs="Times New Roman"/>
          <w:snapToGrid/>
          <w:kern w:val="2"/>
          <w:sz w:val="32"/>
          <w:szCs w:val="32"/>
          <w:lang w:val="en-US" w:eastAsia="zh-CN"/>
        </w:rPr>
        <w:t>0</w:t>
      </w:r>
      <w:r>
        <w:rPr>
          <w:rFonts w:hint="eastAsia" w:ascii="仿宋_GB2312" w:hAnsi="Times New Roman" w:eastAsia="仿宋_GB2312" w:cs="Times New Roman"/>
          <w:snapToGrid/>
          <w:kern w:val="2"/>
          <w:sz w:val="32"/>
          <w:szCs w:val="32"/>
        </w:rPr>
        <w:t>辆，执法执勤用车</w:t>
      </w:r>
      <w:r>
        <w:rPr>
          <w:rFonts w:hint="eastAsia" w:ascii="仿宋_GB2312" w:hAnsi="Times New Roman" w:eastAsia="仿宋_GB2312" w:cs="Times New Roman"/>
          <w:snapToGrid/>
          <w:kern w:val="2"/>
          <w:sz w:val="32"/>
          <w:szCs w:val="32"/>
          <w:lang w:val="en-US" w:eastAsia="zh-CN"/>
        </w:rPr>
        <w:t>0</w:t>
      </w:r>
      <w:r>
        <w:rPr>
          <w:rFonts w:hint="eastAsia" w:ascii="仿宋_GB2312" w:hAnsi="Times New Roman" w:eastAsia="仿宋_GB2312" w:cs="Times New Roman"/>
          <w:snapToGrid/>
          <w:kern w:val="2"/>
          <w:sz w:val="32"/>
          <w:szCs w:val="32"/>
        </w:rPr>
        <w:t>辆。</w:t>
      </w:r>
    </w:p>
    <w:p>
      <w:pPr>
        <w:widowControl w:val="0"/>
        <w:kinsoku/>
        <w:autoSpaceDE/>
        <w:autoSpaceDN/>
        <w:adjustRightInd/>
        <w:snapToGrid/>
        <w:ind w:firstLine="640" w:firstLineChars="200"/>
        <w:jc w:val="both"/>
        <w:textAlignment w:val="auto"/>
        <w:rPr>
          <w:rFonts w:ascii="仿宋_GB2312" w:hAnsi="Times New Roman" w:eastAsia="仿宋_GB2312" w:cs="Times New Roman"/>
          <w:snapToGrid/>
          <w:kern w:val="2"/>
          <w:sz w:val="32"/>
          <w:szCs w:val="32"/>
        </w:rPr>
      </w:pPr>
      <w:r>
        <w:rPr>
          <w:rFonts w:hint="eastAsia" w:ascii="仿宋_GB2312" w:hAnsi="Times New Roman" w:eastAsia="仿宋_GB2312" w:cs="Times New Roman"/>
          <w:snapToGrid/>
          <w:kern w:val="2"/>
          <w:sz w:val="32"/>
          <w:szCs w:val="32"/>
        </w:rPr>
        <w:t>2023年部门预算安排购置车辆</w:t>
      </w:r>
      <w:r>
        <w:rPr>
          <w:rFonts w:hint="eastAsia" w:ascii="仿宋_GB2312" w:hAnsi="Times New Roman" w:eastAsia="仿宋_GB2312" w:cs="Times New Roman"/>
          <w:snapToGrid/>
          <w:kern w:val="2"/>
          <w:sz w:val="32"/>
          <w:szCs w:val="32"/>
          <w:lang w:val="en-US" w:eastAsia="zh-CN"/>
        </w:rPr>
        <w:t>0</w:t>
      </w:r>
      <w:r>
        <w:rPr>
          <w:rFonts w:hint="eastAsia" w:ascii="仿宋_GB2312" w:hAnsi="Times New Roman" w:eastAsia="仿宋_GB2312" w:cs="Times New Roman"/>
          <w:snapToGrid/>
          <w:kern w:val="2"/>
          <w:sz w:val="32"/>
          <w:szCs w:val="32"/>
        </w:rPr>
        <w:t>辆，安排购置单位价值200万元以上大型设备具体为:</w:t>
      </w:r>
    </w:p>
    <w:p>
      <w:pPr>
        <w:widowControl w:val="0"/>
        <w:kinsoku/>
        <w:autoSpaceDE/>
        <w:autoSpaceDN/>
        <w:adjustRightInd/>
        <w:snapToGrid/>
        <w:ind w:firstLine="640" w:firstLineChars="200"/>
        <w:jc w:val="both"/>
        <w:textAlignment w:val="auto"/>
        <w:rPr>
          <w:rFonts w:ascii="仿宋_GB2312" w:hAnsi="Times New Roman" w:eastAsia="仿宋_GB2312" w:cs="Times New Roman"/>
          <w:snapToGrid/>
          <w:kern w:val="2"/>
          <w:sz w:val="32"/>
          <w:szCs w:val="32"/>
        </w:rPr>
      </w:pPr>
      <w:r>
        <w:rPr>
          <w:rFonts w:hint="eastAsia" w:ascii="仿宋_GB2312" w:hAnsi="Times New Roman" w:eastAsia="仿宋_GB2312" w:cs="Times New Roman"/>
          <w:snapToGrid/>
          <w:kern w:val="2"/>
          <w:sz w:val="32"/>
          <w:szCs w:val="32"/>
        </w:rPr>
        <w:t>(九)xx项目情况说明</w:t>
      </w:r>
    </w:p>
    <w:p>
      <w:pPr>
        <w:widowControl w:val="0"/>
        <w:kinsoku/>
        <w:autoSpaceDE/>
        <w:autoSpaceDN/>
        <w:adjustRightInd/>
        <w:snapToGrid/>
        <w:ind w:firstLine="640" w:firstLineChars="200"/>
        <w:jc w:val="both"/>
        <w:textAlignment w:val="auto"/>
        <w:rPr>
          <w:rFonts w:ascii="仿宋_GB2312" w:hAnsi="Times New Roman" w:eastAsia="仿宋_GB2312" w:cs="Times New Roman"/>
          <w:snapToGrid/>
          <w:kern w:val="2"/>
          <w:sz w:val="32"/>
          <w:szCs w:val="32"/>
        </w:rPr>
      </w:pPr>
      <w:r>
        <w:rPr>
          <w:rFonts w:hint="eastAsia" w:ascii="仿宋_GB2312" w:hAnsi="Times New Roman" w:eastAsia="仿宋_GB2312" w:cs="Times New Roman"/>
          <w:snapToGrid/>
          <w:kern w:val="2"/>
          <w:sz w:val="32"/>
          <w:szCs w:val="32"/>
        </w:rPr>
        <w:t>1、**项目</w:t>
      </w:r>
    </w:p>
    <w:p>
      <w:pPr>
        <w:widowControl w:val="0"/>
        <w:kinsoku/>
        <w:autoSpaceDE/>
        <w:autoSpaceDN/>
        <w:adjustRightInd/>
        <w:snapToGrid/>
        <w:ind w:firstLine="640" w:firstLineChars="200"/>
        <w:jc w:val="both"/>
        <w:textAlignment w:val="auto"/>
        <w:rPr>
          <w:rFonts w:ascii="仿宋_GB2312" w:hAnsi="Times New Roman" w:eastAsia="仿宋_GB2312" w:cs="Times New Roman"/>
          <w:snapToGrid/>
          <w:kern w:val="2"/>
          <w:sz w:val="32"/>
          <w:szCs w:val="32"/>
        </w:rPr>
      </w:pPr>
      <w:r>
        <w:rPr>
          <w:rFonts w:hint="eastAsia" w:ascii="仿宋_GB2312" w:hAnsi="Times New Roman" w:eastAsia="仿宋_GB2312" w:cs="Times New Roman"/>
          <w:snapToGrid/>
          <w:kern w:val="2"/>
          <w:sz w:val="32"/>
          <w:szCs w:val="32"/>
        </w:rPr>
        <w:t>1)项目概述</w:t>
      </w:r>
    </w:p>
    <w:p>
      <w:pPr>
        <w:widowControl w:val="0"/>
        <w:kinsoku/>
        <w:autoSpaceDE/>
        <w:autoSpaceDN/>
        <w:adjustRightInd/>
        <w:snapToGrid/>
        <w:ind w:firstLine="640" w:firstLineChars="200"/>
        <w:jc w:val="both"/>
        <w:textAlignment w:val="auto"/>
        <w:rPr>
          <w:rFonts w:ascii="仿宋_GB2312" w:hAnsi="Times New Roman" w:eastAsia="仿宋_GB2312" w:cs="Times New Roman"/>
          <w:snapToGrid/>
          <w:kern w:val="2"/>
          <w:sz w:val="32"/>
          <w:szCs w:val="32"/>
        </w:rPr>
      </w:pPr>
      <w:r>
        <w:rPr>
          <w:rFonts w:hint="eastAsia" w:ascii="仿宋_GB2312" w:hAnsi="Times New Roman" w:eastAsia="仿宋_GB2312" w:cs="Times New Roman"/>
          <w:snapToGrid/>
          <w:kern w:val="2"/>
          <w:sz w:val="32"/>
          <w:szCs w:val="32"/>
        </w:rPr>
        <w:t>2)立项依据</w:t>
      </w:r>
    </w:p>
    <w:p>
      <w:pPr>
        <w:widowControl w:val="0"/>
        <w:kinsoku/>
        <w:autoSpaceDE/>
        <w:autoSpaceDN/>
        <w:adjustRightInd/>
        <w:snapToGrid/>
        <w:ind w:firstLine="640" w:firstLineChars="200"/>
        <w:jc w:val="both"/>
        <w:textAlignment w:val="auto"/>
        <w:rPr>
          <w:rFonts w:ascii="仿宋_GB2312" w:hAnsi="Times New Roman" w:eastAsia="仿宋_GB2312" w:cs="Times New Roman"/>
          <w:snapToGrid/>
          <w:kern w:val="2"/>
          <w:sz w:val="32"/>
          <w:szCs w:val="32"/>
        </w:rPr>
      </w:pPr>
      <w:r>
        <w:rPr>
          <w:rFonts w:hint="eastAsia" w:ascii="仿宋_GB2312" w:hAnsi="Times New Roman" w:eastAsia="仿宋_GB2312" w:cs="Times New Roman"/>
          <w:snapToGrid/>
          <w:kern w:val="2"/>
          <w:sz w:val="32"/>
          <w:szCs w:val="32"/>
        </w:rPr>
        <w:t>3)实施主体</w:t>
      </w:r>
    </w:p>
    <w:p>
      <w:pPr>
        <w:widowControl w:val="0"/>
        <w:kinsoku/>
        <w:autoSpaceDE/>
        <w:autoSpaceDN/>
        <w:adjustRightInd/>
        <w:snapToGrid/>
        <w:ind w:firstLine="640" w:firstLineChars="200"/>
        <w:jc w:val="both"/>
        <w:textAlignment w:val="auto"/>
        <w:rPr>
          <w:rFonts w:ascii="仿宋_GB2312" w:hAnsi="Times New Roman" w:eastAsia="仿宋_GB2312" w:cs="Times New Roman"/>
          <w:snapToGrid/>
          <w:kern w:val="2"/>
          <w:sz w:val="32"/>
          <w:szCs w:val="32"/>
        </w:rPr>
      </w:pPr>
      <w:r>
        <w:rPr>
          <w:rFonts w:hint="eastAsia" w:ascii="仿宋_GB2312" w:hAnsi="Times New Roman" w:eastAsia="仿宋_GB2312" w:cs="Times New Roman"/>
          <w:snapToGrid/>
          <w:kern w:val="2"/>
          <w:sz w:val="32"/>
          <w:szCs w:val="32"/>
        </w:rPr>
        <w:t>4）实施方案</w:t>
      </w:r>
    </w:p>
    <w:p>
      <w:pPr>
        <w:widowControl w:val="0"/>
        <w:kinsoku/>
        <w:autoSpaceDE/>
        <w:autoSpaceDN/>
        <w:adjustRightInd/>
        <w:snapToGrid/>
        <w:ind w:firstLine="640" w:firstLineChars="200"/>
        <w:jc w:val="both"/>
        <w:textAlignment w:val="auto"/>
        <w:rPr>
          <w:rFonts w:ascii="仿宋_GB2312" w:hAnsi="Times New Roman" w:eastAsia="仿宋_GB2312" w:cs="Times New Roman"/>
          <w:snapToGrid/>
          <w:kern w:val="2"/>
          <w:sz w:val="32"/>
          <w:szCs w:val="32"/>
        </w:rPr>
      </w:pPr>
      <w:r>
        <w:rPr>
          <w:rFonts w:hint="eastAsia" w:ascii="仿宋_GB2312" w:hAnsi="Times New Roman" w:eastAsia="仿宋_GB2312" w:cs="Times New Roman"/>
          <w:snapToGrid/>
          <w:kern w:val="2"/>
          <w:sz w:val="32"/>
          <w:szCs w:val="32"/>
        </w:rPr>
        <w:t>5)实施周期</w:t>
      </w:r>
    </w:p>
    <w:p>
      <w:pPr>
        <w:widowControl w:val="0"/>
        <w:kinsoku/>
        <w:autoSpaceDE/>
        <w:autoSpaceDN/>
        <w:adjustRightInd/>
        <w:snapToGrid/>
        <w:ind w:firstLine="640" w:firstLineChars="200"/>
        <w:jc w:val="both"/>
        <w:textAlignment w:val="auto"/>
        <w:rPr>
          <w:rFonts w:ascii="仿宋_GB2312" w:hAnsi="Times New Roman" w:eastAsia="仿宋_GB2312" w:cs="Times New Roman"/>
          <w:snapToGrid/>
          <w:kern w:val="2"/>
          <w:sz w:val="32"/>
          <w:szCs w:val="32"/>
        </w:rPr>
      </w:pPr>
      <w:r>
        <w:rPr>
          <w:rFonts w:hint="eastAsia" w:ascii="仿宋_GB2312" w:hAnsi="Times New Roman" w:eastAsia="仿宋_GB2312" w:cs="Times New Roman"/>
          <w:snapToGrid/>
          <w:kern w:val="2"/>
          <w:sz w:val="32"/>
          <w:szCs w:val="32"/>
        </w:rPr>
        <w:t>6)年度预算安排</w:t>
      </w:r>
    </w:p>
    <w:p>
      <w:pPr>
        <w:widowControl w:val="0"/>
        <w:kinsoku/>
        <w:autoSpaceDE/>
        <w:autoSpaceDN/>
        <w:adjustRightInd/>
        <w:snapToGrid/>
        <w:ind w:firstLine="640" w:firstLineChars="200"/>
        <w:jc w:val="both"/>
        <w:textAlignment w:val="auto"/>
        <w:rPr>
          <w:rFonts w:ascii="仿宋_GB2312" w:hAnsi="Times New Roman" w:eastAsia="仿宋_GB2312" w:cs="Times New Roman"/>
          <w:snapToGrid/>
          <w:kern w:val="2"/>
          <w:sz w:val="32"/>
          <w:szCs w:val="32"/>
        </w:rPr>
      </w:pPr>
      <w:r>
        <w:rPr>
          <w:rFonts w:hint="eastAsia" w:ascii="仿宋_GB2312" w:hAnsi="Times New Roman" w:eastAsia="仿宋_GB2312" w:cs="Times New Roman"/>
          <w:snapToGrid/>
          <w:kern w:val="2"/>
          <w:sz w:val="32"/>
          <w:szCs w:val="32"/>
        </w:rPr>
        <w:t>7)绩效目标和指标</w:t>
      </w:r>
    </w:p>
    <w:p>
      <w:pPr>
        <w:widowControl w:val="0"/>
        <w:kinsoku/>
        <w:autoSpaceDE/>
        <w:autoSpaceDN/>
        <w:adjustRightInd/>
        <w:snapToGrid/>
        <w:ind w:firstLine="640" w:firstLineChars="200"/>
        <w:jc w:val="both"/>
        <w:textAlignment w:val="auto"/>
        <w:rPr>
          <w:rFonts w:ascii="仿宋_GB2312" w:hAnsi="Times New Roman" w:eastAsia="仿宋_GB2312" w:cs="Times New Roman"/>
          <w:snapToGrid/>
          <w:kern w:val="2"/>
          <w:sz w:val="32"/>
          <w:szCs w:val="32"/>
        </w:rPr>
      </w:pPr>
      <w:r>
        <w:rPr>
          <w:rFonts w:hint="eastAsia" w:ascii="仿宋_GB2312" w:hAnsi="Times New Roman" w:eastAsia="仿宋_GB2312" w:cs="Times New Roman"/>
          <w:snapToGrid/>
          <w:kern w:val="2"/>
          <w:sz w:val="32"/>
          <w:szCs w:val="32"/>
        </w:rPr>
        <w:t>2、**项目</w:t>
      </w:r>
    </w:p>
    <w:p>
      <w:pPr>
        <w:widowControl w:val="0"/>
        <w:kinsoku/>
        <w:autoSpaceDE/>
        <w:autoSpaceDN/>
        <w:adjustRightInd/>
        <w:snapToGrid/>
        <w:ind w:firstLine="640" w:firstLineChars="200"/>
        <w:jc w:val="both"/>
        <w:textAlignment w:val="auto"/>
        <w:rPr>
          <w:rFonts w:ascii="仿宋_GB2312" w:hAnsi="Times New Roman" w:eastAsia="仿宋_GB2312" w:cs="Times New Roman"/>
          <w:snapToGrid/>
          <w:kern w:val="2"/>
          <w:sz w:val="32"/>
          <w:szCs w:val="32"/>
        </w:rPr>
      </w:pPr>
      <w:r>
        <w:rPr>
          <w:rFonts w:hint="eastAsia" w:ascii="仿宋_GB2312" w:hAnsi="Times New Roman" w:eastAsia="仿宋_GB2312" w:cs="Times New Roman"/>
          <w:snapToGrid/>
          <w:kern w:val="2"/>
          <w:sz w:val="32"/>
          <w:szCs w:val="32"/>
        </w:rPr>
        <w:t>同上</w:t>
      </w:r>
    </w:p>
    <w:p>
      <w:pPr>
        <w:spacing w:before="214"/>
        <w:rPr>
          <w:rFonts w:ascii="楷体" w:hAnsi="楷体" w:eastAsia="楷体" w:cs="楷体"/>
          <w:spacing w:val="13"/>
          <w:sz w:val="32"/>
          <w:szCs w:val="32"/>
        </w:rPr>
      </w:pPr>
      <w:r>
        <w:rPr>
          <w:rFonts w:hint="eastAsia" w:ascii="楷体" w:hAnsi="楷体" w:eastAsia="楷体" w:cs="楷体"/>
          <w:spacing w:val="13"/>
          <w:sz w:val="32"/>
          <w:szCs w:val="32"/>
        </w:rPr>
        <w:t>二、2023年"三公”经费预算情况说明</w:t>
      </w:r>
    </w:p>
    <w:p>
      <w:pPr>
        <w:widowControl w:val="0"/>
        <w:kinsoku/>
        <w:autoSpaceDE/>
        <w:autoSpaceDN/>
        <w:adjustRightInd/>
        <w:snapToGrid/>
        <w:ind w:firstLine="640" w:firstLineChars="200"/>
        <w:jc w:val="both"/>
        <w:textAlignment w:val="auto"/>
        <w:rPr>
          <w:rFonts w:ascii="仿宋_GB2312" w:hAnsi="Times New Roman" w:eastAsia="仿宋_GB2312" w:cs="Times New Roman"/>
          <w:snapToGrid/>
          <w:kern w:val="2"/>
          <w:sz w:val="32"/>
          <w:szCs w:val="32"/>
        </w:rPr>
      </w:pPr>
      <w:r>
        <w:rPr>
          <w:rFonts w:hint="eastAsia" w:ascii="仿宋_GB2312" w:hAnsi="Times New Roman" w:eastAsia="仿宋_GB2312" w:cs="Times New Roman"/>
          <w:snapToGrid/>
          <w:kern w:val="2"/>
          <w:sz w:val="32"/>
          <w:szCs w:val="32"/>
        </w:rPr>
        <w:t>2023年</w:t>
      </w:r>
      <w:r>
        <w:rPr>
          <w:rFonts w:hint="eastAsia" w:ascii="仿宋_GB2312" w:hAnsi="Times New Roman" w:eastAsia="仿宋_GB2312" w:cs="Times New Roman"/>
          <w:snapToGrid/>
          <w:kern w:val="2"/>
          <w:sz w:val="32"/>
          <w:szCs w:val="32"/>
          <w:lang w:eastAsia="zh-CN"/>
        </w:rPr>
        <w:t>浮梁县审计</w:t>
      </w:r>
      <w:r>
        <w:rPr>
          <w:rFonts w:hint="eastAsia" w:ascii="仿宋_GB2312" w:hAnsi="Times New Roman" w:eastAsia="仿宋_GB2312" w:cs="Times New Roman"/>
          <w:snapToGrid/>
          <w:kern w:val="2"/>
          <w:sz w:val="32"/>
          <w:szCs w:val="32"/>
        </w:rPr>
        <w:t>局"三公"经费一般公共预算安排</w:t>
      </w:r>
      <w:r>
        <w:rPr>
          <w:rFonts w:hint="eastAsia" w:ascii="仿宋_GB2312" w:hAnsi="Times New Roman" w:eastAsia="仿宋_GB2312" w:cs="Times New Roman"/>
          <w:snapToGrid/>
          <w:kern w:val="2"/>
          <w:sz w:val="32"/>
          <w:szCs w:val="32"/>
          <w:lang w:val="en-US" w:eastAsia="zh-CN"/>
        </w:rPr>
        <w:t>6</w:t>
      </w:r>
      <w:r>
        <w:rPr>
          <w:rFonts w:hint="eastAsia" w:ascii="仿宋_GB2312" w:hAnsi="Times New Roman" w:eastAsia="仿宋_GB2312" w:cs="Times New Roman"/>
          <w:snapToGrid/>
          <w:kern w:val="2"/>
          <w:sz w:val="32"/>
          <w:szCs w:val="32"/>
        </w:rPr>
        <w:t>万元。其中:</w:t>
      </w:r>
    </w:p>
    <w:p>
      <w:pPr>
        <w:widowControl w:val="0"/>
        <w:kinsoku/>
        <w:autoSpaceDE/>
        <w:autoSpaceDN/>
        <w:adjustRightInd/>
        <w:snapToGrid/>
        <w:ind w:firstLine="640" w:firstLineChars="200"/>
        <w:jc w:val="both"/>
        <w:textAlignment w:val="auto"/>
        <w:rPr>
          <w:rFonts w:ascii="仿宋_GB2312" w:hAnsi="Times New Roman" w:eastAsia="仿宋_GB2312" w:cs="Times New Roman"/>
          <w:snapToGrid/>
          <w:kern w:val="2"/>
          <w:sz w:val="32"/>
          <w:szCs w:val="32"/>
        </w:rPr>
      </w:pPr>
      <w:r>
        <w:rPr>
          <w:rFonts w:hint="eastAsia" w:ascii="仿宋_GB2312" w:hAnsi="Times New Roman" w:eastAsia="仿宋_GB2312" w:cs="Times New Roman"/>
          <w:snapToGrid/>
          <w:kern w:val="2"/>
          <w:sz w:val="32"/>
          <w:szCs w:val="32"/>
        </w:rPr>
        <w:t>因公出国(境)费</w:t>
      </w:r>
      <w:r>
        <w:rPr>
          <w:rFonts w:hint="eastAsia" w:ascii="仿宋_GB2312" w:hAnsi="Times New Roman" w:eastAsia="仿宋_GB2312" w:cs="Times New Roman"/>
          <w:snapToGrid/>
          <w:kern w:val="2"/>
          <w:sz w:val="32"/>
          <w:szCs w:val="32"/>
          <w:lang w:val="en-US" w:eastAsia="zh-CN"/>
        </w:rPr>
        <w:t>0</w:t>
      </w:r>
      <w:r>
        <w:rPr>
          <w:rFonts w:hint="eastAsia" w:ascii="仿宋_GB2312" w:hAnsi="Times New Roman" w:eastAsia="仿宋_GB2312" w:cs="Times New Roman"/>
          <w:snapToGrid/>
          <w:kern w:val="2"/>
          <w:sz w:val="32"/>
          <w:szCs w:val="32"/>
        </w:rPr>
        <w:t>万元，比上年增(减)</w:t>
      </w:r>
      <w:r>
        <w:rPr>
          <w:rFonts w:hint="eastAsia" w:ascii="仿宋_GB2312" w:hAnsi="Times New Roman" w:eastAsia="仿宋_GB2312" w:cs="Times New Roman"/>
          <w:snapToGrid/>
          <w:kern w:val="2"/>
          <w:sz w:val="32"/>
          <w:szCs w:val="32"/>
          <w:lang w:val="en-US" w:eastAsia="zh-CN"/>
        </w:rPr>
        <w:t>0</w:t>
      </w:r>
      <w:r>
        <w:rPr>
          <w:rFonts w:hint="eastAsia" w:ascii="仿宋_GB2312" w:hAnsi="Times New Roman" w:eastAsia="仿宋_GB2312" w:cs="Times New Roman"/>
          <w:snapToGrid/>
          <w:kern w:val="2"/>
          <w:sz w:val="32"/>
          <w:szCs w:val="32"/>
        </w:rPr>
        <w:t>万元，主要原因是:……。</w:t>
      </w:r>
    </w:p>
    <w:p>
      <w:pPr>
        <w:widowControl w:val="0"/>
        <w:kinsoku/>
        <w:autoSpaceDE/>
        <w:autoSpaceDN/>
        <w:adjustRightInd/>
        <w:snapToGrid/>
        <w:ind w:firstLine="640" w:firstLineChars="200"/>
        <w:jc w:val="both"/>
        <w:textAlignment w:val="auto"/>
        <w:rPr>
          <w:rFonts w:ascii="仿宋_GB2312" w:hAnsi="Times New Roman" w:eastAsia="仿宋_GB2312" w:cs="Times New Roman"/>
          <w:snapToGrid/>
          <w:kern w:val="2"/>
          <w:sz w:val="32"/>
          <w:szCs w:val="32"/>
        </w:rPr>
      </w:pPr>
      <w:r>
        <w:rPr>
          <w:rFonts w:hint="eastAsia" w:ascii="仿宋_GB2312" w:hAnsi="Times New Roman" w:eastAsia="仿宋_GB2312" w:cs="Times New Roman"/>
          <w:snapToGrid/>
          <w:kern w:val="2"/>
          <w:sz w:val="32"/>
          <w:szCs w:val="32"/>
        </w:rPr>
        <w:t>公务接待费</w:t>
      </w:r>
      <w:r>
        <w:rPr>
          <w:rFonts w:hint="eastAsia" w:ascii="仿宋_GB2312" w:hAnsi="Times New Roman" w:eastAsia="仿宋_GB2312" w:cs="Times New Roman"/>
          <w:snapToGrid/>
          <w:kern w:val="2"/>
          <w:sz w:val="32"/>
          <w:szCs w:val="32"/>
          <w:lang w:val="en-US" w:eastAsia="zh-CN"/>
        </w:rPr>
        <w:t>6</w:t>
      </w:r>
      <w:r>
        <w:rPr>
          <w:rFonts w:hint="eastAsia" w:ascii="仿宋_GB2312" w:hAnsi="Times New Roman" w:eastAsia="仿宋_GB2312" w:cs="Times New Roman"/>
          <w:snapToGrid/>
          <w:kern w:val="2"/>
          <w:sz w:val="32"/>
          <w:szCs w:val="32"/>
        </w:rPr>
        <w:t>万元，比上年</w:t>
      </w:r>
      <w:r>
        <w:rPr>
          <w:rFonts w:hint="eastAsia" w:ascii="仿宋_GB2312" w:hAnsi="Times New Roman" w:eastAsia="仿宋_GB2312" w:cs="Times New Roman"/>
          <w:snapToGrid/>
          <w:kern w:val="2"/>
          <w:sz w:val="32"/>
          <w:szCs w:val="32"/>
          <w:lang w:eastAsia="zh-CN"/>
        </w:rPr>
        <w:t>减少</w:t>
      </w:r>
      <w:r>
        <w:rPr>
          <w:rFonts w:hint="eastAsia" w:ascii="仿宋_GB2312" w:hAnsi="Times New Roman" w:eastAsia="仿宋_GB2312" w:cs="Times New Roman"/>
          <w:snapToGrid/>
          <w:kern w:val="2"/>
          <w:sz w:val="32"/>
          <w:szCs w:val="32"/>
          <w:lang w:val="en-US" w:eastAsia="zh-CN"/>
        </w:rPr>
        <w:t>1</w:t>
      </w:r>
      <w:r>
        <w:rPr>
          <w:rFonts w:hint="eastAsia" w:ascii="仿宋_GB2312" w:hAnsi="Times New Roman" w:eastAsia="仿宋_GB2312" w:cs="Times New Roman"/>
          <w:snapToGrid/>
          <w:kern w:val="2"/>
          <w:sz w:val="32"/>
          <w:szCs w:val="32"/>
        </w:rPr>
        <w:t>万元，主要原因</w:t>
      </w:r>
    </w:p>
    <w:p>
      <w:pPr>
        <w:widowControl w:val="0"/>
        <w:kinsoku/>
        <w:autoSpaceDE/>
        <w:autoSpaceDN/>
        <w:adjustRightInd/>
        <w:snapToGrid/>
        <w:ind w:firstLine="640" w:firstLineChars="200"/>
        <w:jc w:val="both"/>
        <w:textAlignment w:val="auto"/>
        <w:rPr>
          <w:rFonts w:ascii="仿宋_GB2312" w:hAnsi="Times New Roman" w:eastAsia="仿宋_GB2312" w:cs="Times New Roman"/>
          <w:snapToGrid/>
          <w:kern w:val="2"/>
          <w:sz w:val="32"/>
          <w:szCs w:val="32"/>
        </w:rPr>
      </w:pPr>
      <w:r>
        <w:rPr>
          <w:rFonts w:hint="eastAsia" w:ascii="仿宋_GB2312" w:hAnsi="Times New Roman" w:eastAsia="仿宋_GB2312" w:cs="Times New Roman"/>
          <w:snapToGrid/>
          <w:kern w:val="2"/>
          <w:sz w:val="32"/>
          <w:szCs w:val="32"/>
        </w:rPr>
        <w:t>是:</w:t>
      </w:r>
      <w:r>
        <w:rPr>
          <w:rFonts w:hint="eastAsia" w:ascii="仿宋_GB2312" w:hAnsi="Times New Roman" w:eastAsia="仿宋_GB2312" w:cs="Times New Roman"/>
          <w:snapToGrid/>
          <w:kern w:val="2"/>
          <w:sz w:val="32"/>
          <w:szCs w:val="32"/>
          <w:lang w:eastAsia="zh-CN"/>
        </w:rPr>
        <w:t>正常减少公务接待费</w:t>
      </w:r>
      <w:r>
        <w:rPr>
          <w:rFonts w:hint="eastAsia" w:ascii="仿宋_GB2312" w:hAnsi="Times New Roman" w:eastAsia="仿宋_GB2312" w:cs="Times New Roman"/>
          <w:snapToGrid/>
          <w:kern w:val="2"/>
          <w:sz w:val="32"/>
          <w:szCs w:val="32"/>
        </w:rPr>
        <w:t>。</w:t>
      </w:r>
    </w:p>
    <w:p>
      <w:pPr>
        <w:widowControl w:val="0"/>
        <w:kinsoku/>
        <w:autoSpaceDE/>
        <w:autoSpaceDN/>
        <w:adjustRightInd/>
        <w:snapToGrid/>
        <w:ind w:firstLine="640" w:firstLineChars="200"/>
        <w:jc w:val="both"/>
        <w:textAlignment w:val="auto"/>
        <w:rPr>
          <w:rFonts w:ascii="仿宋_GB2312" w:hAnsi="Times New Roman" w:eastAsia="仿宋_GB2312" w:cs="Times New Roman"/>
          <w:snapToGrid/>
          <w:kern w:val="2"/>
          <w:sz w:val="32"/>
          <w:szCs w:val="32"/>
        </w:rPr>
      </w:pPr>
      <w:r>
        <w:rPr>
          <w:rFonts w:hint="eastAsia" w:ascii="仿宋_GB2312" w:hAnsi="Times New Roman" w:eastAsia="仿宋_GB2312" w:cs="Times New Roman"/>
          <w:snapToGrid/>
          <w:kern w:val="2"/>
          <w:sz w:val="32"/>
          <w:szCs w:val="32"/>
        </w:rPr>
        <w:t>公务用车运行维护费</w:t>
      </w:r>
      <w:r>
        <w:rPr>
          <w:rFonts w:hint="eastAsia" w:ascii="仿宋_GB2312" w:hAnsi="Times New Roman" w:eastAsia="仿宋_GB2312" w:cs="Times New Roman"/>
          <w:snapToGrid/>
          <w:kern w:val="2"/>
          <w:sz w:val="32"/>
          <w:szCs w:val="32"/>
          <w:lang w:val="en-US" w:eastAsia="zh-CN"/>
        </w:rPr>
        <w:t>0</w:t>
      </w:r>
      <w:r>
        <w:rPr>
          <w:rFonts w:hint="eastAsia" w:ascii="仿宋_GB2312" w:hAnsi="Times New Roman" w:eastAsia="仿宋_GB2312" w:cs="Times New Roman"/>
          <w:snapToGrid/>
          <w:kern w:val="2"/>
          <w:sz w:val="32"/>
          <w:szCs w:val="32"/>
        </w:rPr>
        <w:t>万元，比上年增(减)</w:t>
      </w:r>
      <w:r>
        <w:rPr>
          <w:rFonts w:hint="eastAsia" w:ascii="仿宋_GB2312" w:hAnsi="Times New Roman" w:eastAsia="仿宋_GB2312" w:cs="Times New Roman"/>
          <w:snapToGrid/>
          <w:kern w:val="2"/>
          <w:sz w:val="32"/>
          <w:szCs w:val="32"/>
          <w:lang w:val="en-US" w:eastAsia="zh-CN"/>
        </w:rPr>
        <w:t>0</w:t>
      </w:r>
      <w:r>
        <w:rPr>
          <w:rFonts w:hint="eastAsia" w:ascii="仿宋_GB2312" w:hAnsi="Times New Roman" w:eastAsia="仿宋_GB2312" w:cs="Times New Roman"/>
          <w:snapToGrid/>
          <w:kern w:val="2"/>
          <w:sz w:val="32"/>
          <w:szCs w:val="32"/>
        </w:rPr>
        <w:t>万元，</w:t>
      </w:r>
    </w:p>
    <w:p>
      <w:pPr>
        <w:widowControl w:val="0"/>
        <w:kinsoku/>
        <w:autoSpaceDE/>
        <w:autoSpaceDN/>
        <w:adjustRightInd/>
        <w:snapToGrid/>
        <w:ind w:firstLine="640" w:firstLineChars="200"/>
        <w:jc w:val="both"/>
        <w:textAlignment w:val="auto"/>
        <w:rPr>
          <w:rFonts w:ascii="仿宋_GB2312" w:hAnsi="Times New Roman" w:eastAsia="仿宋_GB2312" w:cs="Times New Roman"/>
          <w:snapToGrid/>
          <w:kern w:val="2"/>
          <w:sz w:val="32"/>
          <w:szCs w:val="32"/>
        </w:rPr>
      </w:pPr>
      <w:r>
        <w:rPr>
          <w:rFonts w:hint="eastAsia" w:ascii="仿宋_GB2312" w:hAnsi="Times New Roman" w:eastAsia="仿宋_GB2312" w:cs="Times New Roman"/>
          <w:snapToGrid/>
          <w:kern w:val="2"/>
          <w:sz w:val="32"/>
          <w:szCs w:val="32"/>
        </w:rPr>
        <w:t>主要原因是:……。</w:t>
      </w:r>
    </w:p>
    <w:p>
      <w:pPr>
        <w:widowControl w:val="0"/>
        <w:kinsoku/>
        <w:autoSpaceDE/>
        <w:autoSpaceDN/>
        <w:adjustRightInd/>
        <w:snapToGrid/>
        <w:ind w:firstLine="640" w:firstLineChars="200"/>
        <w:jc w:val="both"/>
        <w:textAlignment w:val="auto"/>
        <w:rPr>
          <w:rFonts w:ascii="仿宋_GB2312" w:hAnsi="Times New Roman" w:eastAsia="仿宋_GB2312" w:cs="Times New Roman"/>
          <w:snapToGrid/>
          <w:kern w:val="2"/>
          <w:sz w:val="32"/>
          <w:szCs w:val="32"/>
        </w:rPr>
      </w:pPr>
      <w:r>
        <w:rPr>
          <w:rFonts w:hint="eastAsia" w:ascii="仿宋_GB2312" w:hAnsi="Times New Roman" w:eastAsia="仿宋_GB2312" w:cs="Times New Roman"/>
          <w:snapToGrid/>
          <w:kern w:val="2"/>
          <w:sz w:val="32"/>
          <w:szCs w:val="32"/>
        </w:rPr>
        <w:t>公务用车购置费</w:t>
      </w:r>
      <w:r>
        <w:rPr>
          <w:rFonts w:hint="eastAsia" w:ascii="仿宋_GB2312" w:hAnsi="Times New Roman" w:eastAsia="仿宋_GB2312" w:cs="Times New Roman"/>
          <w:snapToGrid/>
          <w:kern w:val="2"/>
          <w:sz w:val="32"/>
          <w:szCs w:val="32"/>
          <w:lang w:val="en-US" w:eastAsia="zh-CN"/>
        </w:rPr>
        <w:t>0</w:t>
      </w:r>
      <w:r>
        <w:rPr>
          <w:rFonts w:hint="eastAsia" w:ascii="仿宋_GB2312" w:hAnsi="Times New Roman" w:eastAsia="仿宋_GB2312" w:cs="Times New Roman"/>
          <w:snapToGrid/>
          <w:kern w:val="2"/>
          <w:sz w:val="32"/>
          <w:szCs w:val="32"/>
        </w:rPr>
        <w:t>万元，比上年增(减)</w:t>
      </w:r>
      <w:r>
        <w:rPr>
          <w:rFonts w:hint="eastAsia" w:ascii="仿宋_GB2312" w:hAnsi="Times New Roman" w:eastAsia="仿宋_GB2312" w:cs="Times New Roman"/>
          <w:snapToGrid/>
          <w:kern w:val="2"/>
          <w:sz w:val="32"/>
          <w:szCs w:val="32"/>
          <w:lang w:val="en-US" w:eastAsia="zh-CN"/>
        </w:rPr>
        <w:t>0</w:t>
      </w:r>
      <w:r>
        <w:rPr>
          <w:rFonts w:hint="eastAsia" w:ascii="仿宋_GB2312" w:hAnsi="Times New Roman" w:eastAsia="仿宋_GB2312" w:cs="Times New Roman"/>
          <w:snapToGrid/>
          <w:kern w:val="2"/>
          <w:sz w:val="32"/>
          <w:szCs w:val="32"/>
        </w:rPr>
        <w:t>万元，主要原因是:……。</w:t>
      </w:r>
    </w:p>
    <w:p>
      <w:pPr>
        <w:spacing w:before="173"/>
        <w:ind w:right="49" w:firstLine="599"/>
        <w:rPr>
          <w:rFonts w:ascii="仿宋" w:hAnsi="仿宋" w:eastAsia="仿宋" w:cs="仿宋"/>
          <w:spacing w:val="-15"/>
          <w:w w:val="94"/>
          <w:sz w:val="32"/>
          <w:szCs w:val="32"/>
        </w:rPr>
      </w:pPr>
    </w:p>
    <w:p>
      <w:pPr>
        <w:widowControl w:val="0"/>
        <w:kinsoku/>
        <w:autoSpaceDE/>
        <w:autoSpaceDN/>
        <w:adjustRightInd/>
        <w:snapToGrid/>
        <w:jc w:val="center"/>
        <w:textAlignment w:val="auto"/>
        <w:rPr>
          <w:rFonts w:ascii="黑体" w:hAnsi="黑体" w:eastAsia="黑体" w:cs="黑体"/>
          <w:snapToGrid/>
          <w:kern w:val="2"/>
          <w:sz w:val="32"/>
          <w:szCs w:val="32"/>
        </w:rPr>
      </w:pPr>
      <w:r>
        <w:rPr>
          <w:rFonts w:hint="eastAsia" w:ascii="黑体" w:hAnsi="黑体" w:eastAsia="黑体" w:cs="黑体"/>
          <w:snapToGrid/>
          <w:kern w:val="2"/>
          <w:sz w:val="32"/>
          <w:szCs w:val="32"/>
        </w:rPr>
        <w:t>第四部分   名词解释</w:t>
      </w:r>
    </w:p>
    <w:p>
      <w:pPr>
        <w:spacing w:before="214"/>
        <w:rPr>
          <w:rFonts w:ascii="楷体" w:hAnsi="楷体" w:eastAsia="楷体" w:cs="楷体"/>
          <w:spacing w:val="13"/>
          <w:sz w:val="32"/>
          <w:szCs w:val="32"/>
        </w:rPr>
      </w:pPr>
      <w:r>
        <w:rPr>
          <w:rFonts w:hint="eastAsia" w:ascii="楷体" w:hAnsi="楷体" w:eastAsia="楷体" w:cs="楷体"/>
          <w:spacing w:val="13"/>
          <w:sz w:val="32"/>
          <w:szCs w:val="32"/>
        </w:rPr>
        <w:t>一、收入科目</w:t>
      </w:r>
    </w:p>
    <w:p>
      <w:pPr>
        <w:widowControl w:val="0"/>
        <w:kinsoku/>
        <w:autoSpaceDE/>
        <w:autoSpaceDN/>
        <w:adjustRightInd/>
        <w:snapToGrid/>
        <w:ind w:firstLine="640" w:firstLineChars="200"/>
        <w:jc w:val="both"/>
        <w:textAlignment w:val="auto"/>
        <w:rPr>
          <w:rFonts w:ascii="仿宋_GB2312" w:hAnsi="Times New Roman" w:eastAsia="仿宋_GB2312" w:cs="Times New Roman"/>
          <w:snapToGrid/>
          <w:kern w:val="2"/>
          <w:sz w:val="32"/>
          <w:szCs w:val="32"/>
        </w:rPr>
      </w:pPr>
      <w:r>
        <w:rPr>
          <w:rFonts w:hint="eastAsia" w:ascii="仿宋_GB2312" w:hAnsi="Times New Roman" w:eastAsia="仿宋_GB2312" w:cs="Times New Roman"/>
          <w:snapToGrid/>
          <w:kern w:val="2"/>
          <w:sz w:val="32"/>
          <w:szCs w:val="32"/>
        </w:rPr>
        <w:t>各部门结合实际进行解释。</w:t>
      </w:r>
    </w:p>
    <w:p>
      <w:pPr>
        <w:widowControl w:val="0"/>
        <w:kinsoku/>
        <w:autoSpaceDE/>
        <w:autoSpaceDN/>
        <w:adjustRightInd/>
        <w:snapToGrid/>
        <w:ind w:firstLine="640" w:firstLineChars="200"/>
        <w:jc w:val="both"/>
        <w:textAlignment w:val="auto"/>
        <w:rPr>
          <w:rFonts w:ascii="仿宋_GB2312" w:hAnsi="Times New Roman" w:eastAsia="仿宋_GB2312" w:cs="Times New Roman"/>
          <w:snapToGrid/>
          <w:kern w:val="2"/>
          <w:sz w:val="32"/>
          <w:szCs w:val="32"/>
        </w:rPr>
      </w:pPr>
      <w:r>
        <w:rPr>
          <w:rFonts w:hint="eastAsia" w:ascii="仿宋_GB2312" w:hAnsi="Times New Roman" w:eastAsia="仿宋_GB2312" w:cs="Times New Roman"/>
          <w:snapToGrid/>
          <w:kern w:val="2"/>
          <w:sz w:val="32"/>
          <w:szCs w:val="32"/>
        </w:rPr>
        <w:t>(一)财政拨款:指省级财政当年拨付的资金。</w:t>
      </w:r>
    </w:p>
    <w:p>
      <w:pPr>
        <w:widowControl w:val="0"/>
        <w:kinsoku/>
        <w:autoSpaceDE/>
        <w:autoSpaceDN/>
        <w:adjustRightInd/>
        <w:snapToGrid/>
        <w:ind w:firstLine="640" w:firstLineChars="200"/>
        <w:jc w:val="both"/>
        <w:textAlignment w:val="auto"/>
        <w:rPr>
          <w:rFonts w:ascii="仿宋_GB2312" w:hAnsi="Times New Roman" w:eastAsia="仿宋_GB2312" w:cs="Times New Roman"/>
          <w:snapToGrid/>
          <w:kern w:val="2"/>
          <w:sz w:val="32"/>
          <w:szCs w:val="32"/>
        </w:rPr>
      </w:pPr>
      <w:r>
        <w:rPr>
          <w:rFonts w:hint="eastAsia" w:ascii="仿宋_GB2312" w:hAnsi="Times New Roman" w:eastAsia="仿宋_GB2312" w:cs="Times New Roman"/>
          <w:snapToGrid/>
          <w:kern w:val="2"/>
          <w:sz w:val="32"/>
          <w:szCs w:val="32"/>
        </w:rPr>
        <w:t>(二)教育收费资金收入:反映实行专项管理的高中以上学费、住宿费，高校委托培养费，函大、电大、夜大及短训班培训费等教育收费取得的收入。</w:t>
      </w:r>
    </w:p>
    <w:p>
      <w:pPr>
        <w:widowControl w:val="0"/>
        <w:kinsoku/>
        <w:autoSpaceDE/>
        <w:autoSpaceDN/>
        <w:adjustRightInd/>
        <w:snapToGrid/>
        <w:ind w:firstLine="640" w:firstLineChars="200"/>
        <w:jc w:val="both"/>
        <w:textAlignment w:val="auto"/>
        <w:rPr>
          <w:rFonts w:ascii="仿宋_GB2312" w:hAnsi="Times New Roman" w:eastAsia="仿宋_GB2312" w:cs="Times New Roman"/>
          <w:snapToGrid/>
          <w:kern w:val="2"/>
          <w:sz w:val="32"/>
          <w:szCs w:val="32"/>
        </w:rPr>
      </w:pPr>
      <w:r>
        <w:rPr>
          <w:rFonts w:hint="eastAsia" w:ascii="仿宋_GB2312" w:hAnsi="Times New Roman" w:eastAsia="仿宋_GB2312" w:cs="Times New Roman"/>
          <w:snapToGrid/>
          <w:kern w:val="2"/>
          <w:sz w:val="32"/>
          <w:szCs w:val="32"/>
        </w:rPr>
        <w:t>(三)事业收入:指事业单位开展专业业务活动及辅助活动取得的收入。</w:t>
      </w:r>
    </w:p>
    <w:p>
      <w:pPr>
        <w:widowControl w:val="0"/>
        <w:kinsoku/>
        <w:autoSpaceDE/>
        <w:autoSpaceDN/>
        <w:adjustRightInd/>
        <w:snapToGrid/>
        <w:ind w:firstLine="640" w:firstLineChars="200"/>
        <w:jc w:val="both"/>
        <w:textAlignment w:val="auto"/>
        <w:rPr>
          <w:rFonts w:ascii="仿宋_GB2312" w:hAnsi="Times New Roman" w:eastAsia="仿宋_GB2312" w:cs="Times New Roman"/>
          <w:snapToGrid/>
          <w:kern w:val="2"/>
          <w:sz w:val="32"/>
          <w:szCs w:val="32"/>
        </w:rPr>
      </w:pPr>
      <w:r>
        <w:rPr>
          <w:rFonts w:hint="eastAsia" w:ascii="仿宋_GB2312" w:hAnsi="Times New Roman" w:eastAsia="仿宋_GB2312" w:cs="Times New Roman"/>
          <w:snapToGrid/>
          <w:kern w:val="2"/>
          <w:sz w:val="32"/>
          <w:szCs w:val="32"/>
        </w:rPr>
        <w:t>(四)事业单位经营收入:指事业单位在专业业务活动及辅助活动之外开展非独立核算经营活动取得的收入。</w:t>
      </w:r>
    </w:p>
    <w:p>
      <w:pPr>
        <w:widowControl w:val="0"/>
        <w:kinsoku/>
        <w:autoSpaceDE/>
        <w:autoSpaceDN/>
        <w:adjustRightInd/>
        <w:snapToGrid/>
        <w:ind w:firstLine="640" w:firstLineChars="200"/>
        <w:jc w:val="both"/>
        <w:textAlignment w:val="auto"/>
        <w:rPr>
          <w:rFonts w:ascii="仿宋_GB2312" w:hAnsi="Times New Roman" w:eastAsia="仿宋_GB2312" w:cs="Times New Roman"/>
          <w:snapToGrid/>
          <w:kern w:val="2"/>
          <w:sz w:val="32"/>
          <w:szCs w:val="32"/>
        </w:rPr>
      </w:pPr>
      <w:r>
        <w:rPr>
          <w:rFonts w:hint="eastAsia" w:ascii="仿宋_GB2312" w:hAnsi="Times New Roman" w:eastAsia="仿宋_GB2312" w:cs="Times New Roman"/>
          <w:snapToGrid/>
          <w:kern w:val="2"/>
          <w:sz w:val="32"/>
          <w:szCs w:val="32"/>
        </w:rPr>
        <w:t>(五)附属单位上缴收入:反映事业单位附属的独立核算单位按规定标准或比例缴纳的各项收入。包括附属的事业单位上缴的收入和附属的企业上缴的利润等。</w:t>
      </w:r>
    </w:p>
    <w:p>
      <w:pPr>
        <w:widowControl w:val="0"/>
        <w:kinsoku/>
        <w:autoSpaceDE/>
        <w:autoSpaceDN/>
        <w:adjustRightInd/>
        <w:snapToGrid/>
        <w:ind w:firstLine="640" w:firstLineChars="200"/>
        <w:jc w:val="both"/>
        <w:textAlignment w:val="auto"/>
        <w:rPr>
          <w:rFonts w:ascii="仿宋_GB2312" w:hAnsi="Times New Roman" w:eastAsia="仿宋_GB2312" w:cs="Times New Roman"/>
          <w:snapToGrid/>
          <w:kern w:val="2"/>
          <w:sz w:val="32"/>
          <w:szCs w:val="32"/>
        </w:rPr>
      </w:pPr>
      <w:r>
        <w:rPr>
          <w:rFonts w:hint="eastAsia" w:ascii="仿宋_GB2312" w:hAnsi="Times New Roman" w:eastAsia="仿宋_GB2312" w:cs="Times New Roman"/>
          <w:snapToGrid/>
          <w:kern w:val="2"/>
          <w:sz w:val="32"/>
          <w:szCs w:val="32"/>
        </w:rPr>
        <w:t>(六)上级补助收入:反映事业单位从主管部门和上级单位取得的非财政补助收入。</w:t>
      </w:r>
    </w:p>
    <w:p>
      <w:pPr>
        <w:widowControl w:val="0"/>
        <w:kinsoku/>
        <w:autoSpaceDE/>
        <w:autoSpaceDN/>
        <w:adjustRightInd/>
        <w:snapToGrid/>
        <w:ind w:firstLine="640" w:firstLineChars="200"/>
        <w:jc w:val="both"/>
        <w:textAlignment w:val="auto"/>
        <w:rPr>
          <w:rFonts w:ascii="仿宋_GB2312" w:hAnsi="Times New Roman" w:eastAsia="仿宋_GB2312" w:cs="Times New Roman"/>
          <w:snapToGrid/>
          <w:kern w:val="2"/>
          <w:sz w:val="32"/>
          <w:szCs w:val="32"/>
        </w:rPr>
      </w:pPr>
      <w:r>
        <w:rPr>
          <w:rFonts w:hint="eastAsia" w:ascii="仿宋_GB2312" w:hAnsi="Times New Roman" w:eastAsia="仿宋_GB2312" w:cs="Times New Roman"/>
          <w:snapToGrid/>
          <w:kern w:val="2"/>
          <w:sz w:val="32"/>
          <w:szCs w:val="32"/>
        </w:rPr>
        <w:t>(七)其他收入:指除财政拨款、事业收入、事业单位经营收入等以外的各项收入。</w:t>
      </w:r>
    </w:p>
    <w:p>
      <w:pPr>
        <w:widowControl w:val="0"/>
        <w:kinsoku/>
        <w:autoSpaceDE/>
        <w:autoSpaceDN/>
        <w:adjustRightInd/>
        <w:snapToGrid/>
        <w:ind w:firstLine="640" w:firstLineChars="200"/>
        <w:jc w:val="both"/>
        <w:textAlignment w:val="auto"/>
        <w:rPr>
          <w:rFonts w:ascii="仿宋_GB2312" w:hAnsi="Times New Roman" w:eastAsia="仿宋_GB2312" w:cs="Times New Roman"/>
          <w:snapToGrid/>
          <w:kern w:val="2"/>
          <w:sz w:val="32"/>
          <w:szCs w:val="32"/>
        </w:rPr>
      </w:pPr>
      <w:r>
        <w:rPr>
          <w:rFonts w:hint="eastAsia" w:ascii="仿宋_GB2312" w:hAnsi="Times New Roman" w:eastAsia="仿宋_GB2312" w:cs="Times New Roman"/>
          <w:snapToGrid/>
          <w:kern w:val="2"/>
          <w:sz w:val="32"/>
          <w:szCs w:val="32"/>
        </w:rPr>
        <w:t>(八)使用非财政拨款结余:填列历年滚存的非限定用途的非统计财政拨款结余弥补2023年收支差额的数额。</w:t>
      </w:r>
    </w:p>
    <w:p>
      <w:pPr>
        <w:widowControl w:val="0"/>
        <w:kinsoku/>
        <w:autoSpaceDE/>
        <w:autoSpaceDN/>
        <w:adjustRightInd/>
        <w:snapToGrid/>
        <w:ind w:firstLine="640" w:firstLineChars="200"/>
        <w:jc w:val="both"/>
        <w:textAlignment w:val="auto"/>
        <w:rPr>
          <w:rFonts w:ascii="仿宋_GB2312" w:hAnsi="Times New Roman" w:eastAsia="仿宋_GB2312" w:cs="Times New Roman"/>
          <w:snapToGrid/>
          <w:kern w:val="2"/>
          <w:sz w:val="32"/>
          <w:szCs w:val="32"/>
        </w:rPr>
      </w:pPr>
      <w:r>
        <w:rPr>
          <w:rFonts w:hint="eastAsia" w:ascii="仿宋_GB2312" w:hAnsi="Times New Roman" w:eastAsia="仿宋_GB2312" w:cs="Times New Roman"/>
          <w:snapToGrid/>
          <w:kern w:val="2"/>
          <w:sz w:val="32"/>
          <w:szCs w:val="32"/>
        </w:rPr>
        <w:t>(九)上年结转和结余:填列2022年全部结转和结余的资金数，包括当年结转结余资金和历年滚存结转结余资金。</w:t>
      </w:r>
    </w:p>
    <w:p>
      <w:pPr>
        <w:spacing w:before="214"/>
        <w:rPr>
          <w:rFonts w:ascii="楷体" w:hAnsi="楷体" w:eastAsia="楷体" w:cs="楷体"/>
          <w:spacing w:val="13"/>
          <w:sz w:val="32"/>
          <w:szCs w:val="32"/>
        </w:rPr>
      </w:pPr>
      <w:r>
        <w:rPr>
          <w:rFonts w:hint="eastAsia" w:ascii="楷体" w:hAnsi="楷体" w:eastAsia="楷体" w:cs="楷体"/>
          <w:spacing w:val="13"/>
          <w:sz w:val="32"/>
          <w:szCs w:val="32"/>
        </w:rPr>
        <w:t>二、支出科目</w:t>
      </w:r>
    </w:p>
    <w:p>
      <w:pPr>
        <w:widowControl w:val="0"/>
        <w:kinsoku/>
        <w:autoSpaceDE/>
        <w:autoSpaceDN/>
        <w:adjustRightInd/>
        <w:snapToGrid/>
        <w:ind w:firstLine="640" w:firstLineChars="200"/>
        <w:jc w:val="both"/>
        <w:textAlignment w:val="auto"/>
        <w:rPr>
          <w:rFonts w:ascii="仿宋_GB2312" w:hAnsi="Times New Roman" w:eastAsia="仿宋_GB2312" w:cs="Times New Roman"/>
          <w:snapToGrid/>
          <w:kern w:val="2"/>
          <w:sz w:val="32"/>
          <w:szCs w:val="32"/>
        </w:rPr>
      </w:pPr>
      <w:r>
        <w:rPr>
          <w:rFonts w:hint="eastAsia" w:ascii="仿宋_GB2312" w:hAnsi="Times New Roman" w:eastAsia="仿宋_GB2312" w:cs="Times New Roman"/>
          <w:snapToGrid/>
          <w:kern w:val="2"/>
          <w:sz w:val="32"/>
          <w:szCs w:val="32"/>
        </w:rPr>
        <w:t>对部门预算中涉及的支出功能分类科目(明细到项级)，结合部门实际，参照《2023年政府收支分类科目》的规范说明进行解释。</w:t>
      </w:r>
    </w:p>
    <w:p>
      <w:pPr>
        <w:spacing w:before="214"/>
        <w:rPr>
          <w:rFonts w:ascii="楷体" w:hAnsi="楷体" w:eastAsia="楷体" w:cs="楷体"/>
          <w:spacing w:val="13"/>
          <w:sz w:val="32"/>
          <w:szCs w:val="32"/>
        </w:rPr>
      </w:pPr>
      <w:r>
        <w:rPr>
          <w:rFonts w:hint="eastAsia" w:ascii="楷体" w:hAnsi="楷体" w:eastAsia="楷体" w:cs="楷体"/>
          <w:spacing w:val="13"/>
          <w:sz w:val="32"/>
          <w:szCs w:val="32"/>
        </w:rPr>
        <w:t>三、部门涉及的专业名词</w:t>
      </w:r>
    </w:p>
    <w:p>
      <w:pPr>
        <w:widowControl w:val="0"/>
        <w:kinsoku/>
        <w:autoSpaceDE/>
        <w:autoSpaceDN/>
        <w:adjustRightInd/>
        <w:snapToGrid/>
        <w:ind w:firstLine="640" w:firstLineChars="200"/>
        <w:jc w:val="both"/>
        <w:textAlignment w:val="auto"/>
        <w:rPr>
          <w:rFonts w:ascii="仿宋_GB2312" w:hAnsi="Times New Roman" w:eastAsia="仿宋_GB2312" w:cs="Times New Roman"/>
          <w:snapToGrid/>
          <w:kern w:val="2"/>
          <w:sz w:val="32"/>
          <w:szCs w:val="32"/>
        </w:rPr>
      </w:pPr>
      <w:r>
        <w:rPr>
          <w:rFonts w:hint="eastAsia" w:ascii="仿宋_GB2312" w:hAnsi="Times New Roman" w:eastAsia="仿宋_GB2312" w:cs="Times New Roman"/>
          <w:snapToGrid/>
          <w:kern w:val="2"/>
          <w:sz w:val="32"/>
          <w:szCs w:val="32"/>
        </w:rPr>
        <w:t>由部门结合实际填写。</w:t>
      </w:r>
    </w:p>
    <w:sectPr>
      <w:pgSz w:w="11900" w:h="16820"/>
      <w:pgMar w:top="1429" w:right="1647" w:bottom="1319" w:left="1539" w:header="0" w:footer="1097"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altName w:val="仿宋"/>
    <w:panose1 w:val="00000000000000000000"/>
    <w:charset w:val="86"/>
    <w:family w:val="modern"/>
    <w:pitch w:val="default"/>
    <w:sig w:usb0="00000000" w:usb1="00000000" w:usb2="00000010" w:usb3="00000000" w:csb0="00040000" w:csb1="00000000"/>
  </w:font>
  <w:font w:name="方正大标宋简体">
    <w:altName w:val="微软雅黑"/>
    <w:panose1 w:val="00000000000000000000"/>
    <w:charset w:val="86"/>
    <w:family w:val="auto"/>
    <w:pitch w:val="default"/>
    <w:sig w:usb0="00000000" w:usb1="00000000" w:usb2="00000010" w:usb3="00000000" w:csb0="00040000" w:csb1="00000000"/>
  </w:font>
  <w:font w:name="楷体">
    <w:panose1 w:val="02010609060101010101"/>
    <w:charset w:val="86"/>
    <w:family w:val="modern"/>
    <w:pitch w:val="default"/>
    <w:sig w:usb0="800002BF" w:usb1="38CF7CFA" w:usb2="00000016" w:usb3="00000000" w:csb0="00040001"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bordersDoNotSurroundHeader w:val="0"/>
  <w:bordersDoNotSurroundFooter w:val="0"/>
  <w:documentProtection w:enforcement="0"/>
  <w:defaultTabStop w:val="420"/>
  <w:displayHorizontalDrawingGridEvery w:val="1"/>
  <w:displayVerticalDrawingGridEvery w:val="1"/>
  <w:noPunctuationKerning w:val="1"/>
  <w:characterSpacingControl w:val="doNotCompress"/>
  <w:compat>
    <w:spaceForUL/>
    <w:ulTrailSpace/>
    <w:doNotExpandShiftReturn/>
    <w:doNotWrapTextWithPunct/>
    <w:doNotUseEastAsianBreakRules/>
    <w:useFELayout/>
    <w:doNotUseIndentAsNumberingTabStop/>
    <w:compatSetting w:name="compatibilityMode" w:uri="http://schemas.microsoft.com/office/word" w:val="14"/>
  </w:compat>
  <w:docVars>
    <w:docVar w:name="commondata" w:val="eyJoZGlkIjoiYmYyZWY1MmE4YjhkZTEyNjY3ZWUwNGE1MDg3ODYyMWMifQ=="/>
  </w:docVars>
  <w:rsids>
    <w:rsidRoot w:val="00E637E3"/>
    <w:rsid w:val="0028241F"/>
    <w:rsid w:val="007D2708"/>
    <w:rsid w:val="00A55E03"/>
    <w:rsid w:val="00E637E3"/>
    <w:rsid w:val="180A0D7A"/>
    <w:rsid w:val="28B74E8B"/>
    <w:rsid w:val="28ED3D5F"/>
    <w:rsid w:val="325D7BAC"/>
    <w:rsid w:val="3B7E6C11"/>
    <w:rsid w:val="474E6296"/>
    <w:rsid w:val="476D2917"/>
    <w:rsid w:val="535A3AA7"/>
    <w:rsid w:val="5D24489D"/>
    <w:rsid w:val="653A4B9B"/>
    <w:rsid w:val="6C0006DE"/>
    <w:rsid w:val="75AE7963"/>
    <w:rsid w:val="7B6E7F21"/>
    <w:rsid w:val="7D06789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nhideWhenUsed="0" w:uiPriority="0" w:semiHidden="0" w:name="footnote text"/>
    <w:lsdException w:unhideWhenUsed="0" w:uiPriority="0" w:semiHidden="0" w:name="annotation text"/>
    <w:lsdException w:qFormat="1"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semiHidden/>
    <w:qFormat/>
    <w:uiPriority w:val="0"/>
    <w:pPr>
      <w:kinsoku w:val="0"/>
      <w:autoSpaceDE w:val="0"/>
      <w:autoSpaceDN w:val="0"/>
      <w:adjustRightInd w:val="0"/>
      <w:snapToGrid w:val="0"/>
      <w:textAlignment w:val="baseline"/>
    </w:pPr>
    <w:rPr>
      <w:rFonts w:ascii="Arial" w:hAnsi="Arial" w:eastAsia="Arial" w:cs="Arial"/>
      <w:snapToGrid w:val="0"/>
      <w:color w:val="000000"/>
      <w:sz w:val="21"/>
      <w:szCs w:val="21"/>
      <w:lang w:val="en-US" w:eastAsia="zh-CN" w:bidi="ar-SA"/>
    </w:rPr>
  </w:style>
  <w:style w:type="character" w:default="1" w:styleId="6">
    <w:name w:val="Default Paragraph Font"/>
    <w:semiHidden/>
    <w:unhideWhenUsed/>
    <w:qFormat/>
    <w:uiPriority w:val="1"/>
  </w:style>
  <w:style w:type="table" w:default="1" w:styleId="5">
    <w:name w:val="Normal Table"/>
    <w:semiHidden/>
    <w:unhideWhenUsed/>
    <w:uiPriority w:val="99"/>
    <w:tblPr>
      <w:tblCellMar>
        <w:top w:w="0" w:type="dxa"/>
        <w:left w:w="108" w:type="dxa"/>
        <w:bottom w:w="0" w:type="dxa"/>
        <w:right w:w="108" w:type="dxa"/>
      </w:tblCellMar>
    </w:tblPr>
  </w:style>
  <w:style w:type="paragraph" w:styleId="2">
    <w:name w:val="footnote text"/>
    <w:basedOn w:val="1"/>
    <w:next w:val="3"/>
    <w:qFormat/>
    <w:uiPriority w:val="0"/>
    <w:pPr>
      <w:snapToGrid w:val="0"/>
      <w:jc w:val="left"/>
    </w:pPr>
    <w:rPr>
      <w:sz w:val="18"/>
      <w:szCs w:val="18"/>
    </w:rPr>
  </w:style>
  <w:style w:type="paragraph" w:styleId="3">
    <w:name w:val="Body Text First Indent 2"/>
    <w:basedOn w:val="1"/>
    <w:qFormat/>
    <w:uiPriority w:val="0"/>
    <w:pPr>
      <w:spacing w:after="0"/>
      <w:ind w:left="0" w:leftChars="0" w:firstLine="420" w:firstLineChars="200"/>
    </w:pPr>
    <w:rPr>
      <w:rFonts w:ascii="仿宋_GB2312" w:hAnsi="Calibri"/>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jc w:val="both"/>
    </w:pPr>
    <w:rPr>
      <w:sz w:val="18"/>
    </w:rPr>
  </w:style>
  <w:style w:type="table" w:customStyle="1" w:styleId="7">
    <w:name w:val="Table Normal"/>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Microsoft</Company>
  <Pages>6</Pages>
  <Words>2078</Words>
  <Characters>2254</Characters>
  <Lines>14</Lines>
  <Paragraphs>4</Paragraphs>
  <TotalTime>9</TotalTime>
  <ScaleCrop>false</ScaleCrop>
  <LinksUpToDate>false</LinksUpToDate>
  <CharactersWithSpaces>2269</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2022-02-17T11:46:00Z</dcterms:created>
  <dc:creator>Administrator</dc:creator>
  <cp:lastModifiedBy>张嘴吃药</cp:lastModifiedBy>
  <dcterms:modified xsi:type="dcterms:W3CDTF">2023-03-22T10:38:09Z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wqlLaW5nc29mdCBQREYgdG8gV1BTIDcw</vt:lpwstr>
  </property>
  <property fmtid="{D5CDD505-2E9C-101B-9397-08002B2CF9AE}" pid="3" name="Created">
    <vt:filetime>2022-02-17T19:44:23Z</vt:filetime>
  </property>
  <property fmtid="{D5CDD505-2E9C-101B-9397-08002B2CF9AE}" pid="4" name="KSOProductBuildVer">
    <vt:lpwstr>2052-11.1.0.13703</vt:lpwstr>
  </property>
  <property fmtid="{D5CDD505-2E9C-101B-9397-08002B2CF9AE}" pid="5" name="ICV">
    <vt:lpwstr>88DC4E5DA5774A45A9990BB4EE0325F1</vt:lpwstr>
  </property>
</Properties>
</file>