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47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9"/>
        <w:gridCol w:w="1425"/>
        <w:gridCol w:w="2310"/>
        <w:gridCol w:w="2238"/>
        <w:gridCol w:w="4275"/>
        <w:gridCol w:w="832"/>
      </w:tblGrid>
      <w:tr w14:paraId="2181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868" w:type="pct"/>
            <w:vAlign w:val="center"/>
          </w:tcPr>
          <w:p w14:paraId="3102AB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Theme="minorEastAsia"/>
                <w:b/>
                <w:bCs/>
                <w:sz w:val="28"/>
                <w:szCs w:val="28"/>
                <w:vertAlign w:val="baseline"/>
                <w:lang w:val="en-US" w:eastAsia="zh-CN"/>
              </w:rPr>
            </w:pPr>
            <w:r>
              <w:rPr>
                <w:rFonts w:hint="eastAsia"/>
                <w:b/>
                <w:bCs/>
                <w:sz w:val="28"/>
                <w:szCs w:val="28"/>
                <w:vertAlign w:val="baseline"/>
                <w:lang w:val="en-US" w:eastAsia="zh-CN"/>
              </w:rPr>
              <w:t>被抽样单位名称</w:t>
            </w:r>
          </w:p>
        </w:tc>
        <w:tc>
          <w:tcPr>
            <w:tcW w:w="531" w:type="pct"/>
            <w:vAlign w:val="center"/>
          </w:tcPr>
          <w:p w14:paraId="1BD85F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Theme="minorEastAsia"/>
                <w:b/>
                <w:bCs/>
                <w:sz w:val="28"/>
                <w:szCs w:val="28"/>
                <w:vertAlign w:val="baseline"/>
                <w:lang w:val="en-US" w:eastAsia="zh-CN"/>
              </w:rPr>
            </w:pPr>
            <w:r>
              <w:rPr>
                <w:rFonts w:hint="eastAsia"/>
                <w:b/>
                <w:bCs/>
                <w:sz w:val="28"/>
                <w:szCs w:val="28"/>
                <w:vertAlign w:val="baseline"/>
                <w:lang w:val="en-US" w:eastAsia="zh-CN"/>
              </w:rPr>
              <w:t>食品名称</w:t>
            </w:r>
          </w:p>
        </w:tc>
        <w:tc>
          <w:tcPr>
            <w:tcW w:w="861" w:type="pct"/>
            <w:vAlign w:val="center"/>
          </w:tcPr>
          <w:p w14:paraId="29FFBE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Theme="minorEastAsia"/>
                <w:b/>
                <w:bCs/>
                <w:sz w:val="28"/>
                <w:szCs w:val="28"/>
                <w:vertAlign w:val="baseline"/>
                <w:lang w:val="en-US" w:eastAsia="zh-CN"/>
              </w:rPr>
            </w:pPr>
            <w:r>
              <w:rPr>
                <w:rFonts w:hint="eastAsia"/>
                <w:b/>
                <w:bCs/>
                <w:sz w:val="28"/>
                <w:szCs w:val="28"/>
                <w:vertAlign w:val="baseline"/>
                <w:lang w:val="en-US" w:eastAsia="zh-CN"/>
              </w:rPr>
              <w:t>检验结论</w:t>
            </w:r>
          </w:p>
        </w:tc>
        <w:tc>
          <w:tcPr>
            <w:tcW w:w="834" w:type="pct"/>
            <w:vAlign w:val="center"/>
          </w:tcPr>
          <w:p w14:paraId="761BF8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b/>
                <w:bCs/>
                <w:sz w:val="28"/>
                <w:szCs w:val="28"/>
                <w:vertAlign w:val="baseline"/>
                <w:lang w:val="en-US" w:eastAsia="zh-CN"/>
              </w:rPr>
            </w:pPr>
            <w:r>
              <w:rPr>
                <w:rFonts w:hint="eastAsia"/>
                <w:b/>
                <w:bCs/>
                <w:sz w:val="28"/>
                <w:szCs w:val="28"/>
                <w:vertAlign w:val="baseline"/>
                <w:lang w:val="en-US" w:eastAsia="zh-CN"/>
              </w:rPr>
              <w:t>检测数值</w:t>
            </w:r>
          </w:p>
        </w:tc>
        <w:tc>
          <w:tcPr>
            <w:tcW w:w="1593" w:type="pct"/>
            <w:vAlign w:val="center"/>
          </w:tcPr>
          <w:p w14:paraId="2175E2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Theme="minorEastAsia"/>
                <w:b/>
                <w:bCs/>
                <w:sz w:val="28"/>
                <w:szCs w:val="28"/>
                <w:vertAlign w:val="baseline"/>
                <w:lang w:val="en-US" w:eastAsia="zh-CN"/>
              </w:rPr>
            </w:pPr>
            <w:r>
              <w:rPr>
                <w:rFonts w:hint="eastAsia"/>
                <w:b/>
                <w:bCs/>
                <w:sz w:val="28"/>
                <w:szCs w:val="28"/>
                <w:vertAlign w:val="baseline"/>
                <w:lang w:val="en-US" w:eastAsia="zh-CN"/>
              </w:rPr>
              <w:t>违反法律</w:t>
            </w:r>
            <w:bookmarkStart w:id="0" w:name="_GoBack"/>
            <w:bookmarkEnd w:id="0"/>
          </w:p>
        </w:tc>
        <w:tc>
          <w:tcPr>
            <w:tcW w:w="310" w:type="pct"/>
            <w:vAlign w:val="center"/>
          </w:tcPr>
          <w:p w14:paraId="671962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Theme="minorEastAsia"/>
                <w:b/>
                <w:bCs/>
                <w:sz w:val="28"/>
                <w:szCs w:val="28"/>
                <w:vertAlign w:val="baseline"/>
                <w:lang w:val="en-US" w:eastAsia="zh-CN"/>
              </w:rPr>
            </w:pPr>
            <w:r>
              <w:rPr>
                <w:rFonts w:hint="eastAsia"/>
                <w:b/>
                <w:bCs/>
                <w:sz w:val="28"/>
                <w:szCs w:val="28"/>
                <w:vertAlign w:val="baseline"/>
                <w:lang w:val="en-US" w:eastAsia="zh-CN"/>
              </w:rPr>
              <w:t>备注</w:t>
            </w:r>
          </w:p>
        </w:tc>
      </w:tr>
      <w:tr w14:paraId="16FF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pct"/>
            <w:vAlign w:val="center"/>
          </w:tcPr>
          <w:p w14:paraId="4D132C24">
            <w:pPr>
              <w:jc w:val="center"/>
              <w:rPr>
                <w:rFonts w:hint="default" w:eastAsiaTheme="minorEastAsia"/>
                <w:vertAlign w:val="baseline"/>
                <w:lang w:val="en-US" w:eastAsia="zh-CN"/>
              </w:rPr>
            </w:pPr>
            <w:r>
              <w:rPr>
                <w:rFonts w:hint="default" w:eastAsiaTheme="minorEastAsia"/>
                <w:vertAlign w:val="baseline"/>
                <w:lang w:val="en-US" w:eastAsia="zh-CN"/>
              </w:rPr>
              <w:t>浮梁县修松餐饮店</w:t>
            </w:r>
          </w:p>
        </w:tc>
        <w:tc>
          <w:tcPr>
            <w:tcW w:w="531" w:type="pct"/>
            <w:vAlign w:val="center"/>
          </w:tcPr>
          <w:p w14:paraId="14C6D5E3">
            <w:pPr>
              <w:jc w:val="center"/>
              <w:rPr>
                <w:rFonts w:hint="eastAsia" w:eastAsiaTheme="minorEastAsia"/>
                <w:vertAlign w:val="baseline"/>
                <w:lang w:val="en-US" w:eastAsia="zh-CN"/>
              </w:rPr>
            </w:pPr>
            <w:r>
              <w:rPr>
                <w:rFonts w:hint="eastAsia" w:eastAsiaTheme="minorEastAsia"/>
                <w:vertAlign w:val="baseline"/>
                <w:lang w:val="en-US" w:eastAsia="zh-CN"/>
              </w:rPr>
              <w:t>土豆</w:t>
            </w:r>
          </w:p>
        </w:tc>
        <w:tc>
          <w:tcPr>
            <w:tcW w:w="861" w:type="pct"/>
            <w:vAlign w:val="center"/>
          </w:tcPr>
          <w:p w14:paraId="678EA85F">
            <w:pPr>
              <w:jc w:val="left"/>
              <w:rPr>
                <w:vertAlign w:val="baseline"/>
              </w:rPr>
            </w:pPr>
            <w:r>
              <w:rPr>
                <w:rFonts w:hint="eastAsia"/>
                <w:vertAlign w:val="baseline"/>
              </w:rPr>
              <w:t>噻虫嗪项目不符合 GB 2763-2026《食品安全国家标准 食品中农药最大残留限量》要求，检验结论为不合格。</w:t>
            </w:r>
          </w:p>
        </w:tc>
        <w:tc>
          <w:tcPr>
            <w:tcW w:w="834" w:type="pct"/>
            <w:vAlign w:val="center"/>
          </w:tcPr>
          <w:p w14:paraId="4F4BF162">
            <w:pPr>
              <w:jc w:val="center"/>
              <w:rPr>
                <w:rFonts w:hint="default" w:ascii="宋体" w:hAnsi="宋体" w:eastAsia="宋体" w:cs="宋体"/>
                <w:sz w:val="24"/>
                <w:szCs w:val="24"/>
                <w:lang w:val="en-US" w:eastAsia="zh-CN"/>
              </w:rPr>
            </w:pPr>
            <w:r>
              <w:rPr>
                <w:rFonts w:hint="eastAsia"/>
                <w:vertAlign w:val="baseline"/>
                <w:lang w:val="en-US" w:eastAsia="zh-CN"/>
              </w:rPr>
              <w:t>实测值：</w:t>
            </w:r>
            <w:r>
              <w:rPr>
                <w:rFonts w:ascii="宋体" w:hAnsi="宋体" w:eastAsia="宋体" w:cs="宋体"/>
                <w:sz w:val="24"/>
                <w:szCs w:val="24"/>
              </w:rPr>
              <w:t>0.</w:t>
            </w:r>
            <w:r>
              <w:rPr>
                <w:rFonts w:hint="eastAsia" w:ascii="宋体" w:hAnsi="宋体" w:eastAsia="宋体" w:cs="宋体"/>
                <w:sz w:val="24"/>
                <w:szCs w:val="24"/>
                <w:lang w:val="en-US" w:eastAsia="zh-CN"/>
              </w:rPr>
              <w:t>36</w:t>
            </w:r>
          </w:p>
          <w:p w14:paraId="4DE7A9E3">
            <w:pPr>
              <w:jc w:val="center"/>
              <w:rPr>
                <w:rFonts w:hint="eastAsia"/>
                <w:vertAlign w:val="baseline"/>
                <w:lang w:val="en-US" w:eastAsia="zh-CN"/>
              </w:rPr>
            </w:pPr>
            <w:r>
              <w:rPr>
                <w:rFonts w:hint="eastAsia"/>
                <w:vertAlign w:val="baseline"/>
                <w:lang w:val="en-US" w:eastAsia="zh-CN"/>
              </w:rPr>
              <w:t>标准指标：≤0.2</w:t>
            </w:r>
          </w:p>
          <w:p w14:paraId="43844B6D">
            <w:pPr>
              <w:jc w:val="center"/>
              <w:rPr>
                <w:rFonts w:hint="default"/>
                <w:vertAlign w:val="baseline"/>
                <w:lang w:val="en-US" w:eastAsia="zh-CN"/>
              </w:rPr>
            </w:pPr>
            <w:r>
              <w:rPr>
                <w:rFonts w:hint="eastAsia"/>
                <w:vertAlign w:val="baseline"/>
                <w:lang w:val="en-US" w:eastAsia="zh-CN"/>
              </w:rPr>
              <w:t>（计量单位：mg/kg）</w:t>
            </w:r>
          </w:p>
        </w:tc>
        <w:tc>
          <w:tcPr>
            <w:tcW w:w="1593" w:type="pct"/>
            <w:vAlign w:val="center"/>
          </w:tcPr>
          <w:p w14:paraId="2D5A4B44">
            <w:pPr>
              <w:jc w:val="center"/>
              <w:rPr>
                <w:vertAlign w:val="baseline"/>
              </w:rPr>
            </w:pPr>
            <w:r>
              <w:rPr>
                <w:rFonts w:hint="eastAsia"/>
                <w:vertAlign w:val="baseline"/>
              </w:rPr>
              <w:t>违反了《中华人民共和国食品安全法》第三十四条第一款第（二）项：“禁止生产经营下列食品、食品添加剂、食品相关产品：（二）致病性微生物，农药残留、兽药残留、生物毒素、重金属等污染物质以及其他危害人体健康的物质含量超过食品安全标准限量的食品、食品添加剂、食品相关产品；”的规定。</w:t>
            </w:r>
          </w:p>
        </w:tc>
        <w:tc>
          <w:tcPr>
            <w:tcW w:w="310" w:type="pct"/>
            <w:vAlign w:val="center"/>
          </w:tcPr>
          <w:p w14:paraId="720F1CF4">
            <w:pPr>
              <w:jc w:val="center"/>
              <w:rPr>
                <w:vertAlign w:val="baseline"/>
              </w:rPr>
            </w:pPr>
          </w:p>
        </w:tc>
      </w:tr>
      <w:tr w14:paraId="07E8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pct"/>
            <w:vAlign w:val="center"/>
          </w:tcPr>
          <w:p w14:paraId="7381C9BD">
            <w:pPr>
              <w:jc w:val="center"/>
              <w:rPr>
                <w:rFonts w:hint="default" w:eastAsiaTheme="minorEastAsia"/>
                <w:vertAlign w:val="baseline"/>
                <w:lang w:val="en-US" w:eastAsia="zh-CN"/>
              </w:rPr>
            </w:pPr>
            <w:r>
              <w:rPr>
                <w:rFonts w:hint="default" w:eastAsiaTheme="minorEastAsia"/>
                <w:vertAlign w:val="baseline"/>
                <w:lang w:val="en-US" w:eastAsia="zh-CN"/>
              </w:rPr>
              <w:t>浮梁县利客隆商贸有限公司</w:t>
            </w:r>
          </w:p>
        </w:tc>
        <w:tc>
          <w:tcPr>
            <w:tcW w:w="531" w:type="pct"/>
            <w:vAlign w:val="center"/>
          </w:tcPr>
          <w:p w14:paraId="053E81B8">
            <w:pPr>
              <w:jc w:val="center"/>
              <w:rPr>
                <w:rFonts w:hint="eastAsia" w:eastAsiaTheme="minorEastAsia"/>
                <w:vertAlign w:val="baseline"/>
                <w:lang w:val="en-US" w:eastAsia="zh-CN"/>
              </w:rPr>
            </w:pPr>
            <w:r>
              <w:rPr>
                <w:rFonts w:hint="eastAsia" w:eastAsiaTheme="minorEastAsia"/>
                <w:vertAlign w:val="baseline"/>
                <w:lang w:val="en-US" w:eastAsia="zh-CN"/>
              </w:rPr>
              <w:t>红薯</w:t>
            </w:r>
          </w:p>
        </w:tc>
        <w:tc>
          <w:tcPr>
            <w:tcW w:w="861" w:type="pct"/>
            <w:vAlign w:val="center"/>
          </w:tcPr>
          <w:p w14:paraId="74111F67">
            <w:pPr>
              <w:jc w:val="left"/>
              <w:rPr>
                <w:rFonts w:hint="eastAsia"/>
                <w:vertAlign w:val="baseline"/>
              </w:rPr>
            </w:pPr>
            <w:r>
              <w:rPr>
                <w:rFonts w:hint="eastAsia"/>
                <w:vertAlign w:val="baseline"/>
              </w:rPr>
              <w:t>噻虫嗪项目不符合 GB 2763-2026《食品安全国家标准 食品中农药最大残留限量》要求，检验结论为不合格</w:t>
            </w:r>
          </w:p>
        </w:tc>
        <w:tc>
          <w:tcPr>
            <w:tcW w:w="834" w:type="pct"/>
            <w:vAlign w:val="center"/>
          </w:tcPr>
          <w:p w14:paraId="45C08707">
            <w:pPr>
              <w:jc w:val="center"/>
              <w:rPr>
                <w:rFonts w:hint="default"/>
                <w:vertAlign w:val="baseline"/>
                <w:lang w:val="en-US" w:eastAsia="zh-CN"/>
              </w:rPr>
            </w:pPr>
            <w:r>
              <w:rPr>
                <w:rFonts w:hint="eastAsia"/>
                <w:vertAlign w:val="baseline"/>
                <w:lang w:val="en-US" w:eastAsia="zh-CN"/>
              </w:rPr>
              <w:t>实测值：0.14</w:t>
            </w:r>
          </w:p>
          <w:p w14:paraId="574AF050">
            <w:pPr>
              <w:jc w:val="center"/>
              <w:rPr>
                <w:rFonts w:hint="default"/>
                <w:vertAlign w:val="baseline"/>
                <w:lang w:val="en-US" w:eastAsia="zh-CN"/>
              </w:rPr>
            </w:pPr>
            <w:r>
              <w:rPr>
                <w:rFonts w:hint="eastAsia"/>
                <w:vertAlign w:val="baseline"/>
                <w:lang w:val="en-US" w:eastAsia="zh-CN"/>
              </w:rPr>
              <w:t>标准指标：≤0.05</w:t>
            </w:r>
          </w:p>
          <w:p w14:paraId="57310C71">
            <w:pPr>
              <w:jc w:val="center"/>
              <w:rPr>
                <w:rFonts w:hint="eastAsia"/>
                <w:vertAlign w:val="baseline"/>
                <w:lang w:val="en-US" w:eastAsia="zh-CN"/>
              </w:rPr>
            </w:pPr>
            <w:r>
              <w:rPr>
                <w:rFonts w:hint="eastAsia"/>
                <w:vertAlign w:val="baseline"/>
                <w:lang w:val="en-US" w:eastAsia="zh-CN"/>
              </w:rPr>
              <w:t>（计量单位：mg/kg）</w:t>
            </w:r>
          </w:p>
        </w:tc>
        <w:tc>
          <w:tcPr>
            <w:tcW w:w="1593" w:type="pct"/>
            <w:vAlign w:val="center"/>
          </w:tcPr>
          <w:p w14:paraId="304BFC09">
            <w:pPr>
              <w:jc w:val="center"/>
              <w:rPr>
                <w:rFonts w:hint="eastAsia"/>
                <w:vertAlign w:val="baseline"/>
              </w:rPr>
            </w:pPr>
            <w:r>
              <w:rPr>
                <w:rFonts w:hint="eastAsia"/>
                <w:vertAlign w:val="baseline"/>
              </w:rPr>
              <w:t>违反了《中华人民共和国食品安全法》第三十四条第一款第（二）项：“禁止生产经营下列食品、食品添加剂、食品相关产品：（二）致病性微生物，农药残留、兽药残留、生物毒素、重金属等污染物质以及其他危害人体健康的物质含量超过食品安全标准限量的食品、食品添加剂、食品相关产品；”的规定。</w:t>
            </w:r>
          </w:p>
        </w:tc>
        <w:tc>
          <w:tcPr>
            <w:tcW w:w="310" w:type="pct"/>
            <w:vAlign w:val="center"/>
          </w:tcPr>
          <w:p w14:paraId="20650755">
            <w:pPr>
              <w:jc w:val="center"/>
              <w:rPr>
                <w:vertAlign w:val="baseline"/>
              </w:rPr>
            </w:pPr>
          </w:p>
        </w:tc>
      </w:tr>
      <w:tr w14:paraId="1C12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pct"/>
            <w:vAlign w:val="center"/>
          </w:tcPr>
          <w:p w14:paraId="252A2747">
            <w:pPr>
              <w:jc w:val="center"/>
              <w:rPr>
                <w:rFonts w:hint="default" w:eastAsiaTheme="minorEastAsia"/>
                <w:vertAlign w:val="baseline"/>
                <w:lang w:val="en-US" w:eastAsia="zh-CN"/>
              </w:rPr>
            </w:pPr>
            <w:r>
              <w:rPr>
                <w:rFonts w:hint="default" w:eastAsiaTheme="minorEastAsia"/>
                <w:vertAlign w:val="baseline"/>
                <w:lang w:val="en-US" w:eastAsia="zh-CN"/>
              </w:rPr>
              <w:t>浮梁县丽隆商贸有限公司</w:t>
            </w:r>
          </w:p>
        </w:tc>
        <w:tc>
          <w:tcPr>
            <w:tcW w:w="531" w:type="pct"/>
            <w:vAlign w:val="center"/>
          </w:tcPr>
          <w:p w14:paraId="240591D9">
            <w:pPr>
              <w:jc w:val="center"/>
              <w:rPr>
                <w:rFonts w:hint="eastAsia" w:eastAsiaTheme="minorEastAsia"/>
                <w:vertAlign w:val="baseline"/>
                <w:lang w:val="en-US" w:eastAsia="zh-CN"/>
              </w:rPr>
            </w:pPr>
            <w:r>
              <w:rPr>
                <w:rFonts w:hint="eastAsia" w:eastAsiaTheme="minorEastAsia"/>
                <w:vertAlign w:val="baseline"/>
                <w:lang w:val="en-US" w:eastAsia="zh-CN"/>
              </w:rPr>
              <w:t>红薯</w:t>
            </w:r>
          </w:p>
        </w:tc>
        <w:tc>
          <w:tcPr>
            <w:tcW w:w="861" w:type="pct"/>
            <w:vAlign w:val="center"/>
          </w:tcPr>
          <w:p w14:paraId="71BBC674">
            <w:pPr>
              <w:jc w:val="left"/>
              <w:rPr>
                <w:rFonts w:hint="eastAsia"/>
                <w:vertAlign w:val="baseline"/>
              </w:rPr>
            </w:pPr>
            <w:r>
              <w:rPr>
                <w:rFonts w:hint="eastAsia"/>
                <w:vertAlign w:val="baseline"/>
              </w:rPr>
              <w:t>氯氟氰菊酯和高效氯氟氰菊酯项目不符合 GB 2763-2026《食品安全国家标准 食品中农药最大残留限量》要求，检验结论为不合格。</w:t>
            </w:r>
          </w:p>
        </w:tc>
        <w:tc>
          <w:tcPr>
            <w:tcW w:w="834" w:type="pct"/>
            <w:vAlign w:val="center"/>
          </w:tcPr>
          <w:p w14:paraId="7FC64741">
            <w:pPr>
              <w:jc w:val="center"/>
              <w:rPr>
                <w:rFonts w:hint="eastAsia"/>
                <w:vertAlign w:val="baseline"/>
                <w:lang w:val="en-US" w:eastAsia="zh-CN"/>
              </w:rPr>
            </w:pPr>
            <w:r>
              <w:rPr>
                <w:rFonts w:hint="eastAsia"/>
                <w:vertAlign w:val="baseline"/>
                <w:lang w:val="en-US" w:eastAsia="zh-CN"/>
              </w:rPr>
              <w:t xml:space="preserve">实测值：0.054 </w:t>
            </w:r>
          </w:p>
          <w:p w14:paraId="72C9C30C">
            <w:pPr>
              <w:jc w:val="center"/>
              <w:rPr>
                <w:rFonts w:hint="eastAsia"/>
                <w:vertAlign w:val="baseline"/>
                <w:lang w:val="en-US" w:eastAsia="zh-CN"/>
              </w:rPr>
            </w:pPr>
            <w:r>
              <w:rPr>
                <w:rFonts w:hint="eastAsia"/>
                <w:vertAlign w:val="baseline"/>
                <w:lang w:val="en-US" w:eastAsia="zh-CN"/>
              </w:rPr>
              <w:t>标准指标：≤0.01</w:t>
            </w:r>
          </w:p>
          <w:p w14:paraId="0EF6300E">
            <w:pPr>
              <w:jc w:val="center"/>
              <w:rPr>
                <w:rFonts w:hint="eastAsia"/>
                <w:vertAlign w:val="baseline"/>
                <w:lang w:val="en-US" w:eastAsia="zh-CN"/>
              </w:rPr>
            </w:pPr>
            <w:r>
              <w:rPr>
                <w:rFonts w:hint="eastAsia"/>
                <w:vertAlign w:val="baseline"/>
                <w:lang w:val="en-US" w:eastAsia="zh-CN"/>
              </w:rPr>
              <w:t>（计量单位：mg/kg）</w:t>
            </w:r>
          </w:p>
        </w:tc>
        <w:tc>
          <w:tcPr>
            <w:tcW w:w="1593" w:type="pct"/>
            <w:vAlign w:val="center"/>
          </w:tcPr>
          <w:p w14:paraId="0F347837">
            <w:pPr>
              <w:jc w:val="center"/>
              <w:rPr>
                <w:rFonts w:hint="eastAsia"/>
                <w:vertAlign w:val="baseline"/>
              </w:rPr>
            </w:pPr>
            <w:r>
              <w:rPr>
                <w:rFonts w:hint="eastAsia"/>
                <w:vertAlign w:val="baseline"/>
              </w:rPr>
              <w:t>违反了《中华人民共和国食品安全法》第三十四条第一款第（二）项：“禁止生产经营下列食品、食品添加剂、食品相关产品：（二）致病性微生物，农药残留、兽药残留、生物毒素、重金属等污染物质以及其他危害人体健康的物质含量超过食品安全标准限量的食品、食品添加剂、食品相关产品；”的规定。</w:t>
            </w:r>
          </w:p>
        </w:tc>
        <w:tc>
          <w:tcPr>
            <w:tcW w:w="310" w:type="pct"/>
            <w:vAlign w:val="center"/>
          </w:tcPr>
          <w:p w14:paraId="24F1431B">
            <w:pPr>
              <w:jc w:val="center"/>
              <w:rPr>
                <w:vertAlign w:val="baseline"/>
              </w:rPr>
            </w:pPr>
          </w:p>
        </w:tc>
      </w:tr>
      <w:tr w14:paraId="2D4F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pct"/>
            <w:vAlign w:val="center"/>
          </w:tcPr>
          <w:p w14:paraId="5F0991FC">
            <w:pPr>
              <w:jc w:val="center"/>
              <w:rPr>
                <w:rFonts w:hint="default" w:eastAsiaTheme="minorEastAsia"/>
                <w:vertAlign w:val="baseline"/>
                <w:lang w:val="en-US" w:eastAsia="zh-CN"/>
              </w:rPr>
            </w:pPr>
            <w:r>
              <w:rPr>
                <w:rFonts w:hint="default" w:eastAsiaTheme="minorEastAsia"/>
                <w:vertAlign w:val="baseline"/>
                <w:lang w:val="en-US" w:eastAsia="zh-CN"/>
              </w:rPr>
              <w:t>浮梁县有果优选鲜果店（个体工商户）</w:t>
            </w:r>
          </w:p>
        </w:tc>
        <w:tc>
          <w:tcPr>
            <w:tcW w:w="531" w:type="pct"/>
            <w:vAlign w:val="center"/>
          </w:tcPr>
          <w:p w14:paraId="3B1988F6">
            <w:pPr>
              <w:jc w:val="center"/>
              <w:rPr>
                <w:rFonts w:hint="eastAsia" w:eastAsiaTheme="minorEastAsia"/>
                <w:vertAlign w:val="baseline"/>
                <w:lang w:val="en-US" w:eastAsia="zh-CN"/>
              </w:rPr>
            </w:pPr>
            <w:r>
              <w:rPr>
                <w:rFonts w:hint="eastAsia" w:eastAsiaTheme="minorEastAsia"/>
                <w:vertAlign w:val="baseline"/>
                <w:lang w:val="en-US" w:eastAsia="zh-CN"/>
              </w:rPr>
              <w:t>水仙大芒果</w:t>
            </w:r>
          </w:p>
        </w:tc>
        <w:tc>
          <w:tcPr>
            <w:tcW w:w="861" w:type="pct"/>
            <w:vAlign w:val="center"/>
          </w:tcPr>
          <w:p w14:paraId="0F62EC13">
            <w:pPr>
              <w:jc w:val="left"/>
              <w:rPr>
                <w:rFonts w:hint="eastAsia"/>
                <w:vertAlign w:val="baseline"/>
              </w:rPr>
            </w:pPr>
            <w:r>
              <w:rPr>
                <w:rFonts w:hint="eastAsia"/>
                <w:vertAlign w:val="baseline"/>
              </w:rPr>
              <w:t>乙酰甲胺磷项目不符合 GB 2763-2026《食品安全国家标准 食品中农药最大残留限量》要求，检验结论为不合格。</w:t>
            </w:r>
          </w:p>
        </w:tc>
        <w:tc>
          <w:tcPr>
            <w:tcW w:w="834" w:type="pct"/>
            <w:vAlign w:val="center"/>
          </w:tcPr>
          <w:p w14:paraId="01CECE0F">
            <w:pPr>
              <w:jc w:val="center"/>
              <w:rPr>
                <w:rFonts w:hint="eastAsia"/>
                <w:vertAlign w:val="baseline"/>
                <w:lang w:val="en-US" w:eastAsia="zh-CN"/>
              </w:rPr>
            </w:pPr>
            <w:r>
              <w:rPr>
                <w:rFonts w:hint="eastAsia"/>
                <w:vertAlign w:val="baseline"/>
                <w:lang w:val="en-US" w:eastAsia="zh-CN"/>
              </w:rPr>
              <w:t>实测值：0.078</w:t>
            </w:r>
          </w:p>
          <w:p w14:paraId="37204520">
            <w:pPr>
              <w:jc w:val="center"/>
              <w:rPr>
                <w:rFonts w:hint="eastAsia"/>
                <w:vertAlign w:val="baseline"/>
                <w:lang w:val="en-US" w:eastAsia="zh-CN"/>
              </w:rPr>
            </w:pPr>
            <w:r>
              <w:rPr>
                <w:rFonts w:hint="eastAsia"/>
                <w:vertAlign w:val="baseline"/>
                <w:lang w:val="en-US" w:eastAsia="zh-CN"/>
              </w:rPr>
              <w:t>标准指标：≤0.02</w:t>
            </w:r>
          </w:p>
          <w:p w14:paraId="1805CEC9">
            <w:pPr>
              <w:jc w:val="center"/>
              <w:rPr>
                <w:rFonts w:hint="eastAsia"/>
                <w:vertAlign w:val="baseline"/>
                <w:lang w:val="en-US" w:eastAsia="zh-CN"/>
              </w:rPr>
            </w:pPr>
            <w:r>
              <w:rPr>
                <w:rFonts w:hint="eastAsia"/>
                <w:vertAlign w:val="baseline"/>
                <w:lang w:val="en-US" w:eastAsia="zh-CN"/>
              </w:rPr>
              <w:t>（计量单位：mg/kg）</w:t>
            </w:r>
          </w:p>
        </w:tc>
        <w:tc>
          <w:tcPr>
            <w:tcW w:w="1593" w:type="pct"/>
            <w:vAlign w:val="center"/>
          </w:tcPr>
          <w:p w14:paraId="24155538">
            <w:pPr>
              <w:jc w:val="center"/>
              <w:rPr>
                <w:rFonts w:hint="eastAsia"/>
                <w:vertAlign w:val="baseline"/>
              </w:rPr>
            </w:pPr>
            <w:r>
              <w:rPr>
                <w:rFonts w:hint="eastAsia"/>
                <w:vertAlign w:val="baseline"/>
              </w:rPr>
              <w:t>违反了《中华人民共和国食品安全法》第三十四条第一款第（二）项：“禁止生产经营下列食品、食品添加剂、食品相关产品：（二）致病性微生物，农药残留、兽药残留、生物毒素、重金属等污染物质以及其他危害人体健康的物质含量超过食品安全标准限量的食品、食品添加剂、食品相关产品；”的规定。</w:t>
            </w:r>
          </w:p>
        </w:tc>
        <w:tc>
          <w:tcPr>
            <w:tcW w:w="310" w:type="pct"/>
            <w:vAlign w:val="center"/>
          </w:tcPr>
          <w:p w14:paraId="4363A9AD">
            <w:pPr>
              <w:jc w:val="center"/>
              <w:rPr>
                <w:vertAlign w:val="baseline"/>
              </w:rPr>
            </w:pPr>
          </w:p>
        </w:tc>
      </w:tr>
      <w:tr w14:paraId="79E7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pct"/>
            <w:vAlign w:val="center"/>
          </w:tcPr>
          <w:p w14:paraId="6CF6BD5D">
            <w:pPr>
              <w:jc w:val="center"/>
              <w:rPr>
                <w:rFonts w:hint="default" w:eastAsiaTheme="minorEastAsia"/>
                <w:vertAlign w:val="baseline"/>
                <w:lang w:val="en-US" w:eastAsia="zh-CN"/>
              </w:rPr>
            </w:pPr>
            <w:r>
              <w:rPr>
                <w:rFonts w:hint="default" w:eastAsiaTheme="minorEastAsia"/>
                <w:vertAlign w:val="baseline"/>
                <w:lang w:val="en-US" w:eastAsia="zh-CN"/>
              </w:rPr>
              <w:t>浮梁县果颂生鲜店</w:t>
            </w:r>
          </w:p>
        </w:tc>
        <w:tc>
          <w:tcPr>
            <w:tcW w:w="531" w:type="pct"/>
            <w:vAlign w:val="center"/>
          </w:tcPr>
          <w:p w14:paraId="3D2C271E">
            <w:pPr>
              <w:jc w:val="center"/>
              <w:rPr>
                <w:rFonts w:hint="eastAsia" w:eastAsiaTheme="minorEastAsia"/>
                <w:vertAlign w:val="baseline"/>
                <w:lang w:val="en-US" w:eastAsia="zh-CN"/>
              </w:rPr>
            </w:pPr>
            <w:r>
              <w:rPr>
                <w:rFonts w:hint="eastAsia" w:eastAsiaTheme="minorEastAsia"/>
                <w:vertAlign w:val="baseline"/>
                <w:lang w:val="en-US" w:eastAsia="zh-CN"/>
              </w:rPr>
              <w:t>小米椒</w:t>
            </w:r>
          </w:p>
        </w:tc>
        <w:tc>
          <w:tcPr>
            <w:tcW w:w="861" w:type="pct"/>
            <w:vAlign w:val="center"/>
          </w:tcPr>
          <w:p w14:paraId="4D3A5C78">
            <w:pPr>
              <w:jc w:val="left"/>
              <w:rPr>
                <w:rFonts w:hint="eastAsia"/>
                <w:vertAlign w:val="baseline"/>
              </w:rPr>
            </w:pPr>
            <w:r>
              <w:rPr>
                <w:rFonts w:hint="eastAsia"/>
                <w:vertAlign w:val="baseline"/>
              </w:rPr>
              <w:t>镉(以 Cd 计)项目不符</w:t>
            </w:r>
            <w:r>
              <w:rPr>
                <w:rFonts w:hint="eastAsia"/>
                <w:vertAlign w:val="baseline"/>
                <w:lang w:eastAsia="zh-CN"/>
              </w:rPr>
              <w:t>合</w:t>
            </w:r>
            <w:r>
              <w:rPr>
                <w:rFonts w:hint="eastAsia"/>
                <w:vertAlign w:val="baseline"/>
              </w:rPr>
              <w:t>GB</w:t>
            </w:r>
            <w:r>
              <w:rPr>
                <w:rFonts w:hint="eastAsia"/>
                <w:vertAlign w:val="baseline"/>
                <w:lang w:val="en-US" w:eastAsia="zh-CN"/>
              </w:rPr>
              <w:t xml:space="preserve">  </w:t>
            </w:r>
            <w:r>
              <w:rPr>
                <w:rFonts w:hint="eastAsia"/>
                <w:vertAlign w:val="baseline"/>
              </w:rPr>
              <w:t>2762-2022《食品安全国家标准 食品中污染物限量》要求，检验结论为不合格。</w:t>
            </w:r>
          </w:p>
        </w:tc>
        <w:tc>
          <w:tcPr>
            <w:tcW w:w="834" w:type="pct"/>
            <w:vAlign w:val="center"/>
          </w:tcPr>
          <w:p w14:paraId="31E2291C">
            <w:pPr>
              <w:jc w:val="center"/>
              <w:rPr>
                <w:rFonts w:hint="eastAsia"/>
                <w:vertAlign w:val="baseline"/>
                <w:lang w:val="en-US" w:eastAsia="zh-CN"/>
              </w:rPr>
            </w:pPr>
            <w:r>
              <w:rPr>
                <w:rFonts w:hint="eastAsia"/>
                <w:vertAlign w:val="baseline"/>
                <w:lang w:val="en-US" w:eastAsia="zh-CN"/>
              </w:rPr>
              <w:t xml:space="preserve">实测值：0.084 </w:t>
            </w:r>
          </w:p>
          <w:p w14:paraId="3BEE453D">
            <w:pPr>
              <w:jc w:val="center"/>
              <w:rPr>
                <w:rFonts w:hint="default"/>
                <w:vertAlign w:val="baseline"/>
                <w:lang w:val="en-US" w:eastAsia="zh-CN"/>
              </w:rPr>
            </w:pPr>
            <w:r>
              <w:rPr>
                <w:rFonts w:hint="eastAsia"/>
                <w:vertAlign w:val="baseline"/>
                <w:lang w:val="en-US" w:eastAsia="zh-CN"/>
              </w:rPr>
              <w:t>标准指标：≤0.05</w:t>
            </w:r>
          </w:p>
          <w:p w14:paraId="58870C19">
            <w:pPr>
              <w:jc w:val="center"/>
              <w:rPr>
                <w:rFonts w:hint="eastAsia"/>
                <w:vertAlign w:val="baseline"/>
                <w:lang w:val="en-US" w:eastAsia="zh-CN"/>
              </w:rPr>
            </w:pPr>
            <w:r>
              <w:rPr>
                <w:rFonts w:hint="eastAsia"/>
                <w:vertAlign w:val="baseline"/>
                <w:lang w:val="en-US" w:eastAsia="zh-CN"/>
              </w:rPr>
              <w:t>（计量单位：mg/kg）</w:t>
            </w:r>
          </w:p>
        </w:tc>
        <w:tc>
          <w:tcPr>
            <w:tcW w:w="1593" w:type="pct"/>
            <w:vAlign w:val="center"/>
          </w:tcPr>
          <w:p w14:paraId="2046CDC2">
            <w:pPr>
              <w:jc w:val="center"/>
              <w:rPr>
                <w:rFonts w:hint="eastAsia"/>
                <w:vertAlign w:val="baseline"/>
              </w:rPr>
            </w:pPr>
            <w:r>
              <w:rPr>
                <w:rFonts w:hint="eastAsia"/>
                <w:vertAlign w:val="baseline"/>
              </w:rPr>
              <w:t>违反了《中华人民共和国食品安全法》第三十四条第一款第（二）项：“禁止生产经营下列食品、食品添加剂、食品相关产品：（二）致病性微生物，农药残留、兽药残留、生物毒素、重金属等污染物质以及其他危害人体健康的物质含量超过食品安全标准限量的食品、食品添加剂、食品相关产品；”的规定。</w:t>
            </w:r>
          </w:p>
        </w:tc>
        <w:tc>
          <w:tcPr>
            <w:tcW w:w="310" w:type="pct"/>
            <w:vAlign w:val="center"/>
          </w:tcPr>
          <w:p w14:paraId="62B40F3A">
            <w:pPr>
              <w:jc w:val="center"/>
              <w:rPr>
                <w:vertAlign w:val="baseline"/>
              </w:rPr>
            </w:pPr>
          </w:p>
        </w:tc>
      </w:tr>
    </w:tbl>
    <w:p w14:paraId="3DFE12B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FreeSans">
    <w:panose1 w:val="020B0504020202020204"/>
    <w:charset w:val="00"/>
    <w:family w:val="auto"/>
    <w:pitch w:val="default"/>
    <w:sig w:usb0="E4839EFF" w:usb1="4600FDFF" w:usb2="000030A0" w:usb3="00000584" w:csb0="600001BF" w:csb1="DFF7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E429CD"/>
    <w:rsid w:val="0F275C67"/>
    <w:rsid w:val="0F6A2ECB"/>
    <w:rsid w:val="13FD38B0"/>
    <w:rsid w:val="184603F5"/>
    <w:rsid w:val="1E8707A4"/>
    <w:rsid w:val="26FA7BBE"/>
    <w:rsid w:val="28A64A12"/>
    <w:rsid w:val="28BD5FE3"/>
    <w:rsid w:val="2A9630C1"/>
    <w:rsid w:val="3129272A"/>
    <w:rsid w:val="33F51DF4"/>
    <w:rsid w:val="3F5A3A7F"/>
    <w:rsid w:val="4AD255D2"/>
    <w:rsid w:val="4B2A4FD8"/>
    <w:rsid w:val="4CA30804"/>
    <w:rsid w:val="5EB27BCB"/>
    <w:rsid w:val="5EEC7948"/>
    <w:rsid w:val="6332730B"/>
    <w:rsid w:val="678E04B9"/>
    <w:rsid w:val="67EDBDAB"/>
    <w:rsid w:val="6CF337B8"/>
    <w:rsid w:val="6DAB01B0"/>
    <w:rsid w:val="6F394880"/>
    <w:rsid w:val="738C1B7E"/>
    <w:rsid w:val="73D82849"/>
    <w:rsid w:val="745A37AD"/>
    <w:rsid w:val="74D73B6D"/>
    <w:rsid w:val="758201A4"/>
    <w:rsid w:val="759B6032"/>
    <w:rsid w:val="75C07A67"/>
    <w:rsid w:val="7A422924"/>
    <w:rsid w:val="7AE7649D"/>
    <w:rsid w:val="7CBB5FD0"/>
    <w:rsid w:val="BFBB18D0"/>
    <w:rsid w:val="E66F5223"/>
    <w:rsid w:val="EFFE3CD5"/>
    <w:rsid w:val="F7F71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212</Words>
  <Characters>233</Characters>
  <Lines>0</Lines>
  <Paragraphs>0</Paragraphs>
  <TotalTime>1</TotalTime>
  <ScaleCrop>false</ScaleCrop>
  <LinksUpToDate>false</LinksUpToDate>
  <CharactersWithSpaces>235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2025-10-09T15:03:00Z</dcterms:created>
  <dc:creator>n</dc:creator>
  <cp:lastModifiedBy>test</cp:lastModifiedBy>
  <dcterms:modified xsi:type="dcterms:W3CDTF">2026-08-17T15:33:20Z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eyJoZGlkIjoiY2RkNjQ4YTE1MWIzMWMyMzg5ODkzNDE0YTc1YTY0Y2IiLCJ1c2VySWQiOiI2MTEwMDEzNDcifQ==</vt:lpwstr>
  </property>
  <property fmtid="{D5CDD505-2E9C-101B-9397-08002B2CF9AE}" pid="4" name="ICV">
    <vt:lpwstr>DFAF5FD726D5438D9982DACBC8324BE2_13</vt:lpwstr>
  </property>
</Properties>
</file>