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08936">
      <w:pPr>
        <w:jc w:val="center"/>
        <w:rPr>
          <w:rFonts w:hint="eastAsia"/>
          <w:sz w:val="44"/>
          <w:szCs w:val="44"/>
          <w:lang w:val="en-US" w:eastAsia="zh-CN"/>
        </w:rPr>
      </w:pPr>
      <w:r>
        <w:rPr>
          <w:rFonts w:hint="eastAsia"/>
          <w:b/>
          <w:bCs/>
          <w:sz w:val="44"/>
          <w:szCs w:val="44"/>
          <w:lang w:val="en-US" w:eastAsia="zh-CN"/>
        </w:rPr>
        <w:t>浮梁县市场监督管理局关于经营不符合国家规定和食品安全要求的食品核查处置的通告（浮梁县利客隆世纪花园百货店）</w:t>
      </w:r>
    </w:p>
    <w:p w14:paraId="634E5ADE"/>
    <w:p w14:paraId="373AA7FE">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 2025年江西食品专项抽检，抽验单编号</w:t>
      </w:r>
      <w:r>
        <w:rPr>
          <w:rFonts w:hint="eastAsia" w:ascii="仿宋_GB2312" w:hAnsi="仿宋" w:eastAsia="仿宋_GB2312" w:cs="仿宋_GB2312"/>
          <w:color w:val="231F20"/>
          <w:sz w:val="32"/>
          <w:szCs w:val="32"/>
          <w:u w:val="none" w:color="auto"/>
          <w:lang w:val="en-US" w:eastAsia="zh-CN"/>
        </w:rPr>
        <w:t>DBJ25360222386630053</w:t>
      </w:r>
      <w:r>
        <w:rPr>
          <w:rFonts w:hint="eastAsia" w:ascii="仿宋" w:hAnsi="仿宋" w:eastAsia="仿宋" w:cs="仿宋"/>
          <w:sz w:val="32"/>
          <w:szCs w:val="32"/>
          <w:lang w:val="en-US" w:eastAsia="zh-CN"/>
        </w:rPr>
        <w:t>涉及浮梁县利客隆世纪花园百货店1批次不合格</w:t>
      </w:r>
      <w:r>
        <w:rPr>
          <w:rFonts w:hint="eastAsia" w:ascii="仿宋_GB2312" w:hAnsi="仿宋" w:eastAsia="仿宋_GB2312" w:cs="仿宋_GB2312"/>
          <w:color w:val="231F20"/>
          <w:sz w:val="32"/>
          <w:szCs w:val="32"/>
          <w:u w:val="none" w:color="auto"/>
        </w:rPr>
        <w:t>大红尖椒</w:t>
      </w:r>
      <w:r>
        <w:rPr>
          <w:rFonts w:hint="eastAsia" w:ascii="仿宋" w:hAnsi="仿宋" w:eastAsia="仿宋" w:cs="仿宋"/>
          <w:sz w:val="32"/>
          <w:szCs w:val="32"/>
          <w:lang w:val="en-US" w:eastAsia="zh-CN"/>
        </w:rPr>
        <w:t>，现将核查处置结果告知如下：</w:t>
      </w:r>
    </w:p>
    <w:p w14:paraId="36EAFE6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一、抽检基本情况</w:t>
      </w:r>
    </w:p>
    <w:p w14:paraId="59DEBB9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浮梁县利客隆世纪花园百货店</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rPr>
        <w:t>的</w:t>
      </w:r>
      <w:r>
        <w:rPr>
          <w:rFonts w:hint="eastAsia" w:ascii="仿宋_GB2312" w:hAnsi="仿宋" w:eastAsia="仿宋_GB2312" w:cs="仿宋_GB2312"/>
          <w:color w:val="231F20"/>
          <w:sz w:val="32"/>
          <w:szCs w:val="32"/>
          <w:u w:val="none" w:color="auto"/>
          <w:lang w:val="en-US" w:eastAsia="zh-CN"/>
        </w:rPr>
        <w:t>大红尖椒</w:t>
      </w:r>
      <w:r>
        <w:rPr>
          <w:rFonts w:hint="eastAsia" w:ascii="仿宋" w:hAnsi="仿宋" w:eastAsia="仿宋" w:cs="仿宋"/>
          <w:sz w:val="32"/>
          <w:szCs w:val="32"/>
          <w:lang w:val="en-US" w:eastAsia="zh-CN"/>
        </w:rPr>
        <w:t>，经抽检噻虫胺项目不符合GB 2763-2021《食品安全国家标准 食品中农药最大残留限量》要求（标准指标≤0.05，实测值0.13）检验结论为不合格。浮梁县利客隆世纪花园百货店对检验结果未提出异议。</w:t>
      </w:r>
    </w:p>
    <w:p w14:paraId="48384F0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二、违法行为查处情况</w:t>
      </w:r>
    </w:p>
    <w:p w14:paraId="46FA8E76">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textAlignment w:val="auto"/>
        <w:rPr>
          <w:rFonts w:hint="eastAsia" w:ascii="仿宋_GB2312" w:hAnsi="仿宋" w:eastAsia="仿宋_GB2312" w:cs="仿宋_GB2312"/>
          <w:color w:val="231F20"/>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当事人于2025年</w:t>
      </w:r>
      <w:r>
        <w:rPr>
          <w:rFonts w:hint="eastAsia" w:ascii="仿宋_GB2312" w:hAnsi="仿宋" w:eastAsia="仿宋_GB2312" w:cs="仿宋_GB2312"/>
          <w:color w:val="231F20"/>
          <w:sz w:val="32"/>
          <w:szCs w:val="32"/>
          <w:u w:val="none" w:color="auto"/>
          <w:lang w:val="en-US" w:eastAsia="zh-CN"/>
        </w:rPr>
        <w:t>2</w:t>
      </w:r>
      <w:r>
        <w:rPr>
          <w:rFonts w:hint="eastAsia" w:ascii="仿宋_GB2312" w:hAnsi="仿宋" w:eastAsia="仿宋_GB2312" w:cs="仿宋_GB2312"/>
          <w:color w:val="231F20"/>
          <w:sz w:val="32"/>
          <w:szCs w:val="32"/>
          <w:u w:val="none" w:color="auto"/>
        </w:rPr>
        <w:t>月</w:t>
      </w:r>
      <w:r>
        <w:rPr>
          <w:rFonts w:hint="eastAsia" w:ascii="仿宋_GB2312" w:hAnsi="仿宋" w:eastAsia="仿宋_GB2312" w:cs="仿宋_GB2312"/>
          <w:color w:val="231F20"/>
          <w:sz w:val="32"/>
          <w:szCs w:val="32"/>
          <w:u w:val="none" w:color="auto"/>
          <w:lang w:val="en-US" w:eastAsia="zh-CN"/>
        </w:rPr>
        <w:t>25</w:t>
      </w:r>
      <w:r>
        <w:rPr>
          <w:rFonts w:hint="eastAsia" w:ascii="仿宋_GB2312" w:hAnsi="仿宋" w:eastAsia="仿宋_GB2312" w:cs="仿宋_GB2312"/>
          <w:color w:val="231F20"/>
          <w:sz w:val="32"/>
          <w:szCs w:val="32"/>
          <w:u w:val="none" w:color="auto"/>
        </w:rPr>
        <w:t>日</w:t>
      </w:r>
      <w:r>
        <w:rPr>
          <w:rFonts w:hint="eastAsia" w:ascii="仿宋_GB2312" w:hAnsi="仿宋_GB2312" w:eastAsia="仿宋_GB2312" w:cs="仿宋_GB2312"/>
          <w:color w:val="auto"/>
          <w:sz w:val="32"/>
          <w:szCs w:val="32"/>
          <w:u w:val="none" w:color="auto"/>
          <w:lang w:val="en-US" w:eastAsia="zh-CN"/>
        </w:rPr>
        <w:t>从</w:t>
      </w:r>
      <w:r>
        <w:rPr>
          <w:rFonts w:hint="eastAsia" w:ascii="仿宋_GB2312" w:hAnsi="仿宋" w:eastAsia="仿宋_GB2312" w:cs="仿宋_GB2312"/>
          <w:color w:val="000000"/>
          <w:sz w:val="32"/>
          <w:szCs w:val="32"/>
          <w:u w:val="none" w:color="auto"/>
          <w:lang w:val="en-US" w:eastAsia="zh-CN"/>
        </w:rPr>
        <w:t>浮梁县王港港口兴利农业专业合作社共</w:t>
      </w:r>
      <w:r>
        <w:rPr>
          <w:rFonts w:hint="eastAsia" w:ascii="仿宋_GB2312" w:hAnsi="仿宋_GB2312" w:eastAsia="仿宋_GB2312" w:cs="仿宋_GB2312"/>
          <w:color w:val="auto"/>
          <w:sz w:val="32"/>
          <w:szCs w:val="32"/>
          <w:u w:val="none" w:color="auto"/>
          <w:lang w:val="en-US" w:eastAsia="zh-CN"/>
        </w:rPr>
        <w:t>进货大红尖椒14.3公斤</w:t>
      </w:r>
      <w:r>
        <w:rPr>
          <w:rFonts w:hint="eastAsia" w:ascii="仿宋_GB2312" w:hAnsi="仿宋" w:eastAsia="仿宋_GB2312" w:cs="仿宋_GB2312"/>
          <w:color w:val="000000"/>
          <w:sz w:val="32"/>
          <w:szCs w:val="32"/>
          <w:u w:val="none" w:color="auto"/>
          <w:lang w:val="en-US" w:eastAsia="zh-CN"/>
        </w:rPr>
        <w:t>。2025年4月1日，我局收到抽检不合格报告（检验报告编号：HZ-NCP-202500693），显示浮梁县利客隆世纪花园百货店采购的该批次“大红尖椒”的噻虫胺项目不符合GB 2763-2021《食品安全国家标准 食品中农药最大残留限量》要求（标准指标≤0.05，实测值0.13）检验结论为不合格</w:t>
      </w:r>
      <w:r>
        <w:rPr>
          <w:rFonts w:hint="eastAsia" w:ascii="仿宋_GB2312" w:hAnsi="仿宋" w:eastAsia="仿宋_GB2312" w:cs="仿宋_GB2312"/>
          <w:color w:val="231F20"/>
          <w:sz w:val="32"/>
          <w:szCs w:val="32"/>
          <w:u w:val="none" w:color="auto"/>
          <w:lang w:eastAsia="zh-CN"/>
        </w:rPr>
        <w:t>。</w:t>
      </w:r>
    </w:p>
    <w:p w14:paraId="4C6A5A16">
      <w:pPr>
        <w:keepNext w:val="0"/>
        <w:keepLines w:val="0"/>
        <w:pageBreakBefore w:val="0"/>
        <w:kinsoku/>
        <w:wordWrap/>
        <w:overflowPunct/>
        <w:topLinePunct w:val="0"/>
        <w:autoSpaceDE/>
        <w:autoSpaceDN/>
        <w:bidi w:val="0"/>
        <w:adjustRightInd/>
        <w:spacing w:beforeLines="0" w:after="20" w:afterLines="0" w:line="460" w:lineRule="exact"/>
        <w:ind w:firstLine="640" w:firstLineChars="200"/>
        <w:jc w:val="left"/>
        <w:textAlignment w:val="auto"/>
        <w:rPr>
          <w:rFonts w:hint="eastAsia" w:ascii="仿宋" w:hAnsi="仿宋" w:eastAsia="仿宋" w:cs="仿宋"/>
          <w:i w:val="0"/>
          <w:iCs w:val="0"/>
          <w:caps w:val="0"/>
          <w:color w:val="000000"/>
          <w:spacing w:val="0"/>
          <w:sz w:val="32"/>
          <w:szCs w:val="32"/>
          <w:lang w:eastAsia="zh-CN"/>
        </w:rPr>
      </w:pPr>
      <w:r>
        <w:rPr>
          <w:rFonts w:hint="eastAsia" w:ascii="仿宋_GB2312" w:hAnsi="仿宋" w:eastAsia="仿宋_GB2312" w:cs="仿宋_GB2312"/>
          <w:color w:val="auto"/>
          <w:sz w:val="32"/>
          <w:szCs w:val="32"/>
          <w:u w:val="none" w:color="auto"/>
        </w:rPr>
        <w:t>当事人</w:t>
      </w:r>
      <w:r>
        <w:rPr>
          <w:rFonts w:hint="eastAsia" w:ascii="仿宋_GB2312" w:hAnsi="仿宋" w:eastAsia="仿宋_GB2312" w:cs="仿宋_GB2312"/>
          <w:color w:val="auto"/>
          <w:sz w:val="32"/>
          <w:szCs w:val="32"/>
          <w:u w:val="none" w:color="auto"/>
          <w:lang w:val="en-US" w:eastAsia="zh-CN"/>
        </w:rPr>
        <w:t>经营的大红尖椒</w:t>
      </w:r>
      <w:r>
        <w:rPr>
          <w:rFonts w:hint="eastAsia" w:ascii="仿宋_GB2312" w:hAnsi="仿宋" w:eastAsia="仿宋_GB2312" w:cs="仿宋_GB2312"/>
          <w:color w:val="231F20"/>
          <w:sz w:val="32"/>
          <w:szCs w:val="32"/>
          <w:u w:val="none" w:color="auto"/>
        </w:rPr>
        <w:t xml:space="preserve">不符合GB </w:t>
      </w:r>
      <w:r>
        <w:rPr>
          <w:rFonts w:hint="eastAsia" w:ascii="仿宋_GB2312" w:hAnsi="仿宋" w:eastAsia="仿宋_GB2312" w:cs="仿宋_GB2312"/>
          <w:color w:val="231F20"/>
          <w:sz w:val="32"/>
          <w:szCs w:val="32"/>
          <w:u w:val="none" w:color="auto"/>
          <w:lang w:val="en-US" w:eastAsia="zh-CN"/>
        </w:rPr>
        <w:t>2763</w:t>
      </w:r>
      <w:r>
        <w:rPr>
          <w:rFonts w:hint="eastAsia" w:ascii="仿宋_GB2312" w:hAnsi="仿宋" w:eastAsia="仿宋_GB2312" w:cs="仿宋_GB2312"/>
          <w:color w:val="231F20"/>
          <w:sz w:val="32"/>
          <w:szCs w:val="32"/>
          <w:u w:val="none" w:color="auto"/>
        </w:rPr>
        <w:t>-20</w:t>
      </w:r>
      <w:r>
        <w:rPr>
          <w:rFonts w:hint="eastAsia" w:ascii="仿宋_GB2312" w:hAnsi="仿宋" w:eastAsia="仿宋_GB2312" w:cs="仿宋_GB2312"/>
          <w:color w:val="231F20"/>
          <w:sz w:val="32"/>
          <w:szCs w:val="32"/>
          <w:u w:val="none" w:color="auto"/>
          <w:lang w:val="en-US" w:eastAsia="zh-CN"/>
        </w:rPr>
        <w:t>21</w:t>
      </w:r>
      <w:r>
        <w:rPr>
          <w:rFonts w:hint="eastAsia" w:ascii="仿宋_GB2312" w:hAnsi="仿宋" w:eastAsia="仿宋_GB2312" w:cs="仿宋_GB2312"/>
          <w:color w:val="231F20"/>
          <w:sz w:val="32"/>
          <w:szCs w:val="32"/>
          <w:u w:val="none" w:color="auto"/>
        </w:rPr>
        <w:t xml:space="preserve">《食品安全国家标准 </w:t>
      </w:r>
      <w:r>
        <w:rPr>
          <w:rFonts w:hint="eastAsia" w:ascii="仿宋_GB2312" w:hAnsi="仿宋" w:eastAsia="仿宋_GB2312" w:cs="仿宋_GB2312"/>
          <w:color w:val="231F20"/>
          <w:sz w:val="32"/>
          <w:szCs w:val="32"/>
          <w:u w:val="none" w:color="auto"/>
          <w:lang w:val="en-US" w:eastAsia="zh-CN"/>
        </w:rPr>
        <w:t>食品中农药最大残留限量</w:t>
      </w:r>
      <w:r>
        <w:rPr>
          <w:rFonts w:hint="eastAsia" w:ascii="仿宋_GB2312" w:hAnsi="仿宋" w:eastAsia="仿宋_GB2312" w:cs="仿宋_GB2312"/>
          <w:color w:val="231F20"/>
          <w:sz w:val="32"/>
          <w:szCs w:val="32"/>
          <w:u w:val="none" w:color="auto"/>
        </w:rPr>
        <w:t>》要求</w:t>
      </w:r>
      <w:r>
        <w:rPr>
          <w:rFonts w:hint="eastAsia" w:ascii="仿宋_GB2312" w:hAnsi="仿宋" w:eastAsia="仿宋_GB2312" w:cs="仿宋_GB2312"/>
          <w:color w:val="231F20"/>
          <w:sz w:val="32"/>
          <w:szCs w:val="32"/>
          <w:u w:val="none" w:color="auto"/>
          <w:lang w:eastAsia="zh-CN"/>
        </w:rPr>
        <w:t>，</w:t>
      </w:r>
      <w:r>
        <w:rPr>
          <w:rFonts w:hint="eastAsia" w:ascii="仿宋_GB2312" w:hAnsi="仿宋" w:eastAsia="仿宋_GB2312" w:cs="仿宋_GB2312"/>
          <w:color w:val="231F20"/>
          <w:sz w:val="32"/>
          <w:szCs w:val="32"/>
          <w:u w:val="none" w:color="auto"/>
          <w:lang w:val="en-US" w:eastAsia="zh-CN"/>
        </w:rPr>
        <w:t>检验结论为不合格</w:t>
      </w:r>
      <w:r>
        <w:rPr>
          <w:rFonts w:hint="eastAsia" w:ascii="仿宋_GB2312" w:hAnsi="仿宋" w:eastAsia="仿宋_GB2312" w:cs="仿宋_GB2312"/>
          <w:color w:val="231F20"/>
          <w:sz w:val="32"/>
          <w:szCs w:val="32"/>
          <w:u w:val="none" w:color="auto"/>
          <w:lang w:eastAsia="zh-CN"/>
        </w:rPr>
        <w:t>。</w:t>
      </w:r>
      <w:r>
        <w:rPr>
          <w:rFonts w:hint="eastAsia" w:ascii="仿宋_GB2312" w:hAnsi="仿宋" w:eastAsia="仿宋_GB2312" w:cs="仿宋_GB2312"/>
          <w:color w:val="231F20"/>
          <w:sz w:val="32"/>
          <w:szCs w:val="32"/>
          <w:u w:val="none" w:color="auto"/>
          <w:lang w:val="en-US" w:eastAsia="zh-CN"/>
        </w:rPr>
        <w:t>当事人</w:t>
      </w:r>
      <w:r>
        <w:rPr>
          <w:rFonts w:hint="eastAsia" w:ascii="仿宋_GB2312" w:hAnsi="仿宋" w:eastAsia="仿宋_GB2312" w:cs="仿宋_GB2312"/>
          <w:color w:val="231F20"/>
          <w:sz w:val="32"/>
          <w:szCs w:val="32"/>
          <w:u w:val="none" w:color="auto"/>
          <w:lang w:eastAsia="zh-CN"/>
        </w:rPr>
        <w:t>上述</w:t>
      </w:r>
      <w:r>
        <w:rPr>
          <w:rFonts w:hint="eastAsia" w:ascii="仿宋_GB2312" w:hAnsi="仿宋" w:eastAsia="仿宋_GB2312" w:cs="仿宋_GB2312"/>
          <w:color w:val="231F20"/>
          <w:sz w:val="32"/>
          <w:szCs w:val="32"/>
          <w:u w:val="none" w:color="auto"/>
          <w:lang w:val="en-US" w:eastAsia="zh-CN"/>
        </w:rPr>
        <w:t>经营</w:t>
      </w:r>
      <w:r>
        <w:rPr>
          <w:rFonts w:hint="eastAsia" w:ascii="仿宋_GB2312" w:hAnsi="仿宋" w:eastAsia="仿宋_GB2312" w:cs="仿宋_GB2312"/>
          <w:color w:val="231F20"/>
          <w:sz w:val="32"/>
          <w:szCs w:val="32"/>
          <w:u w:val="none" w:color="auto"/>
          <w:lang w:eastAsia="zh-CN"/>
        </w:rPr>
        <w:t>行为违反《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w:t>
      </w:r>
      <w:r>
        <w:rPr>
          <w:rFonts w:hint="eastAsia" w:ascii="仿宋_GB2312" w:hAnsi="仿宋" w:eastAsia="仿宋_GB2312" w:cs="仿宋_GB2312"/>
          <w:color w:val="231F20"/>
          <w:sz w:val="32"/>
          <w:szCs w:val="32"/>
          <w:u w:val="none" w:color="auto"/>
          <w:lang w:val="en-US" w:eastAsia="zh-CN"/>
        </w:rPr>
        <w:t>构成经营</w:t>
      </w:r>
      <w:r>
        <w:rPr>
          <w:rFonts w:hint="eastAsia" w:ascii="仿宋_GB2312" w:hAnsi="仿宋" w:eastAsia="仿宋_GB2312" w:cs="仿宋_GB2312"/>
          <w:color w:val="231F20"/>
          <w:sz w:val="32"/>
          <w:szCs w:val="32"/>
          <w:u w:val="none" w:color="auto"/>
        </w:rPr>
        <w:t>农药残留含量超过食品安全标准限量</w:t>
      </w:r>
      <w:r>
        <w:rPr>
          <w:rFonts w:hint="eastAsia" w:ascii="仿宋_GB2312" w:hAnsi="仿宋" w:eastAsia="仿宋_GB2312" w:cs="仿宋_GB2312"/>
          <w:color w:val="231F20"/>
          <w:sz w:val="32"/>
          <w:szCs w:val="32"/>
          <w:u w:val="none" w:color="auto"/>
          <w:lang w:val="en-US" w:eastAsia="zh-CN"/>
        </w:rPr>
        <w:t>的食品的行为</w:t>
      </w:r>
      <w:r>
        <w:rPr>
          <w:rFonts w:hint="eastAsia" w:ascii="仿宋" w:hAnsi="仿宋" w:eastAsia="仿宋" w:cs="仿宋"/>
          <w:i w:val="0"/>
          <w:iCs w:val="0"/>
          <w:caps w:val="0"/>
          <w:color w:val="000000"/>
          <w:spacing w:val="0"/>
          <w:sz w:val="32"/>
          <w:szCs w:val="32"/>
          <w:lang w:eastAsia="zh-CN"/>
        </w:rPr>
        <w:t>。</w:t>
      </w:r>
    </w:p>
    <w:p w14:paraId="10B5637B">
      <w:pPr>
        <w:keepNext w:val="0"/>
        <w:keepLines w:val="0"/>
        <w:pageBreakBefore w:val="0"/>
        <w:widowControl w:val="0"/>
        <w:kinsoku/>
        <w:wordWrap/>
        <w:overflowPunct/>
        <w:topLinePunct w:val="0"/>
        <w:autoSpaceDE/>
        <w:autoSpaceDN/>
        <w:bidi w:val="0"/>
        <w:adjustRightInd/>
        <w:snapToGrid w:val="0"/>
        <w:spacing w:line="520" w:lineRule="atLeast"/>
        <w:ind w:firstLine="640" w:firstLineChars="200"/>
        <w:jc w:val="left"/>
        <w:textAlignment w:val="auto"/>
        <w:rPr>
          <w:rFonts w:hint="default" w:ascii="仿宋_GB2312" w:hAnsi="仿宋"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当事人提供了该批次不合格</w:t>
      </w:r>
      <w:r>
        <w:rPr>
          <w:rFonts w:hint="eastAsia" w:ascii="仿宋_GB2312" w:hAnsi="仿宋" w:eastAsia="仿宋_GB2312" w:cs="仿宋_GB2312"/>
          <w:color w:val="231F20"/>
          <w:sz w:val="32"/>
          <w:szCs w:val="32"/>
          <w:u w:val="none" w:color="auto"/>
          <w:lang w:val="en-US" w:eastAsia="zh-CN"/>
        </w:rPr>
        <w:t>大红尖椒</w:t>
      </w:r>
      <w:r>
        <w:rPr>
          <w:rFonts w:hint="eastAsia" w:ascii="仿宋_GB2312" w:hAnsi="仿宋_GB2312" w:eastAsia="仿宋_GB2312" w:cs="仿宋_GB2312"/>
          <w:color w:val="auto"/>
          <w:sz w:val="32"/>
          <w:szCs w:val="32"/>
          <w:u w:val="none" w:color="auto"/>
          <w:lang w:val="en-US" w:eastAsia="zh-CN"/>
        </w:rPr>
        <w:t>的供货商营业执照复印件、法定代表人身份证复印件和联系方式、合格证明</w:t>
      </w:r>
      <w:bookmarkStart w:id="0" w:name="_GoBack"/>
      <w:bookmarkEnd w:id="0"/>
      <w:r>
        <w:rPr>
          <w:rFonts w:hint="eastAsia" w:ascii="仿宋_GB2312" w:hAnsi="仿宋_GB2312" w:eastAsia="仿宋_GB2312" w:cs="仿宋_GB2312"/>
          <w:color w:val="auto"/>
          <w:sz w:val="32"/>
          <w:szCs w:val="32"/>
          <w:u w:val="none" w:color="auto"/>
          <w:lang w:val="en-US" w:eastAsia="zh-CN"/>
        </w:rPr>
        <w:t>等资料，并能如实的说明进货来源，参照《《江西省市场监督管理行政处罚裁量权参照执行标准（2024年本）》及说明》第六编食品安全监督管理第四条第一款的规定，并</w:t>
      </w:r>
      <w:r>
        <w:rPr>
          <w:rFonts w:hint="eastAsia" w:ascii="仿宋_GB2312" w:hAnsi="仿宋" w:eastAsia="仿宋_GB2312" w:cs="仿宋_GB2312"/>
          <w:color w:val="auto"/>
          <w:sz w:val="32"/>
          <w:szCs w:val="32"/>
          <w:u w:val="none" w:color="auto"/>
        </w:rPr>
        <w:t>依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的规定，对当事人经营农药</w:t>
      </w:r>
      <w:r>
        <w:rPr>
          <w:rFonts w:hint="eastAsia" w:ascii="仿宋_GB2312" w:hAnsi="仿宋" w:eastAsia="仿宋_GB2312" w:cs="仿宋_GB2312"/>
          <w:color w:val="auto"/>
          <w:sz w:val="32"/>
          <w:szCs w:val="32"/>
          <w:u w:val="none" w:color="auto"/>
          <w:lang w:val="en-US" w:eastAsia="zh-CN"/>
        </w:rPr>
        <w:t>残</w:t>
      </w:r>
      <w:r>
        <w:rPr>
          <w:rFonts w:hint="eastAsia" w:ascii="仿宋_GB2312" w:hAnsi="仿宋" w:eastAsia="仿宋_GB2312" w:cs="仿宋_GB2312"/>
          <w:color w:val="auto"/>
          <w:sz w:val="32"/>
          <w:szCs w:val="32"/>
          <w:u w:val="none" w:color="auto"/>
        </w:rPr>
        <w:t>留含量超过食品安全标准限量的</w:t>
      </w:r>
      <w:r>
        <w:rPr>
          <w:rFonts w:hint="eastAsia" w:ascii="仿宋_GB2312" w:hAnsi="仿宋" w:eastAsia="仿宋_GB2312" w:cs="仿宋_GB2312"/>
          <w:color w:val="231F20"/>
          <w:sz w:val="32"/>
          <w:szCs w:val="32"/>
          <w:u w:val="none" w:color="auto"/>
          <w:lang w:val="en-US" w:eastAsia="zh-CN"/>
        </w:rPr>
        <w:t>大红尖椒</w:t>
      </w:r>
      <w:r>
        <w:rPr>
          <w:rFonts w:hint="eastAsia" w:ascii="仿宋_GB2312" w:hAnsi="仿宋" w:eastAsia="仿宋_GB2312" w:cs="仿宋_GB2312"/>
          <w:color w:val="auto"/>
          <w:sz w:val="32"/>
          <w:szCs w:val="32"/>
          <w:u w:val="none" w:color="auto"/>
        </w:rPr>
        <w:t>的行为作出免于</w:t>
      </w:r>
      <w:r>
        <w:rPr>
          <w:rFonts w:hint="eastAsia" w:ascii="仿宋_GB2312" w:hAnsi="仿宋" w:eastAsia="仿宋_GB2312" w:cs="仿宋_GB2312"/>
          <w:color w:val="auto"/>
          <w:sz w:val="32"/>
          <w:szCs w:val="32"/>
          <w:u w:val="none" w:color="auto"/>
          <w:lang w:val="en-US" w:eastAsia="zh-CN"/>
        </w:rPr>
        <w:t>行政</w:t>
      </w:r>
      <w:r>
        <w:rPr>
          <w:rFonts w:hint="eastAsia" w:ascii="仿宋_GB2312" w:hAnsi="仿宋" w:eastAsia="仿宋_GB2312" w:cs="仿宋_GB2312"/>
          <w:color w:val="auto"/>
          <w:sz w:val="32"/>
          <w:szCs w:val="32"/>
          <w:u w:val="none" w:color="auto"/>
        </w:rPr>
        <w:t>处罚。</w:t>
      </w:r>
      <w:r>
        <w:rPr>
          <w:rFonts w:hint="eastAsia" w:ascii="仿宋" w:hAnsi="仿宋" w:eastAsia="仿宋" w:cs="仿宋"/>
          <w:sz w:val="32"/>
          <w:szCs w:val="32"/>
          <w:lang w:val="en-US" w:eastAsia="zh-CN"/>
        </w:rPr>
        <w:t>行政处罚决定书编号：浮市监不罚〔2025〕3号。</w:t>
      </w:r>
    </w:p>
    <w:p w14:paraId="4AF11BB0">
      <w:pPr>
        <w:keepNext w:val="0"/>
        <w:keepLines w:val="0"/>
        <w:pageBreakBefore w:val="0"/>
        <w:kinsoku/>
        <w:wordWrap/>
        <w:overflowPunct/>
        <w:topLinePunct w:val="0"/>
        <w:autoSpaceDE/>
        <w:autoSpaceDN/>
        <w:bidi w:val="0"/>
        <w:adjustRightInd/>
        <w:spacing w:beforeLines="0" w:after="20" w:afterLines="0" w:line="460" w:lineRule="exact"/>
        <w:ind w:firstLine="640" w:firstLineChars="200"/>
        <w:jc w:val="left"/>
        <w:textAlignment w:val="auto"/>
        <w:rPr>
          <w:rFonts w:hint="eastAsia" w:ascii="仿宋" w:hAnsi="仿宋" w:eastAsia="仿宋" w:cs="仿宋"/>
          <w:i w:val="0"/>
          <w:iCs w:val="0"/>
          <w:caps w:val="0"/>
          <w:color w:val="000000"/>
          <w:spacing w:val="0"/>
          <w:sz w:val="32"/>
          <w:szCs w:val="32"/>
          <w:lang w:val="en-US" w:eastAsia="zh-CN"/>
        </w:rPr>
      </w:pPr>
    </w:p>
    <w:p w14:paraId="296A1E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20224"/>
    <w:rsid w:val="18A013ED"/>
    <w:rsid w:val="2A565592"/>
    <w:rsid w:val="304F4615"/>
    <w:rsid w:val="50DC63F4"/>
    <w:rsid w:val="51140296"/>
    <w:rsid w:val="52E11224"/>
    <w:rsid w:val="6975143C"/>
    <w:rsid w:val="6D1747C1"/>
    <w:rsid w:val="6E3C26AA"/>
    <w:rsid w:val="71920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949</Words>
  <Characters>1038</Characters>
  <Lines>0</Lines>
  <Paragraphs>0</Paragraphs>
  <TotalTime>0</TotalTime>
  <ScaleCrop>false</ScaleCrop>
  <LinksUpToDate>false</LinksUpToDate>
  <CharactersWithSpaces>1045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2025-01-21T03:49:00Z</dcterms:created>
  <dc:creator>Administrator</dc:creator>
  <cp:lastModifiedBy>小方</cp:lastModifiedBy>
  <dcterms:modified xsi:type="dcterms:W3CDTF">2025-06-07T01:56:45Z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C96A3CB6FBDE4C75AA6B08F91FE6246B_13</vt:lpwstr>
  </property>
  <property fmtid="{D5CDD505-2E9C-101B-9397-08002B2CF9AE}" pid="4" name="KSOTemplateDocerSaveRecord">
    <vt:lpwstr>eyJoZGlkIjoiY2RkNjQ4YTE1MWIzMWMyMzg5ODkzNDE0YTc1YTY0Y2IiLCJ1c2VySWQiOiI2MTEwMDEzNDcifQ==</vt:lpwstr>
  </property>
</Properties>
</file>