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D35206">
      <w:pPr>
        <w:rPr>
          <w:rFonts w:hint="eastAsia" w:ascii="楷体" w:hAnsi="楷体" w:eastAsia="楷体" w:cs="楷体"/>
          <w:sz w:val="30"/>
          <w:szCs w:val="30"/>
        </w:rPr>
      </w:pPr>
    </w:p>
    <w:p w14:paraId="2D7B13AA">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浮梁县市场监督管理局2023年度部门决算</w:t>
      </w:r>
    </w:p>
    <w:p w14:paraId="5F2C6ECD">
      <w:pPr>
        <w:spacing w:line="600" w:lineRule="exact"/>
        <w:jc w:val="center"/>
        <w:rPr>
          <w:rFonts w:hint="eastAsia" w:ascii="黑体" w:eastAsia="黑体"/>
          <w:sz w:val="44"/>
          <w:szCs w:val="36"/>
        </w:rPr>
      </w:pPr>
    </w:p>
    <w:p w14:paraId="5EB89B96">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44AF704D">
      <w:pPr>
        <w:widowControl/>
        <w:spacing w:line="600" w:lineRule="exact"/>
        <w:ind w:firstLine="640"/>
        <w:jc w:val="left"/>
        <w:rPr>
          <w:rFonts w:hint="eastAsia" w:ascii="仿宋_GB2312" w:eastAsia="仿宋_GB2312"/>
          <w:sz w:val="32"/>
          <w:szCs w:val="30"/>
        </w:rPr>
      </w:pPr>
    </w:p>
    <w:p w14:paraId="2DEAC0E3">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浮梁县市场监督管理局概况</w:t>
      </w:r>
    </w:p>
    <w:p w14:paraId="27BA36D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67907C2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5C7AAA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663AC8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C64E9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4222B7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733807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884C6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39680C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492933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FF1AC7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1C6ABA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ECAFD17">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BAA23B0">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2FB30E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2C0A3FC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6FDEBD8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0CBA94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8A1655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0C14EE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164A7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A38290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4E4A2F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D80722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B1A91C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14:paraId="102A7CAC">
      <w:pPr>
        <w:bidi w:val="0"/>
        <w:rPr>
          <w:rFonts w:hint="eastAsia"/>
        </w:rPr>
      </w:pPr>
    </w:p>
    <w:p w14:paraId="2591A2EF">
      <w:pPr>
        <w:bidi w:val="0"/>
        <w:rPr>
          <w:rFonts w:hint="eastAsia"/>
        </w:rPr>
      </w:pPr>
    </w:p>
    <w:p w14:paraId="59723D40">
      <w:pPr>
        <w:bidi w:val="0"/>
        <w:rPr>
          <w:rFonts w:hint="eastAsia"/>
        </w:rPr>
      </w:pPr>
    </w:p>
    <w:p w14:paraId="5555D3EC">
      <w:pPr>
        <w:bidi w:val="0"/>
        <w:rPr>
          <w:rFonts w:hint="eastAsia"/>
        </w:rPr>
      </w:pPr>
    </w:p>
    <w:p w14:paraId="51B817C9">
      <w:pPr>
        <w:bidi w:val="0"/>
        <w:rPr>
          <w:rFonts w:hint="eastAsia"/>
        </w:rPr>
      </w:pPr>
    </w:p>
    <w:p w14:paraId="6C618B03">
      <w:pPr>
        <w:bidi w:val="0"/>
        <w:rPr>
          <w:rFonts w:hint="eastAsia"/>
        </w:rPr>
      </w:pPr>
    </w:p>
    <w:p w14:paraId="20814F07">
      <w:pPr>
        <w:bidi w:val="0"/>
        <w:rPr>
          <w:rFonts w:hint="eastAsia"/>
        </w:rPr>
      </w:pPr>
    </w:p>
    <w:p w14:paraId="0E8DA2BC">
      <w:pPr>
        <w:bidi w:val="0"/>
        <w:rPr>
          <w:rFonts w:hint="eastAsia"/>
        </w:rPr>
      </w:pPr>
    </w:p>
    <w:p w14:paraId="0663B23C">
      <w:pPr>
        <w:bidi w:val="0"/>
        <w:rPr>
          <w:rFonts w:hint="eastAsia"/>
        </w:rPr>
      </w:pPr>
    </w:p>
    <w:p w14:paraId="18DAE091">
      <w:pPr>
        <w:bidi w:val="0"/>
        <w:rPr>
          <w:rFonts w:hint="eastAsia"/>
        </w:rPr>
      </w:pPr>
    </w:p>
    <w:p w14:paraId="2C166CDB">
      <w:pPr>
        <w:bidi w:val="0"/>
        <w:rPr>
          <w:rFonts w:hint="eastAsia"/>
        </w:rPr>
      </w:pPr>
    </w:p>
    <w:p w14:paraId="6B903FAB">
      <w:pPr>
        <w:bidi w:val="0"/>
        <w:rPr>
          <w:rFonts w:hint="eastAsia"/>
        </w:rPr>
      </w:pPr>
    </w:p>
    <w:p w14:paraId="5536325E">
      <w:pPr>
        <w:bidi w:val="0"/>
        <w:rPr>
          <w:rFonts w:hint="eastAsia"/>
        </w:rPr>
      </w:pPr>
    </w:p>
    <w:p w14:paraId="4F69C34C">
      <w:pPr>
        <w:bidi w:val="0"/>
        <w:rPr>
          <w:rFonts w:hint="eastAsia"/>
        </w:rPr>
      </w:pPr>
    </w:p>
    <w:p w14:paraId="4FC3FC01">
      <w:pPr>
        <w:bidi w:val="0"/>
        <w:rPr>
          <w:rFonts w:hint="eastAsia"/>
        </w:rPr>
      </w:pPr>
    </w:p>
    <w:p w14:paraId="6AC8DC64">
      <w:pPr>
        <w:bidi w:val="0"/>
        <w:rPr>
          <w:rFonts w:hint="eastAsia"/>
        </w:rPr>
      </w:pPr>
    </w:p>
    <w:p w14:paraId="37763C7C">
      <w:pPr>
        <w:bidi w:val="0"/>
        <w:rPr>
          <w:rFonts w:hint="eastAsia"/>
        </w:rPr>
      </w:pPr>
    </w:p>
    <w:p w14:paraId="272EDA35">
      <w:pPr>
        <w:bidi w:val="0"/>
        <w:rPr>
          <w:rFonts w:hint="eastAsia"/>
        </w:rPr>
      </w:pPr>
    </w:p>
    <w:p w14:paraId="2C1B6AA4">
      <w:pPr>
        <w:bidi w:val="0"/>
        <w:rPr>
          <w:rFonts w:hint="eastAsia"/>
        </w:rPr>
      </w:pPr>
    </w:p>
    <w:p w14:paraId="4773E71D">
      <w:pPr>
        <w:bidi w:val="0"/>
        <w:rPr>
          <w:rFonts w:hint="eastAsia"/>
        </w:rPr>
      </w:pPr>
    </w:p>
    <w:p w14:paraId="32EFB845">
      <w:pPr>
        <w:bidi w:val="0"/>
        <w:rPr>
          <w:rFonts w:hint="eastAsia"/>
        </w:rPr>
      </w:pPr>
    </w:p>
    <w:p w14:paraId="28F1BB6B">
      <w:pPr>
        <w:bidi w:val="0"/>
        <w:rPr>
          <w:rFonts w:hint="eastAsia"/>
        </w:rPr>
      </w:pPr>
    </w:p>
    <w:p w14:paraId="54B74C85">
      <w:pPr>
        <w:bidi w:val="0"/>
        <w:rPr>
          <w:rFonts w:hint="eastAsia"/>
        </w:rPr>
      </w:pPr>
    </w:p>
    <w:p w14:paraId="04D04404">
      <w:pPr>
        <w:bidi w:val="0"/>
        <w:rPr>
          <w:rFonts w:hint="eastAsia"/>
        </w:rPr>
      </w:pPr>
    </w:p>
    <w:p w14:paraId="1230AF16">
      <w:pPr>
        <w:bidi w:val="0"/>
        <w:rPr>
          <w:rFonts w:hint="eastAsia"/>
        </w:rPr>
      </w:pPr>
    </w:p>
    <w:p w14:paraId="4BBB9A6F">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57AE1B8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58FA140">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浮梁县市场监督管理局概况</w:t>
      </w:r>
    </w:p>
    <w:p w14:paraId="7460597F">
      <w:pPr>
        <w:ind w:firstLine="630"/>
        <w:jc w:val="center"/>
        <w:rPr>
          <w:rFonts w:hint="eastAsia"/>
          <w:sz w:val="32"/>
          <w:szCs w:val="32"/>
        </w:rPr>
      </w:pPr>
    </w:p>
    <w:p w14:paraId="6CCDCFDE">
      <w:pPr>
        <w:numPr>
          <w:ilvl w:val="0"/>
          <w:numId w:val="1"/>
        </w:numPr>
        <w:ind w:firstLine="630"/>
        <w:jc w:val="left"/>
        <w:outlineLvl w:val="1"/>
        <w:rPr>
          <w:rFonts w:hint="eastAsia" w:ascii="黑体" w:hAnsi="黑体" w:eastAsia="黑体"/>
          <w:sz w:val="32"/>
          <w:szCs w:val="32"/>
        </w:rPr>
      </w:pPr>
      <w:r>
        <w:rPr>
          <w:rFonts w:hint="eastAsia" w:ascii="黑体" w:hAnsi="黑体" w:eastAsia="黑体"/>
          <w:sz w:val="32"/>
          <w:szCs w:val="32"/>
        </w:rPr>
        <w:t>部门主要职责</w:t>
      </w:r>
    </w:p>
    <w:p w14:paraId="0524649C">
      <w:pPr>
        <w:numPr>
          <w:ilvl w:val="0"/>
          <w:numId w:val="0"/>
        </w:numPr>
        <w:jc w:val="left"/>
        <w:outlineLvl w:val="1"/>
        <w:rPr>
          <w:rFonts w:hint="default" w:ascii="黑体" w:hAnsi="黑体" w:eastAsia="黑体"/>
          <w:sz w:val="32"/>
          <w:szCs w:val="32"/>
          <w:lang w:val="en-US" w:eastAsia="zh-CN"/>
        </w:rPr>
      </w:pPr>
      <w:r>
        <w:rPr>
          <w:rFonts w:hint="eastAsia" w:ascii="黑体" w:hAnsi="黑体" w:eastAsia="黑体"/>
          <w:sz w:val="32"/>
          <w:szCs w:val="32"/>
          <w:lang w:val="en-US" w:eastAsia="zh-CN"/>
        </w:rPr>
        <w:t>(本级)</w:t>
      </w:r>
    </w:p>
    <w:p w14:paraId="76A02C62">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2A9ED9DB">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35844842">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（三）负责指导和监督市场监管综合执法工作。整合建设市场监管综合执法队伍，推动实行统一的市场监管。组织查处重大违法案件。规范市场监管行政执法行为。</w:t>
      </w:r>
    </w:p>
    <w:p w14:paraId="186B7DBA">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（四）依据授权，承担负责反垄断执法调查工作。统筹推进竞争政策实施，组织实施公平竞争审查制度。依法依授权进行反垄断调查及执法工作。</w:t>
      </w:r>
    </w:p>
    <w:p w14:paraId="5B6B8156">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0B08AFE4">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3F4EA8B8">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（七）负责产品质量安全监督管理。负责全县产品质量安全风险监控、监督抽查工作。组织实施质量分级制度、质量安全追溯制度。负责工业产品生产许可管理。</w:t>
      </w:r>
    </w:p>
    <w:p w14:paraId="501F3006">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（八）负责特种设备安全监督管理。综合管理特种设备安全监察、监督工作，监督检查高耗能特种设备节能标准和锅炉环境保护标准的执行情况。</w:t>
      </w:r>
    </w:p>
    <w:p w14:paraId="7FEDF9D7">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1723576D">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5B202EB0">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（十一）负责统一管理计量工作。推行并执行法定计量单位和国家计量制度，管理计量器具及量值传递和比对工作。规范、监督商品量和市场计量行为。</w:t>
      </w:r>
    </w:p>
    <w:p w14:paraId="2F6DD266">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（十二）负责统一管理标准化工作。依法承担地方标准的立项、编号和发布等工作，依法协调指导和监督地方标准、团体标准制定工作，管理全县标准化技术委员会。</w:t>
      </w:r>
    </w:p>
    <w:p w14:paraId="4354517C">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（十三）负责统一管理认证认可与检验检测工作。落实认证认可与检验检测监督管理制度、措施，指导协调认证认可与检验检测行业发展，依法监督管理认证认可与检验检测工作。</w:t>
      </w:r>
    </w:p>
    <w:p w14:paraId="6907758E">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78CF7560">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4DF67AF4">
      <w:pPr>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（十六）负责市场监督管理科技和信息化建设、新闻宣传。</w:t>
      </w:r>
    </w:p>
    <w:p w14:paraId="6FDC2C0E">
      <w:pPr>
        <w:ind w:firstLine="630"/>
        <w:jc w:val="left"/>
        <w:rPr>
          <w:rFonts w:hint="eastAsia" w:ascii="仿宋_GB2312" w:eastAsia="仿宋_GB2312"/>
          <w:sz w:val="32"/>
          <w:szCs w:val="32"/>
        </w:rPr>
      </w:pPr>
      <w:r>
        <w:rPr>
          <w:rFonts w:hint="eastAsia" w:ascii="仿宋_GB2312" w:eastAsia="仿宋_GB2312"/>
          <w:sz w:val="32"/>
          <w:szCs w:val="32"/>
        </w:rPr>
        <w:t>（十七）完成县委、县政府交办的其他任务。</w:t>
      </w:r>
    </w:p>
    <w:p w14:paraId="555A13B5">
      <w:pPr>
        <w:numPr>
          <w:ilvl w:val="0"/>
          <w:numId w:val="0"/>
        </w:numPr>
        <w:jc w:val="left"/>
        <w:outlineLvl w:val="1"/>
        <w:rPr>
          <w:rFonts w:hint="default" w:ascii="黑体" w:hAnsi="黑体" w:eastAsia="黑体"/>
          <w:sz w:val="32"/>
          <w:szCs w:val="32"/>
          <w:lang w:val="en-US" w:eastAsia="zh-CN"/>
        </w:rPr>
      </w:pPr>
      <w:r>
        <w:rPr>
          <w:rFonts w:hint="eastAsia" w:ascii="黑体" w:hAnsi="黑体" w:eastAsia="黑体"/>
          <w:sz w:val="32"/>
          <w:szCs w:val="32"/>
          <w:lang w:val="en-US" w:eastAsia="zh-CN"/>
        </w:rPr>
        <w:t>(稽查局)</w:t>
      </w:r>
    </w:p>
    <w:p w14:paraId="5EC1308E">
      <w:pPr>
        <w:ind w:firstLine="630"/>
        <w:jc w:val="left"/>
        <w:rPr>
          <w:rFonts w:hint="eastAsia" w:ascii="仿宋_GB2312" w:eastAsia="仿宋_GB2312"/>
          <w:sz w:val="32"/>
          <w:szCs w:val="32"/>
        </w:rPr>
      </w:pPr>
      <w:r>
        <w:rPr>
          <w:rFonts w:hint="eastAsia" w:ascii="仿宋_GB2312" w:eastAsia="仿宋_GB2312"/>
          <w:sz w:val="32"/>
          <w:szCs w:val="32"/>
        </w:rPr>
        <w:t>(一)贯彻执行国家和地方关于市场监管的法律、法规、规章 和政策，拟订并组织实施全县市场监管执法政策、计划等。</w:t>
      </w:r>
    </w:p>
    <w:p w14:paraId="2F24417C">
      <w:pPr>
        <w:ind w:firstLine="630"/>
        <w:jc w:val="left"/>
        <w:rPr>
          <w:rFonts w:hint="eastAsia" w:ascii="仿宋_GB2312" w:eastAsia="仿宋_GB2312"/>
          <w:sz w:val="32"/>
          <w:szCs w:val="32"/>
        </w:rPr>
      </w:pPr>
      <w:r>
        <w:rPr>
          <w:rFonts w:hint="eastAsia" w:ascii="仿宋_GB2312" w:eastAsia="仿宋_GB2312"/>
          <w:sz w:val="32"/>
          <w:szCs w:val="32"/>
        </w:rPr>
        <w:t>(二)负责组织市场主体准入、生产、经营、交易中的有关违 法行为和案件查办工作；组织指导查办大案要案和跨区域案件工</w:t>
      </w:r>
    </w:p>
    <w:p w14:paraId="0EF466F3">
      <w:pPr>
        <w:ind w:firstLine="630"/>
        <w:jc w:val="left"/>
        <w:rPr>
          <w:rFonts w:hint="eastAsia" w:ascii="仿宋_GB2312" w:eastAsia="仿宋_GB2312"/>
          <w:sz w:val="32"/>
          <w:szCs w:val="32"/>
        </w:rPr>
      </w:pPr>
      <w:r>
        <w:rPr>
          <w:rFonts w:hint="eastAsia" w:ascii="仿宋_GB2312" w:eastAsia="仿宋_GB2312"/>
          <w:sz w:val="32"/>
          <w:szCs w:val="32"/>
        </w:rPr>
        <w:t>作；指导、督促乡(镇)市场监督管理综合执法工作。</w:t>
      </w:r>
    </w:p>
    <w:p w14:paraId="31ABAC63">
      <w:pPr>
        <w:ind w:firstLine="630"/>
        <w:jc w:val="left"/>
        <w:rPr>
          <w:rFonts w:hint="eastAsia" w:ascii="仿宋_GB2312" w:eastAsia="仿宋_GB2312"/>
          <w:sz w:val="32"/>
          <w:szCs w:val="32"/>
        </w:rPr>
      </w:pPr>
      <w:r>
        <w:rPr>
          <w:rFonts w:hint="eastAsia" w:ascii="仿宋_GB2312" w:eastAsia="仿宋_GB2312"/>
          <w:sz w:val="32"/>
          <w:szCs w:val="32"/>
        </w:rPr>
        <w:t>(三)负责受理全县市场监管领域违反相关法律、法规、规章 的举报投诉工作。</w:t>
      </w:r>
    </w:p>
    <w:p w14:paraId="07406697">
      <w:pPr>
        <w:ind w:firstLine="630"/>
        <w:jc w:val="left"/>
        <w:rPr>
          <w:rFonts w:hint="eastAsia" w:ascii="仿宋_GB2312" w:eastAsia="仿宋_GB2312"/>
          <w:sz w:val="32"/>
          <w:szCs w:val="32"/>
        </w:rPr>
      </w:pPr>
    </w:p>
    <w:p w14:paraId="101AC60E">
      <w:pPr>
        <w:ind w:firstLine="630"/>
        <w:jc w:val="left"/>
        <w:rPr>
          <w:rFonts w:hint="eastAsia" w:ascii="仿宋_GB2312" w:eastAsia="仿宋_GB2312"/>
          <w:sz w:val="32"/>
          <w:szCs w:val="32"/>
        </w:rPr>
      </w:pPr>
    </w:p>
    <w:p w14:paraId="36AC2C2A">
      <w:pPr>
        <w:ind w:firstLine="630"/>
        <w:jc w:val="left"/>
        <w:rPr>
          <w:rFonts w:hint="eastAsia" w:ascii="仿宋_GB2312" w:eastAsia="仿宋_GB2312"/>
          <w:sz w:val="32"/>
          <w:szCs w:val="32"/>
        </w:rPr>
      </w:pPr>
    </w:p>
    <w:p w14:paraId="63E9AE34">
      <w:pPr>
        <w:ind w:firstLine="630"/>
        <w:jc w:val="left"/>
        <w:rPr>
          <w:rFonts w:hint="eastAsia" w:ascii="仿宋_GB2312" w:eastAsia="仿宋_GB2312"/>
          <w:sz w:val="32"/>
          <w:szCs w:val="32"/>
        </w:rPr>
      </w:pPr>
    </w:p>
    <w:p w14:paraId="559D6256">
      <w:pPr>
        <w:ind w:firstLine="630"/>
        <w:jc w:val="left"/>
        <w:rPr>
          <w:rFonts w:hint="eastAsia" w:ascii="仿宋_GB2312" w:eastAsia="仿宋_GB2312"/>
          <w:sz w:val="32"/>
          <w:szCs w:val="32"/>
        </w:rPr>
      </w:pPr>
      <w:r>
        <w:rPr>
          <w:rFonts w:hint="eastAsia" w:ascii="仿宋_GB2312" w:eastAsia="仿宋_GB2312"/>
          <w:sz w:val="32"/>
          <w:szCs w:val="32"/>
        </w:rPr>
        <w:t>(四)负责查处权限内违法网络交易和相关服务无照生产经营 和相关无证生产经营、违法广告、虚假宣传等破坏市场经济秩序的 违法行为。</w:t>
      </w:r>
    </w:p>
    <w:p w14:paraId="743C3671">
      <w:pPr>
        <w:ind w:firstLine="630"/>
        <w:jc w:val="left"/>
        <w:rPr>
          <w:rFonts w:hint="eastAsia" w:ascii="仿宋_GB2312" w:eastAsia="仿宋_GB2312"/>
          <w:sz w:val="32"/>
          <w:szCs w:val="32"/>
        </w:rPr>
      </w:pPr>
      <w:r>
        <w:rPr>
          <w:rFonts w:hint="eastAsia" w:ascii="仿宋_GB2312" w:eastAsia="仿宋_GB2312"/>
          <w:sz w:val="32"/>
          <w:szCs w:val="32"/>
        </w:rPr>
        <w:t>(五)负责查处权限内产品质量、计量、标准、认证认可、特 种设备的违法行为。</w:t>
      </w:r>
    </w:p>
    <w:p w14:paraId="7260FC1F">
      <w:pPr>
        <w:ind w:firstLine="630"/>
        <w:jc w:val="left"/>
        <w:rPr>
          <w:rFonts w:hint="eastAsia" w:ascii="仿宋_GB2312" w:eastAsia="仿宋_GB2312"/>
          <w:sz w:val="32"/>
          <w:szCs w:val="32"/>
        </w:rPr>
      </w:pPr>
      <w:r>
        <w:rPr>
          <w:rFonts w:hint="eastAsia" w:ascii="仿宋_GB2312" w:eastAsia="仿宋_GB2312"/>
          <w:sz w:val="32"/>
          <w:szCs w:val="32"/>
        </w:rPr>
        <w:t>(六)负责查处权限内食品(含特殊食品)、药品、医疗器械、 化妆品、盐业领域的违法行为。</w:t>
      </w:r>
    </w:p>
    <w:p w14:paraId="43241E01">
      <w:pPr>
        <w:ind w:firstLine="630"/>
        <w:jc w:val="left"/>
        <w:rPr>
          <w:rFonts w:hint="eastAsia" w:ascii="仿宋_GB2312" w:eastAsia="仿宋_GB2312"/>
          <w:sz w:val="32"/>
          <w:szCs w:val="32"/>
        </w:rPr>
      </w:pPr>
      <w:r>
        <w:rPr>
          <w:rFonts w:hint="eastAsia" w:ascii="仿宋_GB2312" w:eastAsia="仿宋_GB2312"/>
          <w:sz w:val="32"/>
          <w:szCs w:val="32"/>
        </w:rPr>
        <w:t>(七)负责查处权限内价格收费违法、不正当竞争、违法直销、 传销等违法行为。</w:t>
      </w:r>
    </w:p>
    <w:p w14:paraId="385EE21E">
      <w:pPr>
        <w:ind w:firstLine="630"/>
        <w:jc w:val="left"/>
        <w:rPr>
          <w:rFonts w:hint="eastAsia" w:ascii="仿宋_GB2312" w:eastAsia="仿宋_GB2312"/>
          <w:sz w:val="32"/>
          <w:szCs w:val="32"/>
        </w:rPr>
      </w:pPr>
      <w:r>
        <w:rPr>
          <w:rFonts w:hint="eastAsia" w:ascii="仿宋_GB2312" w:eastAsia="仿宋_GB2312"/>
          <w:sz w:val="32"/>
          <w:szCs w:val="32"/>
        </w:rPr>
        <w:t>(八)负责查处权限内侵犯商标和专利知识产权制售假冒伪劣 的行为。</w:t>
      </w:r>
    </w:p>
    <w:p w14:paraId="136E6389">
      <w:pPr>
        <w:ind w:firstLine="630"/>
        <w:jc w:val="left"/>
        <w:rPr>
          <w:rFonts w:hint="eastAsia" w:ascii="仿宋_GB2312" w:eastAsia="仿宋_GB2312"/>
          <w:sz w:val="32"/>
          <w:szCs w:val="32"/>
        </w:rPr>
      </w:pPr>
      <w:r>
        <w:rPr>
          <w:rFonts w:hint="eastAsia" w:ascii="仿宋_GB2312" w:eastAsia="仿宋_GB2312"/>
          <w:sz w:val="32"/>
          <w:szCs w:val="32"/>
        </w:rPr>
        <w:t>(九)负责查处违反商务领域相关法律法规规章的行为。</w:t>
      </w:r>
    </w:p>
    <w:p w14:paraId="71FCE52C">
      <w:pPr>
        <w:ind w:firstLine="630"/>
        <w:jc w:val="left"/>
        <w:rPr>
          <w:rFonts w:hint="eastAsia" w:ascii="仿宋_GB2312" w:eastAsia="仿宋_GB2312"/>
          <w:sz w:val="32"/>
          <w:szCs w:val="32"/>
        </w:rPr>
      </w:pPr>
      <w:r>
        <w:rPr>
          <w:rFonts w:hint="eastAsia" w:ascii="仿宋_GB2312" w:eastAsia="仿宋_GB2312"/>
          <w:sz w:val="32"/>
          <w:szCs w:val="32"/>
        </w:rPr>
        <w:t>(十)承担上级交办、司法机关或其他部门移送的案件线索核 查、案件办理以及交办的其他任务。</w:t>
      </w:r>
    </w:p>
    <w:p w14:paraId="3C65E3D7">
      <w:pPr>
        <w:numPr>
          <w:ilvl w:val="0"/>
          <w:numId w:val="0"/>
        </w:numPr>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(检验检测中心)</w:t>
      </w:r>
    </w:p>
    <w:p w14:paraId="3ABB82B7">
      <w:pPr>
        <w:ind w:firstLine="630"/>
        <w:jc w:val="left"/>
        <w:rPr>
          <w:rFonts w:hint="default" w:ascii="仿宋_GB2312" w:eastAsia="仿宋_GB2312"/>
          <w:sz w:val="32"/>
          <w:szCs w:val="32"/>
          <w:lang w:val="en-US" w:eastAsia="zh-CN"/>
        </w:rPr>
      </w:pPr>
      <w:r>
        <w:rPr>
          <w:rFonts w:hint="default" w:ascii="仿宋_GB2312" w:eastAsia="仿宋_GB2312"/>
          <w:sz w:val="32"/>
          <w:szCs w:val="32"/>
          <w:lang w:val="en-US" w:eastAsia="zh-CN"/>
        </w:rPr>
        <w:t>（一）负责统一管理计量工作。推行并执行法定计量单位和国家计量制度，管理计量器具及量值传递和比对工作。规范、监督商品量和市场计量行为。</w:t>
      </w:r>
    </w:p>
    <w:p w14:paraId="6AB468E8">
      <w:pPr>
        <w:ind w:firstLine="630"/>
        <w:jc w:val="left"/>
        <w:rPr>
          <w:rFonts w:hint="eastAsia" w:ascii="仿宋_GB2312" w:hAnsi="仿宋_GB2312" w:eastAsia="仿宋_GB2312"/>
          <w:sz w:val="32"/>
          <w:szCs w:val="32"/>
        </w:rPr>
      </w:pPr>
      <w:r>
        <w:rPr>
          <w:rFonts w:hint="default" w:ascii="仿宋_GB2312" w:eastAsia="仿宋_GB2312"/>
          <w:sz w:val="32"/>
          <w:szCs w:val="32"/>
          <w:lang w:val="en-US" w:eastAsia="zh-CN"/>
        </w:rPr>
        <w:t>（二）负责统一管理认证认可与检验检测工作。落实认证认可与检验检测监督管理制度、措施，指导协调认证认可与检验检测行业发展，依法监督管理认证认可与检验检测工作。</w:t>
      </w:r>
    </w:p>
    <w:p w14:paraId="466D36AE">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1797F18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3</w:t>
      </w:r>
      <w:r>
        <w:rPr>
          <w:rFonts w:hint="eastAsia" w:ascii="仿宋_GB2312" w:hAnsi="仿宋_GB2312" w:eastAsia="仿宋_GB2312"/>
          <w:sz w:val="32"/>
          <w:szCs w:val="32"/>
        </w:rPr>
        <w:t>个，包括：</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12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00" w:type="dxa"/>
            <w:shd w:val="clear" w:color="auto" w:fill="auto"/>
            <w:noWrap w:val="0"/>
            <w:vAlign w:val="top"/>
          </w:tcPr>
          <w:p w14:paraId="76739266">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序号</w:t>
            </w:r>
          </w:p>
        </w:tc>
        <w:tc>
          <w:tcPr>
            <w:tcW w:w="4769" w:type="dxa"/>
            <w:shd w:val="clear" w:color="auto" w:fill="auto"/>
            <w:noWrap w:val="0"/>
            <w:vAlign w:val="top"/>
          </w:tcPr>
          <w:p w14:paraId="4635F929">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单位名称</w:t>
            </w:r>
          </w:p>
        </w:tc>
        <w:tc>
          <w:tcPr>
            <w:tcW w:w="2348" w:type="dxa"/>
            <w:shd w:val="clear" w:color="auto" w:fill="auto"/>
            <w:noWrap w:val="0"/>
            <w:vAlign w:val="top"/>
          </w:tcPr>
          <w:p w14:paraId="6379F185">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预算级次</w:t>
            </w:r>
          </w:p>
        </w:tc>
      </w:tr>
      <w:tr w14:paraId="34C9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00" w:type="dxa"/>
            <w:shd w:val="clear" w:color="auto" w:fill="auto"/>
            <w:noWrap w:val="0"/>
            <w:vAlign w:val="top"/>
          </w:tcPr>
          <w:p w14:paraId="7F0C0238">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1</w:t>
            </w:r>
          </w:p>
        </w:tc>
        <w:tc>
          <w:tcPr>
            <w:tcW w:w="4769" w:type="dxa"/>
            <w:shd w:val="clear" w:color="auto" w:fill="auto"/>
            <w:noWrap w:val="0"/>
            <w:vAlign w:val="top"/>
          </w:tcPr>
          <w:p w14:paraId="5A1F30FB">
            <w:pPr>
              <w:jc w:val="left"/>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浮梁县市场监督管理局（本级）</w:t>
            </w:r>
          </w:p>
        </w:tc>
        <w:tc>
          <w:tcPr>
            <w:tcW w:w="2348" w:type="dxa"/>
            <w:shd w:val="clear" w:color="auto" w:fill="auto"/>
            <w:noWrap w:val="0"/>
            <w:vAlign w:val="top"/>
          </w:tcPr>
          <w:p w14:paraId="78C26B38">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一级</w:t>
            </w:r>
          </w:p>
        </w:tc>
      </w:tr>
      <w:tr w14:paraId="25BE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noWrap w:val="0"/>
            <w:vAlign w:val="top"/>
          </w:tcPr>
          <w:p w14:paraId="1C289D27">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2</w:t>
            </w:r>
          </w:p>
        </w:tc>
        <w:tc>
          <w:tcPr>
            <w:tcW w:w="4769" w:type="dxa"/>
            <w:shd w:val="clear" w:color="auto" w:fill="auto"/>
            <w:noWrap w:val="0"/>
            <w:vAlign w:val="top"/>
          </w:tcPr>
          <w:p w14:paraId="64DB6E1C">
            <w:pPr>
              <w:jc w:val="left"/>
              <w:rPr>
                <w:rFonts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 xml:space="preserve">浮梁县市场监督管理执法稽查局  </w:t>
            </w:r>
          </w:p>
        </w:tc>
        <w:tc>
          <w:tcPr>
            <w:tcW w:w="2348" w:type="dxa"/>
            <w:shd w:val="clear" w:color="auto" w:fill="auto"/>
            <w:noWrap w:val="0"/>
            <w:vAlign w:val="top"/>
          </w:tcPr>
          <w:p w14:paraId="368AE919">
            <w:pPr>
              <w:jc w:val="center"/>
              <w:rPr>
                <w:rFonts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一级</w:t>
            </w:r>
          </w:p>
        </w:tc>
      </w:tr>
      <w:tr w14:paraId="08A5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noWrap w:val="0"/>
            <w:vAlign w:val="top"/>
          </w:tcPr>
          <w:p w14:paraId="6A2E9674">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3</w:t>
            </w:r>
          </w:p>
        </w:tc>
        <w:tc>
          <w:tcPr>
            <w:tcW w:w="4769" w:type="dxa"/>
            <w:shd w:val="clear" w:color="auto" w:fill="auto"/>
            <w:noWrap w:val="0"/>
            <w:vAlign w:val="top"/>
          </w:tcPr>
          <w:p w14:paraId="0F1940F8">
            <w:pPr>
              <w:jc w:val="left"/>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浮梁县检验检测认证中心</w:t>
            </w:r>
          </w:p>
        </w:tc>
        <w:tc>
          <w:tcPr>
            <w:tcW w:w="2348" w:type="dxa"/>
            <w:shd w:val="clear" w:color="auto" w:fill="auto"/>
            <w:noWrap w:val="0"/>
            <w:vAlign w:val="top"/>
          </w:tcPr>
          <w:p w14:paraId="0C2A7D80">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一级</w:t>
            </w:r>
          </w:p>
        </w:tc>
      </w:tr>
    </w:tbl>
    <w:p w14:paraId="78BC90C3">
      <w:pPr>
        <w:ind w:firstLine="640" w:firstLineChars="200"/>
        <w:jc w:val="left"/>
        <w:rPr>
          <w:rFonts w:hint="eastAsia"/>
        </w:rPr>
      </w:pPr>
      <w:r>
        <w:rPr>
          <w:rFonts w:hint="eastAsia" w:ascii="仿宋_GB2312" w:hAnsi="仿宋_GB2312" w:eastAsia="仿宋_GB2312"/>
          <w:sz w:val="32"/>
          <w:szCs w:val="32"/>
          <w:lang w:eastAsia="zh-CN"/>
        </w:rPr>
        <w:t>本部门年末实有行政编制数</w:t>
      </w:r>
      <w:r>
        <w:rPr>
          <w:rFonts w:hint="eastAsia" w:ascii="仿宋_GB2312" w:hAnsi="仿宋_GB2312" w:eastAsia="仿宋_GB2312"/>
          <w:sz w:val="32"/>
          <w:szCs w:val="32"/>
          <w:lang w:val="en-US" w:eastAsia="zh-CN"/>
        </w:rPr>
        <w:t>71个，事业编制数35个。</w:t>
      </w:r>
      <w:r>
        <w:rPr>
          <w:rFonts w:hint="eastAsia" w:ascii="仿宋_GB2312" w:hAnsi="仿宋_GB2312" w:eastAsia="仿宋_GB2312"/>
          <w:sz w:val="32"/>
          <w:szCs w:val="32"/>
        </w:rPr>
        <w:t>本部门年末在职人员88人，离退休人员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人（不含由养老保险基金发放养老金的离退休人员），其他人员0人。由养老保险基金发放养老金的离退休人员52人。</w:t>
      </w:r>
    </w:p>
    <w:p w14:paraId="6B2F959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3658073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304D1E6D">
      <w:pPr>
        <w:bidi w:val="0"/>
        <w:rPr>
          <w:rFonts w:hint="eastAsia"/>
        </w:rPr>
      </w:pPr>
    </w:p>
    <w:p w14:paraId="02B1D2B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4268E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FB7615E">
            <w:pPr>
              <w:jc w:val="right"/>
            </w:pPr>
            <w:r>
              <w:rPr>
                <w:rFonts w:ascii="宋体" w:hAnsi="宋体" w:eastAsia="宋体" w:cs="宋体"/>
                <w:sz w:val="20"/>
              </w:rPr>
              <w:t>公开01表</w:t>
            </w:r>
          </w:p>
        </w:tc>
      </w:tr>
      <w:tr w14:paraId="24619C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BCB153F">
            <w:pPr>
              <w:jc w:val="left"/>
            </w:pPr>
            <w:r>
              <w:rPr>
                <w:rFonts w:ascii="宋体" w:hAnsi="宋体" w:eastAsia="宋体" w:cs="宋体"/>
                <w:sz w:val="20"/>
              </w:rPr>
              <w:t>部门：浮梁县市场监督管理局</w:t>
            </w:r>
          </w:p>
        </w:tc>
        <w:tc>
          <w:tcPr>
            <w:tcW w:w="2000" w:type="dxa"/>
          </w:tcPr>
          <w:p w14:paraId="613F4E0C">
            <w:pPr>
              <w:jc w:val="center"/>
            </w:pPr>
            <w:r>
              <w:rPr>
                <w:rFonts w:ascii="宋体" w:hAnsi="宋体" w:eastAsia="宋体" w:cs="宋体"/>
                <w:sz w:val="20"/>
              </w:rPr>
              <w:t>2023年度</w:t>
            </w:r>
          </w:p>
        </w:tc>
        <w:tc>
          <w:tcPr>
            <w:tcW w:w="3153" w:type="dxa"/>
          </w:tcPr>
          <w:p w14:paraId="489F5CDF">
            <w:pPr>
              <w:jc w:val="right"/>
            </w:pPr>
            <w:r>
              <w:rPr>
                <w:rFonts w:ascii="宋体" w:hAnsi="宋体" w:eastAsia="宋体" w:cs="宋体"/>
                <w:sz w:val="20"/>
              </w:rPr>
              <w:t>金额单位：万元</w:t>
            </w:r>
          </w:p>
        </w:tc>
      </w:tr>
    </w:tbl>
    <w:p w14:paraId="1B502245">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458F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204E8FC">
            <w:pPr>
              <w:jc w:val="center"/>
            </w:pPr>
            <w:r>
              <w:rPr>
                <w:rFonts w:ascii="宋体" w:hAnsi="宋体" w:eastAsia="宋体" w:cs="宋体"/>
                <w:b w:val="0"/>
                <w:i w:val="0"/>
                <w:color w:val="000000"/>
                <w:sz w:val="14"/>
              </w:rPr>
              <w:t>收入</w:t>
            </w:r>
          </w:p>
        </w:tc>
        <w:tc>
          <w:tcPr>
            <w:tcW w:w="2340" w:type="dxa"/>
            <w:gridSpan w:val="3"/>
            <w:vAlign w:val="center"/>
          </w:tcPr>
          <w:p w14:paraId="2A84B9DD">
            <w:pPr>
              <w:jc w:val="center"/>
            </w:pPr>
            <w:r>
              <w:rPr>
                <w:rFonts w:ascii="宋体" w:hAnsi="宋体" w:eastAsia="宋体" w:cs="宋体"/>
                <w:b w:val="0"/>
                <w:i w:val="0"/>
                <w:color w:val="000000"/>
                <w:sz w:val="14"/>
              </w:rPr>
              <w:t>支出</w:t>
            </w:r>
          </w:p>
        </w:tc>
      </w:tr>
      <w:tr w14:paraId="4865B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85E3A0C">
            <w:pPr>
              <w:jc w:val="center"/>
            </w:pPr>
            <w:r>
              <w:rPr>
                <w:rFonts w:ascii="宋体" w:hAnsi="宋体" w:eastAsia="宋体" w:cs="宋体"/>
                <w:b w:val="0"/>
                <w:i w:val="0"/>
                <w:color w:val="000000"/>
                <w:sz w:val="14"/>
              </w:rPr>
              <w:t>项    目</w:t>
            </w:r>
          </w:p>
        </w:tc>
        <w:tc>
          <w:tcPr>
            <w:tcW w:w="460" w:type="dxa"/>
            <w:vAlign w:val="center"/>
          </w:tcPr>
          <w:p w14:paraId="3B4447B6">
            <w:pPr>
              <w:jc w:val="center"/>
            </w:pPr>
            <w:r>
              <w:rPr>
                <w:rFonts w:ascii="宋体" w:hAnsi="宋体" w:eastAsia="宋体" w:cs="宋体"/>
                <w:b w:val="0"/>
                <w:i w:val="0"/>
                <w:color w:val="000000"/>
                <w:sz w:val="14"/>
              </w:rPr>
              <w:t>行次</w:t>
            </w:r>
          </w:p>
        </w:tc>
        <w:tc>
          <w:tcPr>
            <w:tcW w:w="1220" w:type="dxa"/>
            <w:vAlign w:val="center"/>
          </w:tcPr>
          <w:p w14:paraId="4B987273">
            <w:pPr>
              <w:jc w:val="center"/>
            </w:pPr>
            <w:r>
              <w:rPr>
                <w:rFonts w:ascii="宋体" w:hAnsi="宋体" w:eastAsia="宋体" w:cs="宋体"/>
                <w:b w:val="0"/>
                <w:i w:val="0"/>
                <w:color w:val="000000"/>
                <w:sz w:val="14"/>
              </w:rPr>
              <w:t>决算数</w:t>
            </w:r>
          </w:p>
        </w:tc>
        <w:tc>
          <w:tcPr>
            <w:tcW w:w="2340" w:type="dxa"/>
            <w:vAlign w:val="center"/>
          </w:tcPr>
          <w:p w14:paraId="57D9C0F2">
            <w:pPr>
              <w:jc w:val="center"/>
            </w:pPr>
            <w:r>
              <w:rPr>
                <w:rFonts w:ascii="宋体" w:hAnsi="宋体" w:eastAsia="宋体" w:cs="宋体"/>
                <w:b w:val="0"/>
                <w:i w:val="0"/>
                <w:color w:val="000000"/>
                <w:sz w:val="14"/>
              </w:rPr>
              <w:t>项目（按功能分类）</w:t>
            </w:r>
          </w:p>
        </w:tc>
        <w:tc>
          <w:tcPr>
            <w:tcW w:w="460" w:type="dxa"/>
            <w:vAlign w:val="center"/>
          </w:tcPr>
          <w:p w14:paraId="1D923159">
            <w:pPr>
              <w:jc w:val="center"/>
            </w:pPr>
            <w:r>
              <w:rPr>
                <w:rFonts w:ascii="宋体" w:hAnsi="宋体" w:eastAsia="宋体" w:cs="宋体"/>
                <w:b w:val="0"/>
                <w:i w:val="0"/>
                <w:color w:val="000000"/>
                <w:sz w:val="14"/>
              </w:rPr>
              <w:t>行次</w:t>
            </w:r>
          </w:p>
        </w:tc>
        <w:tc>
          <w:tcPr>
            <w:tcW w:w="1206" w:type="dxa"/>
            <w:vAlign w:val="center"/>
          </w:tcPr>
          <w:p w14:paraId="5AE4DD7E">
            <w:pPr>
              <w:jc w:val="center"/>
            </w:pPr>
            <w:r>
              <w:rPr>
                <w:rFonts w:ascii="宋体" w:hAnsi="宋体" w:eastAsia="宋体" w:cs="宋体"/>
                <w:b w:val="0"/>
                <w:i w:val="0"/>
                <w:color w:val="000000"/>
                <w:sz w:val="14"/>
              </w:rPr>
              <w:t>决算数</w:t>
            </w:r>
          </w:p>
        </w:tc>
      </w:tr>
      <w:tr w14:paraId="184C3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A6EC00D">
            <w:pPr>
              <w:jc w:val="center"/>
            </w:pPr>
            <w:r>
              <w:rPr>
                <w:rFonts w:ascii="宋体" w:hAnsi="宋体" w:eastAsia="宋体" w:cs="宋体"/>
                <w:b w:val="0"/>
                <w:i w:val="0"/>
                <w:color w:val="000000"/>
                <w:sz w:val="14"/>
              </w:rPr>
              <w:t>栏    次</w:t>
            </w:r>
          </w:p>
        </w:tc>
        <w:tc>
          <w:tcPr>
            <w:tcW w:w="460" w:type="dxa"/>
            <w:vAlign w:val="center"/>
          </w:tcPr>
          <w:p w14:paraId="48943A04"/>
        </w:tc>
        <w:tc>
          <w:tcPr>
            <w:tcW w:w="1220" w:type="dxa"/>
            <w:vAlign w:val="center"/>
          </w:tcPr>
          <w:p w14:paraId="025537D7">
            <w:pPr>
              <w:jc w:val="center"/>
            </w:pPr>
            <w:r>
              <w:rPr>
                <w:rFonts w:ascii="宋体" w:hAnsi="宋体" w:eastAsia="宋体" w:cs="宋体"/>
                <w:b w:val="0"/>
                <w:i w:val="0"/>
                <w:color w:val="000000"/>
                <w:sz w:val="14"/>
              </w:rPr>
              <w:t>1</w:t>
            </w:r>
          </w:p>
        </w:tc>
        <w:tc>
          <w:tcPr>
            <w:tcW w:w="2340" w:type="dxa"/>
            <w:vAlign w:val="center"/>
          </w:tcPr>
          <w:p w14:paraId="4857B441">
            <w:pPr>
              <w:jc w:val="center"/>
            </w:pPr>
            <w:r>
              <w:rPr>
                <w:rFonts w:ascii="宋体" w:hAnsi="宋体" w:eastAsia="宋体" w:cs="宋体"/>
                <w:b w:val="0"/>
                <w:i w:val="0"/>
                <w:color w:val="000000"/>
                <w:sz w:val="14"/>
              </w:rPr>
              <w:t>栏    次</w:t>
            </w:r>
          </w:p>
        </w:tc>
        <w:tc>
          <w:tcPr>
            <w:tcW w:w="460" w:type="dxa"/>
            <w:vAlign w:val="center"/>
          </w:tcPr>
          <w:p w14:paraId="186DA814"/>
        </w:tc>
        <w:tc>
          <w:tcPr>
            <w:tcW w:w="1206" w:type="dxa"/>
            <w:vAlign w:val="center"/>
          </w:tcPr>
          <w:p w14:paraId="1E7DB1DB">
            <w:pPr>
              <w:jc w:val="center"/>
            </w:pPr>
            <w:r>
              <w:rPr>
                <w:rFonts w:ascii="宋体" w:hAnsi="宋体" w:eastAsia="宋体" w:cs="宋体"/>
                <w:b w:val="0"/>
                <w:i w:val="0"/>
                <w:color w:val="000000"/>
                <w:sz w:val="14"/>
              </w:rPr>
              <w:t>2</w:t>
            </w:r>
          </w:p>
        </w:tc>
      </w:tr>
      <w:tr w14:paraId="7E4F2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7EDABB">
            <w:pPr>
              <w:jc w:val="left"/>
            </w:pPr>
            <w:r>
              <w:rPr>
                <w:rFonts w:ascii="宋体" w:hAnsi="宋体" w:eastAsia="宋体" w:cs="宋体"/>
                <w:b w:val="0"/>
                <w:i w:val="0"/>
                <w:color w:val="000000"/>
                <w:sz w:val="14"/>
              </w:rPr>
              <w:t>一、一般公共预算财政拨款收入</w:t>
            </w:r>
          </w:p>
        </w:tc>
        <w:tc>
          <w:tcPr>
            <w:tcW w:w="460" w:type="dxa"/>
            <w:vAlign w:val="center"/>
          </w:tcPr>
          <w:p w14:paraId="0D5DF660">
            <w:pPr>
              <w:jc w:val="center"/>
            </w:pPr>
            <w:r>
              <w:rPr>
                <w:rFonts w:ascii="宋体" w:hAnsi="宋体" w:eastAsia="宋体" w:cs="宋体"/>
                <w:b w:val="0"/>
                <w:i w:val="0"/>
                <w:color w:val="000000"/>
                <w:sz w:val="14"/>
              </w:rPr>
              <w:t>1</w:t>
            </w:r>
          </w:p>
        </w:tc>
        <w:tc>
          <w:tcPr>
            <w:tcW w:w="1220" w:type="dxa"/>
            <w:vAlign w:val="center"/>
          </w:tcPr>
          <w:p w14:paraId="5A5EEEB9">
            <w:pPr>
              <w:jc w:val="right"/>
            </w:pPr>
            <w:r>
              <w:rPr>
                <w:rFonts w:ascii="宋体" w:hAnsi="宋体" w:eastAsia="宋体" w:cs="宋体"/>
                <w:b w:val="0"/>
                <w:i w:val="0"/>
                <w:color w:val="000000"/>
                <w:sz w:val="14"/>
              </w:rPr>
              <w:t>2,338.24</w:t>
            </w:r>
          </w:p>
        </w:tc>
        <w:tc>
          <w:tcPr>
            <w:tcW w:w="2340" w:type="dxa"/>
            <w:vAlign w:val="center"/>
          </w:tcPr>
          <w:p w14:paraId="1BF48314">
            <w:pPr>
              <w:jc w:val="left"/>
            </w:pPr>
            <w:r>
              <w:rPr>
                <w:rFonts w:ascii="宋体" w:hAnsi="宋体" w:eastAsia="宋体" w:cs="宋体"/>
                <w:b w:val="0"/>
                <w:i w:val="0"/>
                <w:color w:val="000000"/>
                <w:sz w:val="14"/>
              </w:rPr>
              <w:t>一、一般公共服务支出</w:t>
            </w:r>
          </w:p>
        </w:tc>
        <w:tc>
          <w:tcPr>
            <w:tcW w:w="460" w:type="dxa"/>
            <w:vAlign w:val="center"/>
          </w:tcPr>
          <w:p w14:paraId="61B8439B">
            <w:pPr>
              <w:jc w:val="center"/>
            </w:pPr>
            <w:r>
              <w:rPr>
                <w:rFonts w:ascii="宋体" w:hAnsi="宋体" w:eastAsia="宋体" w:cs="宋体"/>
                <w:b w:val="0"/>
                <w:i w:val="0"/>
                <w:color w:val="000000"/>
                <w:sz w:val="14"/>
              </w:rPr>
              <w:t>32</w:t>
            </w:r>
          </w:p>
        </w:tc>
        <w:tc>
          <w:tcPr>
            <w:tcW w:w="1206" w:type="dxa"/>
            <w:vAlign w:val="center"/>
          </w:tcPr>
          <w:p w14:paraId="4D68F545">
            <w:pPr>
              <w:jc w:val="right"/>
            </w:pPr>
            <w:r>
              <w:rPr>
                <w:rFonts w:ascii="宋体" w:hAnsi="宋体" w:eastAsia="宋体" w:cs="宋体"/>
                <w:b w:val="0"/>
                <w:i w:val="0"/>
                <w:color w:val="000000"/>
                <w:sz w:val="14"/>
              </w:rPr>
              <w:t>1,989.59</w:t>
            </w:r>
          </w:p>
        </w:tc>
      </w:tr>
      <w:tr w14:paraId="43175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249993">
            <w:pPr>
              <w:jc w:val="left"/>
            </w:pPr>
            <w:r>
              <w:rPr>
                <w:rFonts w:ascii="宋体" w:hAnsi="宋体" w:eastAsia="宋体" w:cs="宋体"/>
                <w:b w:val="0"/>
                <w:i w:val="0"/>
                <w:color w:val="000000"/>
                <w:sz w:val="14"/>
              </w:rPr>
              <w:t>二、政府性基金预算财政拨款收入</w:t>
            </w:r>
          </w:p>
        </w:tc>
        <w:tc>
          <w:tcPr>
            <w:tcW w:w="460" w:type="dxa"/>
            <w:vAlign w:val="center"/>
          </w:tcPr>
          <w:p w14:paraId="281E1413">
            <w:pPr>
              <w:jc w:val="center"/>
            </w:pPr>
            <w:r>
              <w:rPr>
                <w:rFonts w:ascii="宋体" w:hAnsi="宋体" w:eastAsia="宋体" w:cs="宋体"/>
                <w:b w:val="0"/>
                <w:i w:val="0"/>
                <w:color w:val="000000"/>
                <w:sz w:val="14"/>
              </w:rPr>
              <w:t>2</w:t>
            </w:r>
          </w:p>
        </w:tc>
        <w:tc>
          <w:tcPr>
            <w:tcW w:w="1220" w:type="dxa"/>
            <w:vAlign w:val="center"/>
          </w:tcPr>
          <w:p w14:paraId="0B364545">
            <w:pPr>
              <w:jc w:val="right"/>
            </w:pPr>
            <w:r>
              <w:rPr>
                <w:rFonts w:ascii="宋体" w:hAnsi="宋体" w:eastAsia="宋体" w:cs="宋体"/>
                <w:b w:val="0"/>
                <w:i w:val="0"/>
                <w:color w:val="000000"/>
                <w:sz w:val="14"/>
              </w:rPr>
              <w:t>7.01</w:t>
            </w:r>
          </w:p>
        </w:tc>
        <w:tc>
          <w:tcPr>
            <w:tcW w:w="2340" w:type="dxa"/>
            <w:vAlign w:val="center"/>
          </w:tcPr>
          <w:p w14:paraId="1209D218">
            <w:pPr>
              <w:jc w:val="left"/>
            </w:pPr>
            <w:r>
              <w:rPr>
                <w:rFonts w:ascii="宋体" w:hAnsi="宋体" w:eastAsia="宋体" w:cs="宋体"/>
                <w:b w:val="0"/>
                <w:i w:val="0"/>
                <w:color w:val="000000"/>
                <w:sz w:val="14"/>
              </w:rPr>
              <w:t>二、外交支出</w:t>
            </w:r>
          </w:p>
        </w:tc>
        <w:tc>
          <w:tcPr>
            <w:tcW w:w="460" w:type="dxa"/>
            <w:vAlign w:val="center"/>
          </w:tcPr>
          <w:p w14:paraId="632BC974">
            <w:pPr>
              <w:jc w:val="center"/>
            </w:pPr>
            <w:r>
              <w:rPr>
                <w:rFonts w:ascii="宋体" w:hAnsi="宋体" w:eastAsia="宋体" w:cs="宋体"/>
                <w:b w:val="0"/>
                <w:i w:val="0"/>
                <w:color w:val="000000"/>
                <w:sz w:val="14"/>
              </w:rPr>
              <w:t>33</w:t>
            </w:r>
          </w:p>
        </w:tc>
        <w:tc>
          <w:tcPr>
            <w:tcW w:w="1206" w:type="dxa"/>
            <w:vAlign w:val="center"/>
          </w:tcPr>
          <w:p w14:paraId="3199FB89"/>
        </w:tc>
      </w:tr>
      <w:tr w14:paraId="5EC19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4815B7">
            <w:pPr>
              <w:jc w:val="left"/>
            </w:pPr>
            <w:r>
              <w:rPr>
                <w:rFonts w:ascii="宋体" w:hAnsi="宋体" w:eastAsia="宋体" w:cs="宋体"/>
                <w:b w:val="0"/>
                <w:i w:val="0"/>
                <w:color w:val="000000"/>
                <w:sz w:val="14"/>
              </w:rPr>
              <w:t>三、国有资本经营预算财政拨款收入</w:t>
            </w:r>
          </w:p>
        </w:tc>
        <w:tc>
          <w:tcPr>
            <w:tcW w:w="460" w:type="dxa"/>
            <w:vAlign w:val="center"/>
          </w:tcPr>
          <w:p w14:paraId="04A2A1A3">
            <w:pPr>
              <w:jc w:val="center"/>
            </w:pPr>
            <w:r>
              <w:rPr>
                <w:rFonts w:ascii="宋体" w:hAnsi="宋体" w:eastAsia="宋体" w:cs="宋体"/>
                <w:b w:val="0"/>
                <w:i w:val="0"/>
                <w:color w:val="000000"/>
                <w:sz w:val="14"/>
              </w:rPr>
              <w:t>3</w:t>
            </w:r>
          </w:p>
        </w:tc>
        <w:tc>
          <w:tcPr>
            <w:tcW w:w="1220" w:type="dxa"/>
            <w:vAlign w:val="center"/>
          </w:tcPr>
          <w:p w14:paraId="1C9FE769"/>
        </w:tc>
        <w:tc>
          <w:tcPr>
            <w:tcW w:w="2340" w:type="dxa"/>
            <w:vAlign w:val="center"/>
          </w:tcPr>
          <w:p w14:paraId="726D6AE7">
            <w:pPr>
              <w:jc w:val="left"/>
            </w:pPr>
            <w:r>
              <w:rPr>
                <w:rFonts w:ascii="宋体" w:hAnsi="宋体" w:eastAsia="宋体" w:cs="宋体"/>
                <w:b w:val="0"/>
                <w:i w:val="0"/>
                <w:color w:val="000000"/>
                <w:sz w:val="14"/>
              </w:rPr>
              <w:t>三、国防支出</w:t>
            </w:r>
          </w:p>
        </w:tc>
        <w:tc>
          <w:tcPr>
            <w:tcW w:w="460" w:type="dxa"/>
            <w:vAlign w:val="center"/>
          </w:tcPr>
          <w:p w14:paraId="26167877">
            <w:pPr>
              <w:jc w:val="center"/>
            </w:pPr>
            <w:r>
              <w:rPr>
                <w:rFonts w:ascii="宋体" w:hAnsi="宋体" w:eastAsia="宋体" w:cs="宋体"/>
                <w:b w:val="0"/>
                <w:i w:val="0"/>
                <w:color w:val="000000"/>
                <w:sz w:val="14"/>
              </w:rPr>
              <w:t>34</w:t>
            </w:r>
          </w:p>
        </w:tc>
        <w:tc>
          <w:tcPr>
            <w:tcW w:w="1206" w:type="dxa"/>
            <w:vAlign w:val="center"/>
          </w:tcPr>
          <w:p w14:paraId="061B1B08"/>
        </w:tc>
      </w:tr>
      <w:tr w14:paraId="25EF8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B0320E">
            <w:pPr>
              <w:jc w:val="left"/>
            </w:pPr>
            <w:r>
              <w:rPr>
                <w:rFonts w:ascii="宋体" w:hAnsi="宋体" w:eastAsia="宋体" w:cs="宋体"/>
                <w:b w:val="0"/>
                <w:i w:val="0"/>
                <w:color w:val="000000"/>
                <w:sz w:val="14"/>
              </w:rPr>
              <w:t>四、上级补助收入</w:t>
            </w:r>
          </w:p>
        </w:tc>
        <w:tc>
          <w:tcPr>
            <w:tcW w:w="460" w:type="dxa"/>
            <w:vAlign w:val="center"/>
          </w:tcPr>
          <w:p w14:paraId="262AC64B">
            <w:pPr>
              <w:jc w:val="center"/>
            </w:pPr>
            <w:r>
              <w:rPr>
                <w:rFonts w:ascii="宋体" w:hAnsi="宋体" w:eastAsia="宋体" w:cs="宋体"/>
                <w:b w:val="0"/>
                <w:i w:val="0"/>
                <w:color w:val="000000"/>
                <w:sz w:val="14"/>
              </w:rPr>
              <w:t>4</w:t>
            </w:r>
          </w:p>
        </w:tc>
        <w:tc>
          <w:tcPr>
            <w:tcW w:w="1220" w:type="dxa"/>
            <w:vAlign w:val="center"/>
          </w:tcPr>
          <w:p w14:paraId="46D0F22F"/>
        </w:tc>
        <w:tc>
          <w:tcPr>
            <w:tcW w:w="2340" w:type="dxa"/>
            <w:vAlign w:val="center"/>
          </w:tcPr>
          <w:p w14:paraId="07A0A770">
            <w:pPr>
              <w:jc w:val="left"/>
            </w:pPr>
            <w:r>
              <w:rPr>
                <w:rFonts w:ascii="宋体" w:hAnsi="宋体" w:eastAsia="宋体" w:cs="宋体"/>
                <w:b w:val="0"/>
                <w:i w:val="0"/>
                <w:color w:val="000000"/>
                <w:sz w:val="14"/>
              </w:rPr>
              <w:t>四、公共安全支出</w:t>
            </w:r>
          </w:p>
        </w:tc>
        <w:tc>
          <w:tcPr>
            <w:tcW w:w="460" w:type="dxa"/>
            <w:vAlign w:val="center"/>
          </w:tcPr>
          <w:p w14:paraId="1AB4BA54">
            <w:pPr>
              <w:jc w:val="center"/>
            </w:pPr>
            <w:r>
              <w:rPr>
                <w:rFonts w:ascii="宋体" w:hAnsi="宋体" w:eastAsia="宋体" w:cs="宋体"/>
                <w:b w:val="0"/>
                <w:i w:val="0"/>
                <w:color w:val="000000"/>
                <w:sz w:val="14"/>
              </w:rPr>
              <w:t>35</w:t>
            </w:r>
          </w:p>
        </w:tc>
        <w:tc>
          <w:tcPr>
            <w:tcW w:w="1206" w:type="dxa"/>
            <w:vAlign w:val="center"/>
          </w:tcPr>
          <w:p w14:paraId="20C668E5"/>
        </w:tc>
      </w:tr>
      <w:tr w14:paraId="4CE5B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A26A70">
            <w:pPr>
              <w:jc w:val="left"/>
            </w:pPr>
            <w:r>
              <w:rPr>
                <w:rFonts w:ascii="宋体" w:hAnsi="宋体" w:eastAsia="宋体" w:cs="宋体"/>
                <w:b w:val="0"/>
                <w:i w:val="0"/>
                <w:color w:val="000000"/>
                <w:sz w:val="14"/>
              </w:rPr>
              <w:t>五、事业收入</w:t>
            </w:r>
          </w:p>
        </w:tc>
        <w:tc>
          <w:tcPr>
            <w:tcW w:w="460" w:type="dxa"/>
            <w:vAlign w:val="center"/>
          </w:tcPr>
          <w:p w14:paraId="1BF88D80">
            <w:pPr>
              <w:jc w:val="center"/>
            </w:pPr>
            <w:r>
              <w:rPr>
                <w:rFonts w:ascii="宋体" w:hAnsi="宋体" w:eastAsia="宋体" w:cs="宋体"/>
                <w:b w:val="0"/>
                <w:i w:val="0"/>
                <w:color w:val="000000"/>
                <w:sz w:val="14"/>
              </w:rPr>
              <w:t>5</w:t>
            </w:r>
          </w:p>
        </w:tc>
        <w:tc>
          <w:tcPr>
            <w:tcW w:w="1220" w:type="dxa"/>
            <w:vAlign w:val="center"/>
          </w:tcPr>
          <w:p w14:paraId="6431284B"/>
        </w:tc>
        <w:tc>
          <w:tcPr>
            <w:tcW w:w="2340" w:type="dxa"/>
            <w:vAlign w:val="center"/>
          </w:tcPr>
          <w:p w14:paraId="5AEDFDFB">
            <w:pPr>
              <w:jc w:val="left"/>
            </w:pPr>
            <w:r>
              <w:rPr>
                <w:rFonts w:ascii="宋体" w:hAnsi="宋体" w:eastAsia="宋体" w:cs="宋体"/>
                <w:b w:val="0"/>
                <w:i w:val="0"/>
                <w:color w:val="000000"/>
                <w:sz w:val="14"/>
              </w:rPr>
              <w:t>五、教育支出</w:t>
            </w:r>
          </w:p>
        </w:tc>
        <w:tc>
          <w:tcPr>
            <w:tcW w:w="460" w:type="dxa"/>
            <w:vAlign w:val="center"/>
          </w:tcPr>
          <w:p w14:paraId="5E373D5A">
            <w:pPr>
              <w:jc w:val="center"/>
            </w:pPr>
            <w:r>
              <w:rPr>
                <w:rFonts w:ascii="宋体" w:hAnsi="宋体" w:eastAsia="宋体" w:cs="宋体"/>
                <w:b w:val="0"/>
                <w:i w:val="0"/>
                <w:color w:val="000000"/>
                <w:sz w:val="14"/>
              </w:rPr>
              <w:t>36</w:t>
            </w:r>
          </w:p>
        </w:tc>
        <w:tc>
          <w:tcPr>
            <w:tcW w:w="1206" w:type="dxa"/>
            <w:vAlign w:val="center"/>
          </w:tcPr>
          <w:p w14:paraId="6FE14399"/>
        </w:tc>
      </w:tr>
      <w:tr w14:paraId="1FF3B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F4E083">
            <w:pPr>
              <w:jc w:val="left"/>
            </w:pPr>
            <w:r>
              <w:rPr>
                <w:rFonts w:ascii="宋体" w:hAnsi="宋体" w:eastAsia="宋体" w:cs="宋体"/>
                <w:b w:val="0"/>
                <w:i w:val="0"/>
                <w:color w:val="000000"/>
                <w:sz w:val="14"/>
              </w:rPr>
              <w:t>六、经营收入</w:t>
            </w:r>
          </w:p>
        </w:tc>
        <w:tc>
          <w:tcPr>
            <w:tcW w:w="460" w:type="dxa"/>
            <w:vAlign w:val="center"/>
          </w:tcPr>
          <w:p w14:paraId="2FAA757C">
            <w:pPr>
              <w:jc w:val="center"/>
            </w:pPr>
            <w:r>
              <w:rPr>
                <w:rFonts w:ascii="宋体" w:hAnsi="宋体" w:eastAsia="宋体" w:cs="宋体"/>
                <w:b w:val="0"/>
                <w:i w:val="0"/>
                <w:color w:val="000000"/>
                <w:sz w:val="14"/>
              </w:rPr>
              <w:t>6</w:t>
            </w:r>
          </w:p>
        </w:tc>
        <w:tc>
          <w:tcPr>
            <w:tcW w:w="1220" w:type="dxa"/>
            <w:vAlign w:val="center"/>
          </w:tcPr>
          <w:p w14:paraId="24448294"/>
        </w:tc>
        <w:tc>
          <w:tcPr>
            <w:tcW w:w="2340" w:type="dxa"/>
            <w:vAlign w:val="center"/>
          </w:tcPr>
          <w:p w14:paraId="107D4BEA">
            <w:pPr>
              <w:jc w:val="left"/>
            </w:pPr>
            <w:r>
              <w:rPr>
                <w:rFonts w:ascii="宋体" w:hAnsi="宋体" w:eastAsia="宋体" w:cs="宋体"/>
                <w:b w:val="0"/>
                <w:i w:val="0"/>
                <w:color w:val="000000"/>
                <w:sz w:val="14"/>
              </w:rPr>
              <w:t>六、科学技术支出</w:t>
            </w:r>
          </w:p>
        </w:tc>
        <w:tc>
          <w:tcPr>
            <w:tcW w:w="460" w:type="dxa"/>
            <w:vAlign w:val="center"/>
          </w:tcPr>
          <w:p w14:paraId="201BC679">
            <w:pPr>
              <w:jc w:val="center"/>
            </w:pPr>
            <w:r>
              <w:rPr>
                <w:rFonts w:ascii="宋体" w:hAnsi="宋体" w:eastAsia="宋体" w:cs="宋体"/>
                <w:b w:val="0"/>
                <w:i w:val="0"/>
                <w:color w:val="000000"/>
                <w:sz w:val="14"/>
              </w:rPr>
              <w:t>37</w:t>
            </w:r>
          </w:p>
        </w:tc>
        <w:tc>
          <w:tcPr>
            <w:tcW w:w="1206" w:type="dxa"/>
            <w:vAlign w:val="center"/>
          </w:tcPr>
          <w:p w14:paraId="3C01FD86"/>
        </w:tc>
      </w:tr>
      <w:tr w14:paraId="660EF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BB437F">
            <w:pPr>
              <w:jc w:val="left"/>
            </w:pPr>
            <w:r>
              <w:rPr>
                <w:rFonts w:ascii="宋体" w:hAnsi="宋体" w:eastAsia="宋体" w:cs="宋体"/>
                <w:b w:val="0"/>
                <w:i w:val="0"/>
                <w:color w:val="000000"/>
                <w:sz w:val="14"/>
              </w:rPr>
              <w:t>七、附属单位上缴收入</w:t>
            </w:r>
          </w:p>
        </w:tc>
        <w:tc>
          <w:tcPr>
            <w:tcW w:w="460" w:type="dxa"/>
            <w:vAlign w:val="center"/>
          </w:tcPr>
          <w:p w14:paraId="4054ADE4">
            <w:pPr>
              <w:jc w:val="center"/>
            </w:pPr>
            <w:r>
              <w:rPr>
                <w:rFonts w:ascii="宋体" w:hAnsi="宋体" w:eastAsia="宋体" w:cs="宋体"/>
                <w:b w:val="0"/>
                <w:i w:val="0"/>
                <w:color w:val="000000"/>
                <w:sz w:val="14"/>
              </w:rPr>
              <w:t>7</w:t>
            </w:r>
          </w:p>
        </w:tc>
        <w:tc>
          <w:tcPr>
            <w:tcW w:w="1220" w:type="dxa"/>
            <w:vAlign w:val="center"/>
          </w:tcPr>
          <w:p w14:paraId="240557ED"/>
        </w:tc>
        <w:tc>
          <w:tcPr>
            <w:tcW w:w="2340" w:type="dxa"/>
            <w:vAlign w:val="center"/>
          </w:tcPr>
          <w:p w14:paraId="087A8519">
            <w:pPr>
              <w:jc w:val="left"/>
            </w:pPr>
            <w:r>
              <w:rPr>
                <w:rFonts w:ascii="宋体" w:hAnsi="宋体" w:eastAsia="宋体" w:cs="宋体"/>
                <w:b w:val="0"/>
                <w:i w:val="0"/>
                <w:color w:val="000000"/>
                <w:sz w:val="14"/>
              </w:rPr>
              <w:t>七、文化旅游体育与传媒支出</w:t>
            </w:r>
          </w:p>
        </w:tc>
        <w:tc>
          <w:tcPr>
            <w:tcW w:w="460" w:type="dxa"/>
            <w:vAlign w:val="center"/>
          </w:tcPr>
          <w:p w14:paraId="749F28C6">
            <w:pPr>
              <w:jc w:val="center"/>
            </w:pPr>
            <w:r>
              <w:rPr>
                <w:rFonts w:ascii="宋体" w:hAnsi="宋体" w:eastAsia="宋体" w:cs="宋体"/>
                <w:b w:val="0"/>
                <w:i w:val="0"/>
                <w:color w:val="000000"/>
                <w:sz w:val="14"/>
              </w:rPr>
              <w:t>38</w:t>
            </w:r>
          </w:p>
        </w:tc>
        <w:tc>
          <w:tcPr>
            <w:tcW w:w="1206" w:type="dxa"/>
            <w:vAlign w:val="center"/>
          </w:tcPr>
          <w:p w14:paraId="18653067"/>
        </w:tc>
      </w:tr>
      <w:tr w14:paraId="75428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65CB14">
            <w:pPr>
              <w:jc w:val="left"/>
            </w:pPr>
            <w:r>
              <w:rPr>
                <w:rFonts w:ascii="宋体" w:hAnsi="宋体" w:eastAsia="宋体" w:cs="宋体"/>
                <w:b w:val="0"/>
                <w:i w:val="0"/>
                <w:color w:val="000000"/>
                <w:sz w:val="14"/>
              </w:rPr>
              <w:t>八、其他收入</w:t>
            </w:r>
          </w:p>
        </w:tc>
        <w:tc>
          <w:tcPr>
            <w:tcW w:w="460" w:type="dxa"/>
            <w:vAlign w:val="center"/>
          </w:tcPr>
          <w:p w14:paraId="060D3702">
            <w:pPr>
              <w:jc w:val="center"/>
            </w:pPr>
            <w:r>
              <w:rPr>
                <w:rFonts w:ascii="宋体" w:hAnsi="宋体" w:eastAsia="宋体" w:cs="宋体"/>
                <w:b w:val="0"/>
                <w:i w:val="0"/>
                <w:color w:val="000000"/>
                <w:sz w:val="14"/>
              </w:rPr>
              <w:t>8</w:t>
            </w:r>
          </w:p>
        </w:tc>
        <w:tc>
          <w:tcPr>
            <w:tcW w:w="1220" w:type="dxa"/>
            <w:vAlign w:val="center"/>
          </w:tcPr>
          <w:p w14:paraId="24B324E9"/>
        </w:tc>
        <w:tc>
          <w:tcPr>
            <w:tcW w:w="2340" w:type="dxa"/>
            <w:vAlign w:val="center"/>
          </w:tcPr>
          <w:p w14:paraId="2EE6DE85">
            <w:pPr>
              <w:jc w:val="left"/>
            </w:pPr>
            <w:r>
              <w:rPr>
                <w:rFonts w:ascii="宋体" w:hAnsi="宋体" w:eastAsia="宋体" w:cs="宋体"/>
                <w:b w:val="0"/>
                <w:i w:val="0"/>
                <w:color w:val="000000"/>
                <w:sz w:val="14"/>
              </w:rPr>
              <w:t>八、社会保障和就业支出</w:t>
            </w:r>
          </w:p>
        </w:tc>
        <w:tc>
          <w:tcPr>
            <w:tcW w:w="460" w:type="dxa"/>
            <w:vAlign w:val="center"/>
          </w:tcPr>
          <w:p w14:paraId="2F1B45BD">
            <w:pPr>
              <w:jc w:val="center"/>
            </w:pPr>
            <w:r>
              <w:rPr>
                <w:rFonts w:ascii="宋体" w:hAnsi="宋体" w:eastAsia="宋体" w:cs="宋体"/>
                <w:b w:val="0"/>
                <w:i w:val="0"/>
                <w:color w:val="000000"/>
                <w:sz w:val="14"/>
              </w:rPr>
              <w:t>39</w:t>
            </w:r>
          </w:p>
        </w:tc>
        <w:tc>
          <w:tcPr>
            <w:tcW w:w="1206" w:type="dxa"/>
            <w:vAlign w:val="center"/>
          </w:tcPr>
          <w:p w14:paraId="5942F337">
            <w:pPr>
              <w:jc w:val="right"/>
            </w:pPr>
            <w:r>
              <w:rPr>
                <w:rFonts w:ascii="宋体" w:hAnsi="宋体" w:eastAsia="宋体" w:cs="宋体"/>
                <w:b w:val="0"/>
                <w:i w:val="0"/>
                <w:color w:val="000000"/>
                <w:sz w:val="14"/>
              </w:rPr>
              <w:t>198.25</w:t>
            </w:r>
          </w:p>
        </w:tc>
      </w:tr>
      <w:tr w14:paraId="7C9F3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75983A"/>
        </w:tc>
        <w:tc>
          <w:tcPr>
            <w:tcW w:w="460" w:type="dxa"/>
            <w:vAlign w:val="center"/>
          </w:tcPr>
          <w:p w14:paraId="62C4712A">
            <w:pPr>
              <w:jc w:val="center"/>
            </w:pPr>
            <w:r>
              <w:rPr>
                <w:rFonts w:ascii="宋体" w:hAnsi="宋体" w:eastAsia="宋体" w:cs="宋体"/>
                <w:b w:val="0"/>
                <w:i w:val="0"/>
                <w:color w:val="000000"/>
                <w:sz w:val="14"/>
              </w:rPr>
              <w:t>9</w:t>
            </w:r>
          </w:p>
        </w:tc>
        <w:tc>
          <w:tcPr>
            <w:tcW w:w="1220" w:type="dxa"/>
            <w:vAlign w:val="center"/>
          </w:tcPr>
          <w:p w14:paraId="52C87459"/>
        </w:tc>
        <w:tc>
          <w:tcPr>
            <w:tcW w:w="2340" w:type="dxa"/>
            <w:vAlign w:val="center"/>
          </w:tcPr>
          <w:p w14:paraId="47AE53AD">
            <w:pPr>
              <w:jc w:val="left"/>
            </w:pPr>
            <w:r>
              <w:rPr>
                <w:rFonts w:ascii="宋体" w:hAnsi="宋体" w:eastAsia="宋体" w:cs="宋体"/>
                <w:b w:val="0"/>
                <w:i w:val="0"/>
                <w:color w:val="000000"/>
                <w:sz w:val="14"/>
              </w:rPr>
              <w:t>九、卫生健康支出</w:t>
            </w:r>
          </w:p>
        </w:tc>
        <w:tc>
          <w:tcPr>
            <w:tcW w:w="460" w:type="dxa"/>
            <w:vAlign w:val="center"/>
          </w:tcPr>
          <w:p w14:paraId="6CF8E47A">
            <w:pPr>
              <w:jc w:val="center"/>
            </w:pPr>
            <w:r>
              <w:rPr>
                <w:rFonts w:ascii="宋体" w:hAnsi="宋体" w:eastAsia="宋体" w:cs="宋体"/>
                <w:b w:val="0"/>
                <w:i w:val="0"/>
                <w:color w:val="000000"/>
                <w:sz w:val="14"/>
              </w:rPr>
              <w:t>40</w:t>
            </w:r>
          </w:p>
        </w:tc>
        <w:tc>
          <w:tcPr>
            <w:tcW w:w="1206" w:type="dxa"/>
            <w:vAlign w:val="center"/>
          </w:tcPr>
          <w:p w14:paraId="2601D720">
            <w:pPr>
              <w:jc w:val="right"/>
            </w:pPr>
            <w:r>
              <w:rPr>
                <w:rFonts w:ascii="宋体" w:hAnsi="宋体" w:eastAsia="宋体" w:cs="宋体"/>
                <w:b w:val="0"/>
                <w:i w:val="0"/>
                <w:color w:val="000000"/>
                <w:sz w:val="14"/>
              </w:rPr>
              <w:t>40.82</w:t>
            </w:r>
          </w:p>
        </w:tc>
      </w:tr>
      <w:tr w14:paraId="79809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343626"/>
        </w:tc>
        <w:tc>
          <w:tcPr>
            <w:tcW w:w="460" w:type="dxa"/>
            <w:vAlign w:val="center"/>
          </w:tcPr>
          <w:p w14:paraId="77E65EFF">
            <w:pPr>
              <w:jc w:val="center"/>
            </w:pPr>
            <w:r>
              <w:rPr>
                <w:rFonts w:ascii="宋体" w:hAnsi="宋体" w:eastAsia="宋体" w:cs="宋体"/>
                <w:b w:val="0"/>
                <w:i w:val="0"/>
                <w:color w:val="000000"/>
                <w:sz w:val="14"/>
              </w:rPr>
              <w:t>10</w:t>
            </w:r>
          </w:p>
        </w:tc>
        <w:tc>
          <w:tcPr>
            <w:tcW w:w="1220" w:type="dxa"/>
            <w:vAlign w:val="center"/>
          </w:tcPr>
          <w:p w14:paraId="729D2617"/>
        </w:tc>
        <w:tc>
          <w:tcPr>
            <w:tcW w:w="2340" w:type="dxa"/>
            <w:vAlign w:val="center"/>
          </w:tcPr>
          <w:p w14:paraId="2BA94C2D">
            <w:pPr>
              <w:jc w:val="left"/>
            </w:pPr>
            <w:r>
              <w:rPr>
                <w:rFonts w:ascii="宋体" w:hAnsi="宋体" w:eastAsia="宋体" w:cs="宋体"/>
                <w:b w:val="0"/>
                <w:i w:val="0"/>
                <w:color w:val="000000"/>
                <w:sz w:val="14"/>
              </w:rPr>
              <w:t>十、节能环保支出</w:t>
            </w:r>
          </w:p>
        </w:tc>
        <w:tc>
          <w:tcPr>
            <w:tcW w:w="460" w:type="dxa"/>
            <w:vAlign w:val="center"/>
          </w:tcPr>
          <w:p w14:paraId="2731EB73">
            <w:pPr>
              <w:jc w:val="center"/>
            </w:pPr>
            <w:r>
              <w:rPr>
                <w:rFonts w:ascii="宋体" w:hAnsi="宋体" w:eastAsia="宋体" w:cs="宋体"/>
                <w:b w:val="0"/>
                <w:i w:val="0"/>
                <w:color w:val="000000"/>
                <w:sz w:val="14"/>
              </w:rPr>
              <w:t>41</w:t>
            </w:r>
          </w:p>
        </w:tc>
        <w:tc>
          <w:tcPr>
            <w:tcW w:w="1206" w:type="dxa"/>
            <w:vAlign w:val="center"/>
          </w:tcPr>
          <w:p w14:paraId="409FA28E"/>
        </w:tc>
      </w:tr>
      <w:tr w14:paraId="73108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1305E8"/>
        </w:tc>
        <w:tc>
          <w:tcPr>
            <w:tcW w:w="460" w:type="dxa"/>
            <w:vAlign w:val="center"/>
          </w:tcPr>
          <w:p w14:paraId="4499FD20">
            <w:pPr>
              <w:jc w:val="center"/>
            </w:pPr>
            <w:r>
              <w:rPr>
                <w:rFonts w:ascii="宋体" w:hAnsi="宋体" w:eastAsia="宋体" w:cs="宋体"/>
                <w:b w:val="0"/>
                <w:i w:val="0"/>
                <w:color w:val="000000"/>
                <w:sz w:val="14"/>
              </w:rPr>
              <w:t>11</w:t>
            </w:r>
          </w:p>
        </w:tc>
        <w:tc>
          <w:tcPr>
            <w:tcW w:w="1220" w:type="dxa"/>
            <w:vAlign w:val="center"/>
          </w:tcPr>
          <w:p w14:paraId="03CBD993"/>
        </w:tc>
        <w:tc>
          <w:tcPr>
            <w:tcW w:w="2340" w:type="dxa"/>
            <w:vAlign w:val="center"/>
          </w:tcPr>
          <w:p w14:paraId="58EA6B32">
            <w:pPr>
              <w:jc w:val="left"/>
            </w:pPr>
            <w:r>
              <w:rPr>
                <w:rFonts w:ascii="宋体" w:hAnsi="宋体" w:eastAsia="宋体" w:cs="宋体"/>
                <w:b w:val="0"/>
                <w:i w:val="0"/>
                <w:color w:val="000000"/>
                <w:sz w:val="14"/>
              </w:rPr>
              <w:t>十一、城乡社区支出</w:t>
            </w:r>
          </w:p>
        </w:tc>
        <w:tc>
          <w:tcPr>
            <w:tcW w:w="460" w:type="dxa"/>
            <w:vAlign w:val="center"/>
          </w:tcPr>
          <w:p w14:paraId="1275458F">
            <w:pPr>
              <w:jc w:val="center"/>
            </w:pPr>
            <w:r>
              <w:rPr>
                <w:rFonts w:ascii="宋体" w:hAnsi="宋体" w:eastAsia="宋体" w:cs="宋体"/>
                <w:b w:val="0"/>
                <w:i w:val="0"/>
                <w:color w:val="000000"/>
                <w:sz w:val="14"/>
              </w:rPr>
              <w:t>42</w:t>
            </w:r>
          </w:p>
        </w:tc>
        <w:tc>
          <w:tcPr>
            <w:tcW w:w="1206" w:type="dxa"/>
            <w:vAlign w:val="center"/>
          </w:tcPr>
          <w:p w14:paraId="44B90452">
            <w:pPr>
              <w:jc w:val="right"/>
            </w:pPr>
            <w:r>
              <w:rPr>
                <w:rFonts w:ascii="宋体" w:hAnsi="宋体" w:eastAsia="宋体" w:cs="宋体"/>
                <w:b w:val="0"/>
                <w:i w:val="0"/>
                <w:color w:val="000000"/>
                <w:sz w:val="14"/>
              </w:rPr>
              <w:t>7.01</w:t>
            </w:r>
          </w:p>
        </w:tc>
      </w:tr>
      <w:tr w14:paraId="1247E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248AE7"/>
        </w:tc>
        <w:tc>
          <w:tcPr>
            <w:tcW w:w="460" w:type="dxa"/>
            <w:vAlign w:val="center"/>
          </w:tcPr>
          <w:p w14:paraId="76F626F7">
            <w:pPr>
              <w:jc w:val="center"/>
            </w:pPr>
            <w:r>
              <w:rPr>
                <w:rFonts w:ascii="宋体" w:hAnsi="宋体" w:eastAsia="宋体" w:cs="宋体"/>
                <w:b w:val="0"/>
                <w:i w:val="0"/>
                <w:color w:val="000000"/>
                <w:sz w:val="14"/>
              </w:rPr>
              <w:t>12</w:t>
            </w:r>
          </w:p>
        </w:tc>
        <w:tc>
          <w:tcPr>
            <w:tcW w:w="1220" w:type="dxa"/>
            <w:vAlign w:val="center"/>
          </w:tcPr>
          <w:p w14:paraId="59AF4507"/>
        </w:tc>
        <w:tc>
          <w:tcPr>
            <w:tcW w:w="2340" w:type="dxa"/>
            <w:vAlign w:val="center"/>
          </w:tcPr>
          <w:p w14:paraId="23514DC1">
            <w:pPr>
              <w:jc w:val="left"/>
            </w:pPr>
            <w:r>
              <w:rPr>
                <w:rFonts w:ascii="宋体" w:hAnsi="宋体" w:eastAsia="宋体" w:cs="宋体"/>
                <w:b w:val="0"/>
                <w:i w:val="0"/>
                <w:color w:val="000000"/>
                <w:sz w:val="14"/>
              </w:rPr>
              <w:t>十二、农林水支出</w:t>
            </w:r>
          </w:p>
        </w:tc>
        <w:tc>
          <w:tcPr>
            <w:tcW w:w="460" w:type="dxa"/>
            <w:vAlign w:val="center"/>
          </w:tcPr>
          <w:p w14:paraId="7FF68B84">
            <w:pPr>
              <w:jc w:val="center"/>
            </w:pPr>
            <w:r>
              <w:rPr>
                <w:rFonts w:ascii="宋体" w:hAnsi="宋体" w:eastAsia="宋体" w:cs="宋体"/>
                <w:b w:val="0"/>
                <w:i w:val="0"/>
                <w:color w:val="000000"/>
                <w:sz w:val="14"/>
              </w:rPr>
              <w:t>43</w:t>
            </w:r>
          </w:p>
        </w:tc>
        <w:tc>
          <w:tcPr>
            <w:tcW w:w="1206" w:type="dxa"/>
            <w:vAlign w:val="center"/>
          </w:tcPr>
          <w:p w14:paraId="3BA1AC79"/>
        </w:tc>
      </w:tr>
      <w:tr w14:paraId="2C723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A4CDFA"/>
        </w:tc>
        <w:tc>
          <w:tcPr>
            <w:tcW w:w="460" w:type="dxa"/>
            <w:vAlign w:val="center"/>
          </w:tcPr>
          <w:p w14:paraId="2122821A">
            <w:pPr>
              <w:jc w:val="center"/>
            </w:pPr>
            <w:r>
              <w:rPr>
                <w:rFonts w:ascii="宋体" w:hAnsi="宋体" w:eastAsia="宋体" w:cs="宋体"/>
                <w:b w:val="0"/>
                <w:i w:val="0"/>
                <w:color w:val="000000"/>
                <w:sz w:val="14"/>
              </w:rPr>
              <w:t>13</w:t>
            </w:r>
          </w:p>
        </w:tc>
        <w:tc>
          <w:tcPr>
            <w:tcW w:w="1220" w:type="dxa"/>
            <w:vAlign w:val="center"/>
          </w:tcPr>
          <w:p w14:paraId="174C6F16"/>
        </w:tc>
        <w:tc>
          <w:tcPr>
            <w:tcW w:w="2340" w:type="dxa"/>
            <w:vAlign w:val="center"/>
          </w:tcPr>
          <w:p w14:paraId="1400AC05">
            <w:pPr>
              <w:jc w:val="left"/>
            </w:pPr>
            <w:r>
              <w:rPr>
                <w:rFonts w:ascii="宋体" w:hAnsi="宋体" w:eastAsia="宋体" w:cs="宋体"/>
                <w:b w:val="0"/>
                <w:i w:val="0"/>
                <w:color w:val="000000"/>
                <w:sz w:val="14"/>
              </w:rPr>
              <w:t>十三、交通运输支出</w:t>
            </w:r>
          </w:p>
        </w:tc>
        <w:tc>
          <w:tcPr>
            <w:tcW w:w="460" w:type="dxa"/>
            <w:vAlign w:val="center"/>
          </w:tcPr>
          <w:p w14:paraId="631A4685">
            <w:pPr>
              <w:jc w:val="center"/>
            </w:pPr>
            <w:r>
              <w:rPr>
                <w:rFonts w:ascii="宋体" w:hAnsi="宋体" w:eastAsia="宋体" w:cs="宋体"/>
                <w:b w:val="0"/>
                <w:i w:val="0"/>
                <w:color w:val="000000"/>
                <w:sz w:val="14"/>
              </w:rPr>
              <w:t>44</w:t>
            </w:r>
          </w:p>
        </w:tc>
        <w:tc>
          <w:tcPr>
            <w:tcW w:w="1206" w:type="dxa"/>
            <w:vAlign w:val="center"/>
          </w:tcPr>
          <w:p w14:paraId="58AC765A"/>
        </w:tc>
      </w:tr>
      <w:tr w14:paraId="68F45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3DFD94"/>
        </w:tc>
        <w:tc>
          <w:tcPr>
            <w:tcW w:w="460" w:type="dxa"/>
            <w:vAlign w:val="center"/>
          </w:tcPr>
          <w:p w14:paraId="01A858E7">
            <w:pPr>
              <w:jc w:val="center"/>
            </w:pPr>
            <w:r>
              <w:rPr>
                <w:rFonts w:ascii="宋体" w:hAnsi="宋体" w:eastAsia="宋体" w:cs="宋体"/>
                <w:b w:val="0"/>
                <w:i w:val="0"/>
                <w:color w:val="000000"/>
                <w:sz w:val="14"/>
              </w:rPr>
              <w:t>14</w:t>
            </w:r>
          </w:p>
        </w:tc>
        <w:tc>
          <w:tcPr>
            <w:tcW w:w="1220" w:type="dxa"/>
            <w:vAlign w:val="center"/>
          </w:tcPr>
          <w:p w14:paraId="1D8E889F"/>
        </w:tc>
        <w:tc>
          <w:tcPr>
            <w:tcW w:w="2340" w:type="dxa"/>
            <w:vAlign w:val="center"/>
          </w:tcPr>
          <w:p w14:paraId="78EB5548">
            <w:pPr>
              <w:jc w:val="left"/>
            </w:pPr>
            <w:r>
              <w:rPr>
                <w:rFonts w:ascii="宋体" w:hAnsi="宋体" w:eastAsia="宋体" w:cs="宋体"/>
                <w:b w:val="0"/>
                <w:i w:val="0"/>
                <w:color w:val="000000"/>
                <w:sz w:val="14"/>
              </w:rPr>
              <w:t>十四、资源勘探工业信息等支出</w:t>
            </w:r>
          </w:p>
        </w:tc>
        <w:tc>
          <w:tcPr>
            <w:tcW w:w="460" w:type="dxa"/>
            <w:vAlign w:val="center"/>
          </w:tcPr>
          <w:p w14:paraId="6CC37784">
            <w:pPr>
              <w:jc w:val="center"/>
            </w:pPr>
            <w:r>
              <w:rPr>
                <w:rFonts w:ascii="宋体" w:hAnsi="宋体" w:eastAsia="宋体" w:cs="宋体"/>
                <w:b w:val="0"/>
                <w:i w:val="0"/>
                <w:color w:val="000000"/>
                <w:sz w:val="14"/>
              </w:rPr>
              <w:t>45</w:t>
            </w:r>
          </w:p>
        </w:tc>
        <w:tc>
          <w:tcPr>
            <w:tcW w:w="1206" w:type="dxa"/>
            <w:vAlign w:val="center"/>
          </w:tcPr>
          <w:p w14:paraId="628B31C5"/>
        </w:tc>
      </w:tr>
      <w:tr w14:paraId="48C1A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C6C4FF"/>
        </w:tc>
        <w:tc>
          <w:tcPr>
            <w:tcW w:w="460" w:type="dxa"/>
            <w:vAlign w:val="center"/>
          </w:tcPr>
          <w:p w14:paraId="152BEED8">
            <w:pPr>
              <w:jc w:val="center"/>
            </w:pPr>
            <w:r>
              <w:rPr>
                <w:rFonts w:ascii="宋体" w:hAnsi="宋体" w:eastAsia="宋体" w:cs="宋体"/>
                <w:b w:val="0"/>
                <w:i w:val="0"/>
                <w:color w:val="000000"/>
                <w:sz w:val="14"/>
              </w:rPr>
              <w:t>15</w:t>
            </w:r>
          </w:p>
        </w:tc>
        <w:tc>
          <w:tcPr>
            <w:tcW w:w="1220" w:type="dxa"/>
            <w:vAlign w:val="center"/>
          </w:tcPr>
          <w:p w14:paraId="4CE4B4D2"/>
        </w:tc>
        <w:tc>
          <w:tcPr>
            <w:tcW w:w="2340" w:type="dxa"/>
            <w:vAlign w:val="center"/>
          </w:tcPr>
          <w:p w14:paraId="7A951975">
            <w:pPr>
              <w:jc w:val="left"/>
            </w:pPr>
            <w:r>
              <w:rPr>
                <w:rFonts w:ascii="宋体" w:hAnsi="宋体" w:eastAsia="宋体" w:cs="宋体"/>
                <w:b w:val="0"/>
                <w:i w:val="0"/>
                <w:color w:val="000000"/>
                <w:sz w:val="14"/>
              </w:rPr>
              <w:t>十五、商业服务业等支出</w:t>
            </w:r>
          </w:p>
        </w:tc>
        <w:tc>
          <w:tcPr>
            <w:tcW w:w="460" w:type="dxa"/>
            <w:vAlign w:val="center"/>
          </w:tcPr>
          <w:p w14:paraId="29B79AC4">
            <w:pPr>
              <w:jc w:val="center"/>
            </w:pPr>
            <w:r>
              <w:rPr>
                <w:rFonts w:ascii="宋体" w:hAnsi="宋体" w:eastAsia="宋体" w:cs="宋体"/>
                <w:b w:val="0"/>
                <w:i w:val="0"/>
                <w:color w:val="000000"/>
                <w:sz w:val="14"/>
              </w:rPr>
              <w:t>46</w:t>
            </w:r>
          </w:p>
        </w:tc>
        <w:tc>
          <w:tcPr>
            <w:tcW w:w="1206" w:type="dxa"/>
            <w:vAlign w:val="center"/>
          </w:tcPr>
          <w:p w14:paraId="6D0B20A0"/>
        </w:tc>
      </w:tr>
      <w:tr w14:paraId="598BF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3CC62E"/>
        </w:tc>
        <w:tc>
          <w:tcPr>
            <w:tcW w:w="460" w:type="dxa"/>
            <w:vAlign w:val="center"/>
          </w:tcPr>
          <w:p w14:paraId="60E96211">
            <w:pPr>
              <w:jc w:val="center"/>
            </w:pPr>
            <w:r>
              <w:rPr>
                <w:rFonts w:ascii="宋体" w:hAnsi="宋体" w:eastAsia="宋体" w:cs="宋体"/>
                <w:b w:val="0"/>
                <w:i w:val="0"/>
                <w:color w:val="000000"/>
                <w:sz w:val="14"/>
              </w:rPr>
              <w:t>16</w:t>
            </w:r>
          </w:p>
        </w:tc>
        <w:tc>
          <w:tcPr>
            <w:tcW w:w="1220" w:type="dxa"/>
            <w:vAlign w:val="center"/>
          </w:tcPr>
          <w:p w14:paraId="242FFEBC"/>
        </w:tc>
        <w:tc>
          <w:tcPr>
            <w:tcW w:w="2340" w:type="dxa"/>
            <w:vAlign w:val="center"/>
          </w:tcPr>
          <w:p w14:paraId="0C99BA98">
            <w:pPr>
              <w:jc w:val="left"/>
            </w:pPr>
            <w:r>
              <w:rPr>
                <w:rFonts w:ascii="宋体" w:hAnsi="宋体" w:eastAsia="宋体" w:cs="宋体"/>
                <w:b w:val="0"/>
                <w:i w:val="0"/>
                <w:color w:val="000000"/>
                <w:sz w:val="14"/>
              </w:rPr>
              <w:t>十六、金融支出</w:t>
            </w:r>
          </w:p>
        </w:tc>
        <w:tc>
          <w:tcPr>
            <w:tcW w:w="460" w:type="dxa"/>
            <w:vAlign w:val="center"/>
          </w:tcPr>
          <w:p w14:paraId="0412F22B">
            <w:pPr>
              <w:jc w:val="center"/>
            </w:pPr>
            <w:r>
              <w:rPr>
                <w:rFonts w:ascii="宋体" w:hAnsi="宋体" w:eastAsia="宋体" w:cs="宋体"/>
                <w:b w:val="0"/>
                <w:i w:val="0"/>
                <w:color w:val="000000"/>
                <w:sz w:val="14"/>
              </w:rPr>
              <w:t>47</w:t>
            </w:r>
          </w:p>
        </w:tc>
        <w:tc>
          <w:tcPr>
            <w:tcW w:w="1206" w:type="dxa"/>
            <w:vAlign w:val="center"/>
          </w:tcPr>
          <w:p w14:paraId="09DC5CF1"/>
        </w:tc>
      </w:tr>
      <w:tr w14:paraId="5F0E1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8E5752"/>
        </w:tc>
        <w:tc>
          <w:tcPr>
            <w:tcW w:w="460" w:type="dxa"/>
            <w:vAlign w:val="center"/>
          </w:tcPr>
          <w:p w14:paraId="04C02978">
            <w:pPr>
              <w:jc w:val="center"/>
            </w:pPr>
            <w:r>
              <w:rPr>
                <w:rFonts w:ascii="宋体" w:hAnsi="宋体" w:eastAsia="宋体" w:cs="宋体"/>
                <w:b w:val="0"/>
                <w:i w:val="0"/>
                <w:color w:val="000000"/>
                <w:sz w:val="14"/>
              </w:rPr>
              <w:t>17</w:t>
            </w:r>
          </w:p>
        </w:tc>
        <w:tc>
          <w:tcPr>
            <w:tcW w:w="1220" w:type="dxa"/>
            <w:vAlign w:val="center"/>
          </w:tcPr>
          <w:p w14:paraId="1699054C"/>
        </w:tc>
        <w:tc>
          <w:tcPr>
            <w:tcW w:w="2340" w:type="dxa"/>
            <w:vAlign w:val="center"/>
          </w:tcPr>
          <w:p w14:paraId="42EDEB09">
            <w:pPr>
              <w:jc w:val="left"/>
            </w:pPr>
            <w:r>
              <w:rPr>
                <w:rFonts w:ascii="宋体" w:hAnsi="宋体" w:eastAsia="宋体" w:cs="宋体"/>
                <w:b w:val="0"/>
                <w:i w:val="0"/>
                <w:color w:val="000000"/>
                <w:sz w:val="14"/>
              </w:rPr>
              <w:t>十七、援助其他地区支出</w:t>
            </w:r>
          </w:p>
        </w:tc>
        <w:tc>
          <w:tcPr>
            <w:tcW w:w="460" w:type="dxa"/>
            <w:vAlign w:val="center"/>
          </w:tcPr>
          <w:p w14:paraId="5267DB05">
            <w:pPr>
              <w:jc w:val="center"/>
            </w:pPr>
            <w:r>
              <w:rPr>
                <w:rFonts w:ascii="宋体" w:hAnsi="宋体" w:eastAsia="宋体" w:cs="宋体"/>
                <w:b w:val="0"/>
                <w:i w:val="0"/>
                <w:color w:val="000000"/>
                <w:sz w:val="14"/>
              </w:rPr>
              <w:t>48</w:t>
            </w:r>
          </w:p>
        </w:tc>
        <w:tc>
          <w:tcPr>
            <w:tcW w:w="1206" w:type="dxa"/>
            <w:vAlign w:val="center"/>
          </w:tcPr>
          <w:p w14:paraId="440BAB31"/>
        </w:tc>
      </w:tr>
      <w:tr w14:paraId="61057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6A49A5"/>
        </w:tc>
        <w:tc>
          <w:tcPr>
            <w:tcW w:w="460" w:type="dxa"/>
            <w:vAlign w:val="center"/>
          </w:tcPr>
          <w:p w14:paraId="31BD5350">
            <w:pPr>
              <w:jc w:val="center"/>
            </w:pPr>
            <w:r>
              <w:rPr>
                <w:rFonts w:ascii="宋体" w:hAnsi="宋体" w:eastAsia="宋体" w:cs="宋体"/>
                <w:b w:val="0"/>
                <w:i w:val="0"/>
                <w:color w:val="000000"/>
                <w:sz w:val="14"/>
              </w:rPr>
              <w:t>18</w:t>
            </w:r>
          </w:p>
        </w:tc>
        <w:tc>
          <w:tcPr>
            <w:tcW w:w="1220" w:type="dxa"/>
            <w:vAlign w:val="center"/>
          </w:tcPr>
          <w:p w14:paraId="32067803"/>
        </w:tc>
        <w:tc>
          <w:tcPr>
            <w:tcW w:w="2340" w:type="dxa"/>
            <w:vAlign w:val="center"/>
          </w:tcPr>
          <w:p w14:paraId="197E9E09">
            <w:pPr>
              <w:jc w:val="left"/>
            </w:pPr>
            <w:r>
              <w:rPr>
                <w:rFonts w:ascii="宋体" w:hAnsi="宋体" w:eastAsia="宋体" w:cs="宋体"/>
                <w:b w:val="0"/>
                <w:i w:val="0"/>
                <w:color w:val="000000"/>
                <w:sz w:val="14"/>
              </w:rPr>
              <w:t>十八、自然资源海洋气象等支出</w:t>
            </w:r>
          </w:p>
        </w:tc>
        <w:tc>
          <w:tcPr>
            <w:tcW w:w="460" w:type="dxa"/>
            <w:vAlign w:val="center"/>
          </w:tcPr>
          <w:p w14:paraId="63CC0722">
            <w:pPr>
              <w:jc w:val="center"/>
            </w:pPr>
            <w:r>
              <w:rPr>
                <w:rFonts w:ascii="宋体" w:hAnsi="宋体" w:eastAsia="宋体" w:cs="宋体"/>
                <w:b w:val="0"/>
                <w:i w:val="0"/>
                <w:color w:val="000000"/>
                <w:sz w:val="14"/>
              </w:rPr>
              <w:t>49</w:t>
            </w:r>
          </w:p>
        </w:tc>
        <w:tc>
          <w:tcPr>
            <w:tcW w:w="1206" w:type="dxa"/>
            <w:vAlign w:val="center"/>
          </w:tcPr>
          <w:p w14:paraId="48557C28"/>
        </w:tc>
      </w:tr>
      <w:tr w14:paraId="4D847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7E4C41"/>
        </w:tc>
        <w:tc>
          <w:tcPr>
            <w:tcW w:w="460" w:type="dxa"/>
            <w:vAlign w:val="center"/>
          </w:tcPr>
          <w:p w14:paraId="087816F7">
            <w:pPr>
              <w:jc w:val="center"/>
            </w:pPr>
            <w:r>
              <w:rPr>
                <w:rFonts w:ascii="宋体" w:hAnsi="宋体" w:eastAsia="宋体" w:cs="宋体"/>
                <w:b w:val="0"/>
                <w:i w:val="0"/>
                <w:color w:val="000000"/>
                <w:sz w:val="14"/>
              </w:rPr>
              <w:t>19</w:t>
            </w:r>
          </w:p>
        </w:tc>
        <w:tc>
          <w:tcPr>
            <w:tcW w:w="1220" w:type="dxa"/>
            <w:vAlign w:val="center"/>
          </w:tcPr>
          <w:p w14:paraId="0F7283EA"/>
        </w:tc>
        <w:tc>
          <w:tcPr>
            <w:tcW w:w="2340" w:type="dxa"/>
            <w:vAlign w:val="center"/>
          </w:tcPr>
          <w:p w14:paraId="1CEC3BDC">
            <w:pPr>
              <w:jc w:val="left"/>
            </w:pPr>
            <w:r>
              <w:rPr>
                <w:rFonts w:ascii="宋体" w:hAnsi="宋体" w:eastAsia="宋体" w:cs="宋体"/>
                <w:b w:val="0"/>
                <w:i w:val="0"/>
                <w:color w:val="000000"/>
                <w:sz w:val="14"/>
              </w:rPr>
              <w:t>十九、住房保障支出</w:t>
            </w:r>
          </w:p>
        </w:tc>
        <w:tc>
          <w:tcPr>
            <w:tcW w:w="460" w:type="dxa"/>
            <w:vAlign w:val="center"/>
          </w:tcPr>
          <w:p w14:paraId="73B06A74">
            <w:pPr>
              <w:jc w:val="center"/>
            </w:pPr>
            <w:r>
              <w:rPr>
                <w:rFonts w:ascii="宋体" w:hAnsi="宋体" w:eastAsia="宋体" w:cs="宋体"/>
                <w:b w:val="0"/>
                <w:i w:val="0"/>
                <w:color w:val="000000"/>
                <w:sz w:val="14"/>
              </w:rPr>
              <w:t>50</w:t>
            </w:r>
          </w:p>
        </w:tc>
        <w:tc>
          <w:tcPr>
            <w:tcW w:w="1206" w:type="dxa"/>
            <w:vAlign w:val="center"/>
          </w:tcPr>
          <w:p w14:paraId="7800FBA5">
            <w:pPr>
              <w:jc w:val="right"/>
            </w:pPr>
            <w:r>
              <w:rPr>
                <w:rFonts w:ascii="宋体" w:hAnsi="宋体" w:eastAsia="宋体" w:cs="宋体"/>
                <w:b w:val="0"/>
                <w:i w:val="0"/>
                <w:color w:val="000000"/>
                <w:sz w:val="14"/>
              </w:rPr>
              <w:t>109.57</w:t>
            </w:r>
          </w:p>
        </w:tc>
      </w:tr>
      <w:tr w14:paraId="6FC5F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4A659A"/>
        </w:tc>
        <w:tc>
          <w:tcPr>
            <w:tcW w:w="460" w:type="dxa"/>
            <w:vAlign w:val="center"/>
          </w:tcPr>
          <w:p w14:paraId="493D1F5D">
            <w:pPr>
              <w:jc w:val="center"/>
            </w:pPr>
            <w:r>
              <w:rPr>
                <w:rFonts w:ascii="宋体" w:hAnsi="宋体" w:eastAsia="宋体" w:cs="宋体"/>
                <w:b w:val="0"/>
                <w:i w:val="0"/>
                <w:color w:val="000000"/>
                <w:sz w:val="14"/>
              </w:rPr>
              <w:t>20</w:t>
            </w:r>
          </w:p>
        </w:tc>
        <w:tc>
          <w:tcPr>
            <w:tcW w:w="1220" w:type="dxa"/>
            <w:vAlign w:val="center"/>
          </w:tcPr>
          <w:p w14:paraId="6C44494E"/>
        </w:tc>
        <w:tc>
          <w:tcPr>
            <w:tcW w:w="2340" w:type="dxa"/>
            <w:vAlign w:val="center"/>
          </w:tcPr>
          <w:p w14:paraId="5D59B0F2">
            <w:pPr>
              <w:jc w:val="left"/>
            </w:pPr>
            <w:r>
              <w:rPr>
                <w:rFonts w:ascii="宋体" w:hAnsi="宋体" w:eastAsia="宋体" w:cs="宋体"/>
                <w:b w:val="0"/>
                <w:i w:val="0"/>
                <w:color w:val="000000"/>
                <w:sz w:val="14"/>
              </w:rPr>
              <w:t>二十、粮油物资储备支出</w:t>
            </w:r>
          </w:p>
        </w:tc>
        <w:tc>
          <w:tcPr>
            <w:tcW w:w="460" w:type="dxa"/>
            <w:vAlign w:val="center"/>
          </w:tcPr>
          <w:p w14:paraId="5CEFDEF3">
            <w:pPr>
              <w:jc w:val="center"/>
            </w:pPr>
            <w:r>
              <w:rPr>
                <w:rFonts w:ascii="宋体" w:hAnsi="宋体" w:eastAsia="宋体" w:cs="宋体"/>
                <w:b w:val="0"/>
                <w:i w:val="0"/>
                <w:color w:val="000000"/>
                <w:sz w:val="14"/>
              </w:rPr>
              <w:t>51</w:t>
            </w:r>
          </w:p>
        </w:tc>
        <w:tc>
          <w:tcPr>
            <w:tcW w:w="1206" w:type="dxa"/>
            <w:vAlign w:val="center"/>
          </w:tcPr>
          <w:p w14:paraId="7749B585"/>
        </w:tc>
      </w:tr>
      <w:tr w14:paraId="2097A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46F4DB"/>
        </w:tc>
        <w:tc>
          <w:tcPr>
            <w:tcW w:w="460" w:type="dxa"/>
            <w:vAlign w:val="center"/>
          </w:tcPr>
          <w:p w14:paraId="6CA24EE5">
            <w:pPr>
              <w:jc w:val="center"/>
            </w:pPr>
            <w:r>
              <w:rPr>
                <w:rFonts w:ascii="宋体" w:hAnsi="宋体" w:eastAsia="宋体" w:cs="宋体"/>
                <w:b w:val="0"/>
                <w:i w:val="0"/>
                <w:color w:val="000000"/>
                <w:sz w:val="14"/>
              </w:rPr>
              <w:t>21</w:t>
            </w:r>
          </w:p>
        </w:tc>
        <w:tc>
          <w:tcPr>
            <w:tcW w:w="1220" w:type="dxa"/>
            <w:vAlign w:val="center"/>
          </w:tcPr>
          <w:p w14:paraId="24A2CE14"/>
        </w:tc>
        <w:tc>
          <w:tcPr>
            <w:tcW w:w="2340" w:type="dxa"/>
            <w:vAlign w:val="center"/>
          </w:tcPr>
          <w:p w14:paraId="6478DD9D">
            <w:pPr>
              <w:jc w:val="left"/>
            </w:pPr>
            <w:r>
              <w:rPr>
                <w:rFonts w:ascii="宋体" w:hAnsi="宋体" w:eastAsia="宋体" w:cs="宋体"/>
                <w:b w:val="0"/>
                <w:i w:val="0"/>
                <w:color w:val="000000"/>
                <w:sz w:val="14"/>
              </w:rPr>
              <w:t>二十一、国有资本经营预算支出</w:t>
            </w:r>
          </w:p>
        </w:tc>
        <w:tc>
          <w:tcPr>
            <w:tcW w:w="460" w:type="dxa"/>
            <w:vAlign w:val="center"/>
          </w:tcPr>
          <w:p w14:paraId="3B360650">
            <w:pPr>
              <w:jc w:val="center"/>
            </w:pPr>
            <w:r>
              <w:rPr>
                <w:rFonts w:ascii="宋体" w:hAnsi="宋体" w:eastAsia="宋体" w:cs="宋体"/>
                <w:b w:val="0"/>
                <w:i w:val="0"/>
                <w:color w:val="000000"/>
                <w:sz w:val="14"/>
              </w:rPr>
              <w:t>52</w:t>
            </w:r>
          </w:p>
        </w:tc>
        <w:tc>
          <w:tcPr>
            <w:tcW w:w="1206" w:type="dxa"/>
            <w:vAlign w:val="center"/>
          </w:tcPr>
          <w:p w14:paraId="704C2378"/>
        </w:tc>
      </w:tr>
      <w:tr w14:paraId="51BCC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B71FC0"/>
        </w:tc>
        <w:tc>
          <w:tcPr>
            <w:tcW w:w="460" w:type="dxa"/>
            <w:vAlign w:val="center"/>
          </w:tcPr>
          <w:p w14:paraId="2E9B2210">
            <w:pPr>
              <w:jc w:val="center"/>
            </w:pPr>
            <w:r>
              <w:rPr>
                <w:rFonts w:ascii="宋体" w:hAnsi="宋体" w:eastAsia="宋体" w:cs="宋体"/>
                <w:b w:val="0"/>
                <w:i w:val="0"/>
                <w:color w:val="000000"/>
                <w:sz w:val="14"/>
              </w:rPr>
              <w:t>22</w:t>
            </w:r>
          </w:p>
        </w:tc>
        <w:tc>
          <w:tcPr>
            <w:tcW w:w="1220" w:type="dxa"/>
            <w:vAlign w:val="center"/>
          </w:tcPr>
          <w:p w14:paraId="75258B29"/>
        </w:tc>
        <w:tc>
          <w:tcPr>
            <w:tcW w:w="2340" w:type="dxa"/>
            <w:vAlign w:val="center"/>
          </w:tcPr>
          <w:p w14:paraId="1251FFBF">
            <w:pPr>
              <w:jc w:val="left"/>
            </w:pPr>
            <w:r>
              <w:rPr>
                <w:rFonts w:ascii="宋体" w:hAnsi="宋体" w:eastAsia="宋体" w:cs="宋体"/>
                <w:b w:val="0"/>
                <w:i w:val="0"/>
                <w:color w:val="000000"/>
                <w:sz w:val="14"/>
              </w:rPr>
              <w:t>二十二、灾害防治及应急管理支出</w:t>
            </w:r>
          </w:p>
        </w:tc>
        <w:tc>
          <w:tcPr>
            <w:tcW w:w="460" w:type="dxa"/>
            <w:vAlign w:val="center"/>
          </w:tcPr>
          <w:p w14:paraId="75995519">
            <w:pPr>
              <w:jc w:val="center"/>
            </w:pPr>
            <w:r>
              <w:rPr>
                <w:rFonts w:ascii="宋体" w:hAnsi="宋体" w:eastAsia="宋体" w:cs="宋体"/>
                <w:b w:val="0"/>
                <w:i w:val="0"/>
                <w:color w:val="000000"/>
                <w:sz w:val="14"/>
              </w:rPr>
              <w:t>53</w:t>
            </w:r>
          </w:p>
        </w:tc>
        <w:tc>
          <w:tcPr>
            <w:tcW w:w="1206" w:type="dxa"/>
            <w:vAlign w:val="center"/>
          </w:tcPr>
          <w:p w14:paraId="72953CF6"/>
        </w:tc>
      </w:tr>
      <w:tr w14:paraId="58463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54381C"/>
        </w:tc>
        <w:tc>
          <w:tcPr>
            <w:tcW w:w="460" w:type="dxa"/>
            <w:vAlign w:val="center"/>
          </w:tcPr>
          <w:p w14:paraId="3281CFD1">
            <w:pPr>
              <w:jc w:val="center"/>
            </w:pPr>
            <w:r>
              <w:rPr>
                <w:rFonts w:ascii="宋体" w:hAnsi="宋体" w:eastAsia="宋体" w:cs="宋体"/>
                <w:b w:val="0"/>
                <w:i w:val="0"/>
                <w:color w:val="000000"/>
                <w:sz w:val="14"/>
              </w:rPr>
              <w:t>23</w:t>
            </w:r>
          </w:p>
        </w:tc>
        <w:tc>
          <w:tcPr>
            <w:tcW w:w="1220" w:type="dxa"/>
            <w:vAlign w:val="center"/>
          </w:tcPr>
          <w:p w14:paraId="4438A31D"/>
        </w:tc>
        <w:tc>
          <w:tcPr>
            <w:tcW w:w="2340" w:type="dxa"/>
            <w:vAlign w:val="center"/>
          </w:tcPr>
          <w:p w14:paraId="0DE0A245">
            <w:pPr>
              <w:jc w:val="left"/>
            </w:pPr>
            <w:r>
              <w:rPr>
                <w:rFonts w:ascii="宋体" w:hAnsi="宋体" w:eastAsia="宋体" w:cs="宋体"/>
                <w:b w:val="0"/>
                <w:i w:val="0"/>
                <w:color w:val="000000"/>
                <w:sz w:val="14"/>
              </w:rPr>
              <w:t>二十三、其他支出</w:t>
            </w:r>
          </w:p>
        </w:tc>
        <w:tc>
          <w:tcPr>
            <w:tcW w:w="460" w:type="dxa"/>
            <w:vAlign w:val="center"/>
          </w:tcPr>
          <w:p w14:paraId="3BD11A67">
            <w:pPr>
              <w:jc w:val="center"/>
            </w:pPr>
            <w:r>
              <w:rPr>
                <w:rFonts w:ascii="宋体" w:hAnsi="宋体" w:eastAsia="宋体" w:cs="宋体"/>
                <w:b w:val="0"/>
                <w:i w:val="0"/>
                <w:color w:val="000000"/>
                <w:sz w:val="14"/>
              </w:rPr>
              <w:t>54</w:t>
            </w:r>
          </w:p>
        </w:tc>
        <w:tc>
          <w:tcPr>
            <w:tcW w:w="1206" w:type="dxa"/>
            <w:vAlign w:val="center"/>
          </w:tcPr>
          <w:p w14:paraId="72468BCC"/>
        </w:tc>
      </w:tr>
      <w:tr w14:paraId="5329D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4F4FB8"/>
        </w:tc>
        <w:tc>
          <w:tcPr>
            <w:tcW w:w="460" w:type="dxa"/>
            <w:vAlign w:val="center"/>
          </w:tcPr>
          <w:p w14:paraId="169A0E03">
            <w:pPr>
              <w:jc w:val="center"/>
            </w:pPr>
            <w:r>
              <w:rPr>
                <w:rFonts w:ascii="宋体" w:hAnsi="宋体" w:eastAsia="宋体" w:cs="宋体"/>
                <w:b w:val="0"/>
                <w:i w:val="0"/>
                <w:color w:val="000000"/>
                <w:sz w:val="14"/>
              </w:rPr>
              <w:t>24</w:t>
            </w:r>
          </w:p>
        </w:tc>
        <w:tc>
          <w:tcPr>
            <w:tcW w:w="1220" w:type="dxa"/>
            <w:vAlign w:val="center"/>
          </w:tcPr>
          <w:p w14:paraId="08893273"/>
        </w:tc>
        <w:tc>
          <w:tcPr>
            <w:tcW w:w="2340" w:type="dxa"/>
            <w:vAlign w:val="center"/>
          </w:tcPr>
          <w:p w14:paraId="163DDD8C">
            <w:pPr>
              <w:jc w:val="left"/>
            </w:pPr>
            <w:r>
              <w:rPr>
                <w:rFonts w:ascii="宋体" w:hAnsi="宋体" w:eastAsia="宋体" w:cs="宋体"/>
                <w:b w:val="0"/>
                <w:i w:val="0"/>
                <w:color w:val="000000"/>
                <w:sz w:val="14"/>
              </w:rPr>
              <w:t>二十四、债务还本支出</w:t>
            </w:r>
          </w:p>
        </w:tc>
        <w:tc>
          <w:tcPr>
            <w:tcW w:w="460" w:type="dxa"/>
            <w:vAlign w:val="center"/>
          </w:tcPr>
          <w:p w14:paraId="1AE0ACAD">
            <w:pPr>
              <w:jc w:val="center"/>
            </w:pPr>
            <w:r>
              <w:rPr>
                <w:rFonts w:ascii="宋体" w:hAnsi="宋体" w:eastAsia="宋体" w:cs="宋体"/>
                <w:b w:val="0"/>
                <w:i w:val="0"/>
                <w:color w:val="000000"/>
                <w:sz w:val="14"/>
              </w:rPr>
              <w:t>55</w:t>
            </w:r>
          </w:p>
        </w:tc>
        <w:tc>
          <w:tcPr>
            <w:tcW w:w="1206" w:type="dxa"/>
            <w:vAlign w:val="center"/>
          </w:tcPr>
          <w:p w14:paraId="28A95E15"/>
        </w:tc>
      </w:tr>
      <w:tr w14:paraId="7E24C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3C34AD"/>
        </w:tc>
        <w:tc>
          <w:tcPr>
            <w:tcW w:w="460" w:type="dxa"/>
            <w:vAlign w:val="center"/>
          </w:tcPr>
          <w:p w14:paraId="46592B4C">
            <w:pPr>
              <w:jc w:val="center"/>
            </w:pPr>
            <w:r>
              <w:rPr>
                <w:rFonts w:ascii="宋体" w:hAnsi="宋体" w:eastAsia="宋体" w:cs="宋体"/>
                <w:b w:val="0"/>
                <w:i w:val="0"/>
                <w:color w:val="000000"/>
                <w:sz w:val="14"/>
              </w:rPr>
              <w:t>25</w:t>
            </w:r>
          </w:p>
        </w:tc>
        <w:tc>
          <w:tcPr>
            <w:tcW w:w="1220" w:type="dxa"/>
            <w:vAlign w:val="center"/>
          </w:tcPr>
          <w:p w14:paraId="57663502"/>
        </w:tc>
        <w:tc>
          <w:tcPr>
            <w:tcW w:w="2340" w:type="dxa"/>
            <w:vAlign w:val="center"/>
          </w:tcPr>
          <w:p w14:paraId="061C1F3D">
            <w:pPr>
              <w:jc w:val="left"/>
            </w:pPr>
            <w:r>
              <w:rPr>
                <w:rFonts w:ascii="宋体" w:hAnsi="宋体" w:eastAsia="宋体" w:cs="宋体"/>
                <w:b w:val="0"/>
                <w:i w:val="0"/>
                <w:color w:val="000000"/>
                <w:sz w:val="14"/>
              </w:rPr>
              <w:t>二十五、债务付息支出</w:t>
            </w:r>
          </w:p>
        </w:tc>
        <w:tc>
          <w:tcPr>
            <w:tcW w:w="460" w:type="dxa"/>
            <w:vAlign w:val="center"/>
          </w:tcPr>
          <w:p w14:paraId="63E40B63">
            <w:pPr>
              <w:jc w:val="center"/>
            </w:pPr>
            <w:r>
              <w:rPr>
                <w:rFonts w:ascii="宋体" w:hAnsi="宋体" w:eastAsia="宋体" w:cs="宋体"/>
                <w:b w:val="0"/>
                <w:i w:val="0"/>
                <w:color w:val="000000"/>
                <w:sz w:val="14"/>
              </w:rPr>
              <w:t>56</w:t>
            </w:r>
          </w:p>
        </w:tc>
        <w:tc>
          <w:tcPr>
            <w:tcW w:w="1206" w:type="dxa"/>
            <w:vAlign w:val="center"/>
          </w:tcPr>
          <w:p w14:paraId="6967273E"/>
        </w:tc>
      </w:tr>
      <w:tr w14:paraId="76F87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CE48AB"/>
        </w:tc>
        <w:tc>
          <w:tcPr>
            <w:tcW w:w="460" w:type="dxa"/>
            <w:vAlign w:val="center"/>
          </w:tcPr>
          <w:p w14:paraId="2A4425DF">
            <w:pPr>
              <w:jc w:val="center"/>
            </w:pPr>
            <w:r>
              <w:rPr>
                <w:rFonts w:ascii="宋体" w:hAnsi="宋体" w:eastAsia="宋体" w:cs="宋体"/>
                <w:b w:val="0"/>
                <w:i w:val="0"/>
                <w:color w:val="000000"/>
                <w:sz w:val="14"/>
              </w:rPr>
              <w:t>26</w:t>
            </w:r>
          </w:p>
        </w:tc>
        <w:tc>
          <w:tcPr>
            <w:tcW w:w="1220" w:type="dxa"/>
            <w:vAlign w:val="center"/>
          </w:tcPr>
          <w:p w14:paraId="75AE1EE5"/>
        </w:tc>
        <w:tc>
          <w:tcPr>
            <w:tcW w:w="2340" w:type="dxa"/>
            <w:vAlign w:val="center"/>
          </w:tcPr>
          <w:p w14:paraId="2D36B984">
            <w:pPr>
              <w:jc w:val="left"/>
            </w:pPr>
            <w:r>
              <w:rPr>
                <w:rFonts w:ascii="宋体" w:hAnsi="宋体" w:eastAsia="宋体" w:cs="宋体"/>
                <w:b w:val="0"/>
                <w:i w:val="0"/>
                <w:color w:val="000000"/>
                <w:sz w:val="14"/>
              </w:rPr>
              <w:t>二十六、抗疫特别国债安排的支出</w:t>
            </w:r>
          </w:p>
        </w:tc>
        <w:tc>
          <w:tcPr>
            <w:tcW w:w="460" w:type="dxa"/>
            <w:vAlign w:val="center"/>
          </w:tcPr>
          <w:p w14:paraId="7F0B4ED5">
            <w:pPr>
              <w:jc w:val="center"/>
            </w:pPr>
            <w:r>
              <w:rPr>
                <w:rFonts w:ascii="宋体" w:hAnsi="宋体" w:eastAsia="宋体" w:cs="宋体"/>
                <w:b w:val="0"/>
                <w:i w:val="0"/>
                <w:color w:val="000000"/>
                <w:sz w:val="14"/>
              </w:rPr>
              <w:t>57</w:t>
            </w:r>
          </w:p>
        </w:tc>
        <w:tc>
          <w:tcPr>
            <w:tcW w:w="1206" w:type="dxa"/>
            <w:vAlign w:val="center"/>
          </w:tcPr>
          <w:p w14:paraId="4DBBA9EE"/>
        </w:tc>
      </w:tr>
      <w:tr w14:paraId="4344E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36C8CD">
            <w:pPr>
              <w:jc w:val="left"/>
            </w:pPr>
            <w:r>
              <w:rPr>
                <w:rFonts w:ascii="宋体" w:hAnsi="宋体" w:eastAsia="宋体" w:cs="宋体"/>
                <w:b w:val="0"/>
                <w:i w:val="0"/>
                <w:color w:val="000000"/>
                <w:sz w:val="14"/>
              </w:rPr>
              <w:t>本年收入合计</w:t>
            </w:r>
          </w:p>
        </w:tc>
        <w:tc>
          <w:tcPr>
            <w:tcW w:w="460" w:type="dxa"/>
            <w:vAlign w:val="center"/>
          </w:tcPr>
          <w:p w14:paraId="48812D39">
            <w:pPr>
              <w:jc w:val="center"/>
            </w:pPr>
            <w:r>
              <w:rPr>
                <w:rFonts w:ascii="宋体" w:hAnsi="宋体" w:eastAsia="宋体" w:cs="宋体"/>
                <w:b w:val="0"/>
                <w:i w:val="0"/>
                <w:color w:val="000000"/>
                <w:sz w:val="14"/>
              </w:rPr>
              <w:t>27</w:t>
            </w:r>
          </w:p>
        </w:tc>
        <w:tc>
          <w:tcPr>
            <w:tcW w:w="1220" w:type="dxa"/>
            <w:vAlign w:val="center"/>
          </w:tcPr>
          <w:p w14:paraId="04A333C3">
            <w:pPr>
              <w:jc w:val="right"/>
            </w:pPr>
            <w:r>
              <w:rPr>
                <w:rFonts w:ascii="宋体" w:hAnsi="宋体" w:eastAsia="宋体" w:cs="宋体"/>
                <w:b w:val="0"/>
                <w:i w:val="0"/>
                <w:color w:val="000000"/>
                <w:sz w:val="14"/>
              </w:rPr>
              <w:t>2,345.25</w:t>
            </w:r>
          </w:p>
        </w:tc>
        <w:tc>
          <w:tcPr>
            <w:tcW w:w="2340" w:type="dxa"/>
            <w:vAlign w:val="center"/>
          </w:tcPr>
          <w:p w14:paraId="0E605FEA">
            <w:pPr>
              <w:jc w:val="left"/>
            </w:pPr>
            <w:r>
              <w:rPr>
                <w:rFonts w:ascii="宋体" w:hAnsi="宋体" w:eastAsia="宋体" w:cs="宋体"/>
                <w:b w:val="0"/>
                <w:i w:val="0"/>
                <w:color w:val="000000"/>
                <w:sz w:val="14"/>
              </w:rPr>
              <w:t>本年支出合计</w:t>
            </w:r>
          </w:p>
        </w:tc>
        <w:tc>
          <w:tcPr>
            <w:tcW w:w="460" w:type="dxa"/>
            <w:vAlign w:val="center"/>
          </w:tcPr>
          <w:p w14:paraId="29D8B71A">
            <w:pPr>
              <w:jc w:val="center"/>
            </w:pPr>
            <w:r>
              <w:rPr>
                <w:rFonts w:ascii="宋体" w:hAnsi="宋体" w:eastAsia="宋体" w:cs="宋体"/>
                <w:b w:val="0"/>
                <w:i w:val="0"/>
                <w:color w:val="000000"/>
                <w:sz w:val="14"/>
              </w:rPr>
              <w:t>58</w:t>
            </w:r>
          </w:p>
        </w:tc>
        <w:tc>
          <w:tcPr>
            <w:tcW w:w="1206" w:type="dxa"/>
            <w:vAlign w:val="center"/>
          </w:tcPr>
          <w:p w14:paraId="092FD7D3">
            <w:pPr>
              <w:jc w:val="right"/>
            </w:pPr>
            <w:r>
              <w:rPr>
                <w:rFonts w:ascii="宋体" w:hAnsi="宋体" w:eastAsia="宋体" w:cs="宋体"/>
                <w:b w:val="0"/>
                <w:i w:val="0"/>
                <w:color w:val="000000"/>
                <w:sz w:val="14"/>
              </w:rPr>
              <w:t>2,345.25</w:t>
            </w:r>
          </w:p>
        </w:tc>
      </w:tr>
      <w:tr w14:paraId="24F9F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2A8615">
            <w:pPr>
              <w:jc w:val="left"/>
            </w:pPr>
            <w:r>
              <w:rPr>
                <w:rFonts w:ascii="宋体" w:hAnsi="宋体" w:eastAsia="宋体" w:cs="宋体"/>
                <w:b w:val="0"/>
                <w:i w:val="0"/>
                <w:color w:val="000000"/>
                <w:sz w:val="14"/>
              </w:rPr>
              <w:t xml:space="preserve">  使用非财政拨款结余</w:t>
            </w:r>
          </w:p>
        </w:tc>
        <w:tc>
          <w:tcPr>
            <w:tcW w:w="460" w:type="dxa"/>
            <w:vAlign w:val="center"/>
          </w:tcPr>
          <w:p w14:paraId="381CF6E0">
            <w:pPr>
              <w:jc w:val="center"/>
            </w:pPr>
            <w:r>
              <w:rPr>
                <w:rFonts w:ascii="宋体" w:hAnsi="宋体" w:eastAsia="宋体" w:cs="宋体"/>
                <w:b w:val="0"/>
                <w:i w:val="0"/>
                <w:color w:val="000000"/>
                <w:sz w:val="14"/>
              </w:rPr>
              <w:t>28</w:t>
            </w:r>
          </w:p>
        </w:tc>
        <w:tc>
          <w:tcPr>
            <w:tcW w:w="1220" w:type="dxa"/>
            <w:vAlign w:val="center"/>
          </w:tcPr>
          <w:p w14:paraId="3043BE8D"/>
        </w:tc>
        <w:tc>
          <w:tcPr>
            <w:tcW w:w="2340" w:type="dxa"/>
            <w:vAlign w:val="center"/>
          </w:tcPr>
          <w:p w14:paraId="49E04704">
            <w:pPr>
              <w:jc w:val="left"/>
            </w:pPr>
            <w:r>
              <w:rPr>
                <w:rFonts w:ascii="宋体" w:hAnsi="宋体" w:eastAsia="宋体" w:cs="宋体"/>
                <w:b w:val="0"/>
                <w:i w:val="0"/>
                <w:color w:val="000000"/>
                <w:sz w:val="14"/>
              </w:rPr>
              <w:t xml:space="preserve">  结余分配                 </w:t>
            </w:r>
          </w:p>
        </w:tc>
        <w:tc>
          <w:tcPr>
            <w:tcW w:w="460" w:type="dxa"/>
            <w:vAlign w:val="center"/>
          </w:tcPr>
          <w:p w14:paraId="432F502B">
            <w:pPr>
              <w:jc w:val="center"/>
            </w:pPr>
            <w:r>
              <w:rPr>
                <w:rFonts w:ascii="宋体" w:hAnsi="宋体" w:eastAsia="宋体" w:cs="宋体"/>
                <w:b w:val="0"/>
                <w:i w:val="0"/>
                <w:color w:val="000000"/>
                <w:sz w:val="14"/>
              </w:rPr>
              <w:t>59</w:t>
            </w:r>
          </w:p>
        </w:tc>
        <w:tc>
          <w:tcPr>
            <w:tcW w:w="1206" w:type="dxa"/>
            <w:vAlign w:val="center"/>
          </w:tcPr>
          <w:p w14:paraId="16297973"/>
        </w:tc>
      </w:tr>
      <w:tr w14:paraId="4CB0A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28747B">
            <w:pPr>
              <w:jc w:val="left"/>
            </w:pPr>
            <w:r>
              <w:rPr>
                <w:rFonts w:ascii="宋体" w:hAnsi="宋体" w:eastAsia="宋体" w:cs="宋体"/>
                <w:b w:val="0"/>
                <w:i w:val="0"/>
                <w:color w:val="000000"/>
                <w:sz w:val="14"/>
              </w:rPr>
              <w:t xml:space="preserve">  年初结转和结余</w:t>
            </w:r>
          </w:p>
        </w:tc>
        <w:tc>
          <w:tcPr>
            <w:tcW w:w="460" w:type="dxa"/>
            <w:vAlign w:val="center"/>
          </w:tcPr>
          <w:p w14:paraId="5CD2E4A7">
            <w:pPr>
              <w:jc w:val="center"/>
            </w:pPr>
            <w:r>
              <w:rPr>
                <w:rFonts w:ascii="宋体" w:hAnsi="宋体" w:eastAsia="宋体" w:cs="宋体"/>
                <w:b w:val="0"/>
                <w:i w:val="0"/>
                <w:color w:val="000000"/>
                <w:sz w:val="14"/>
              </w:rPr>
              <w:t>29</w:t>
            </w:r>
          </w:p>
        </w:tc>
        <w:tc>
          <w:tcPr>
            <w:tcW w:w="1220" w:type="dxa"/>
            <w:vAlign w:val="center"/>
          </w:tcPr>
          <w:p w14:paraId="55C7E161"/>
        </w:tc>
        <w:tc>
          <w:tcPr>
            <w:tcW w:w="2340" w:type="dxa"/>
            <w:vAlign w:val="center"/>
          </w:tcPr>
          <w:p w14:paraId="23275EDD">
            <w:pPr>
              <w:jc w:val="left"/>
            </w:pPr>
            <w:r>
              <w:rPr>
                <w:rFonts w:ascii="宋体" w:hAnsi="宋体" w:eastAsia="宋体" w:cs="宋体"/>
                <w:b w:val="0"/>
                <w:i w:val="0"/>
                <w:color w:val="000000"/>
                <w:sz w:val="14"/>
              </w:rPr>
              <w:t xml:space="preserve">  年末结转和结余                                </w:t>
            </w:r>
          </w:p>
        </w:tc>
        <w:tc>
          <w:tcPr>
            <w:tcW w:w="460" w:type="dxa"/>
            <w:vAlign w:val="center"/>
          </w:tcPr>
          <w:p w14:paraId="5F7E0B3E">
            <w:pPr>
              <w:jc w:val="center"/>
            </w:pPr>
            <w:r>
              <w:rPr>
                <w:rFonts w:ascii="宋体" w:hAnsi="宋体" w:eastAsia="宋体" w:cs="宋体"/>
                <w:b w:val="0"/>
                <w:i w:val="0"/>
                <w:color w:val="000000"/>
                <w:sz w:val="14"/>
              </w:rPr>
              <w:t>60</w:t>
            </w:r>
          </w:p>
        </w:tc>
        <w:tc>
          <w:tcPr>
            <w:tcW w:w="1206" w:type="dxa"/>
            <w:vAlign w:val="center"/>
          </w:tcPr>
          <w:p w14:paraId="07AE4FDC"/>
        </w:tc>
      </w:tr>
      <w:tr w14:paraId="27C26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DA5C2E"/>
        </w:tc>
        <w:tc>
          <w:tcPr>
            <w:tcW w:w="460" w:type="dxa"/>
            <w:vAlign w:val="center"/>
          </w:tcPr>
          <w:p w14:paraId="4D57D84F">
            <w:pPr>
              <w:jc w:val="center"/>
            </w:pPr>
            <w:r>
              <w:rPr>
                <w:rFonts w:ascii="宋体" w:hAnsi="宋体" w:eastAsia="宋体" w:cs="宋体"/>
                <w:b w:val="0"/>
                <w:i w:val="0"/>
                <w:color w:val="000000"/>
                <w:sz w:val="14"/>
              </w:rPr>
              <w:t>30</w:t>
            </w:r>
          </w:p>
        </w:tc>
        <w:tc>
          <w:tcPr>
            <w:tcW w:w="1220" w:type="dxa"/>
            <w:vAlign w:val="center"/>
          </w:tcPr>
          <w:p w14:paraId="69D48D57"/>
        </w:tc>
        <w:tc>
          <w:tcPr>
            <w:tcW w:w="2340" w:type="dxa"/>
            <w:vAlign w:val="center"/>
          </w:tcPr>
          <w:p w14:paraId="490293C4"/>
        </w:tc>
        <w:tc>
          <w:tcPr>
            <w:tcW w:w="460" w:type="dxa"/>
            <w:vAlign w:val="center"/>
          </w:tcPr>
          <w:p w14:paraId="524077B5">
            <w:pPr>
              <w:jc w:val="center"/>
            </w:pPr>
            <w:r>
              <w:rPr>
                <w:rFonts w:ascii="宋体" w:hAnsi="宋体" w:eastAsia="宋体" w:cs="宋体"/>
                <w:b w:val="0"/>
                <w:i w:val="0"/>
                <w:color w:val="000000"/>
                <w:sz w:val="14"/>
              </w:rPr>
              <w:t>61</w:t>
            </w:r>
          </w:p>
        </w:tc>
        <w:tc>
          <w:tcPr>
            <w:tcW w:w="1206" w:type="dxa"/>
            <w:vAlign w:val="center"/>
          </w:tcPr>
          <w:p w14:paraId="2F71635A"/>
        </w:tc>
      </w:tr>
      <w:tr w14:paraId="435A5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8D288">
            <w:pPr>
              <w:jc w:val="center"/>
            </w:pPr>
            <w:r>
              <w:rPr>
                <w:rFonts w:ascii="宋体" w:hAnsi="宋体" w:eastAsia="宋体" w:cs="宋体"/>
                <w:b/>
                <w:i w:val="0"/>
                <w:color w:val="000000"/>
                <w:sz w:val="14"/>
              </w:rPr>
              <w:t>总计</w:t>
            </w:r>
          </w:p>
        </w:tc>
        <w:tc>
          <w:tcPr>
            <w:tcW w:w="460" w:type="dxa"/>
            <w:vAlign w:val="center"/>
          </w:tcPr>
          <w:p w14:paraId="3EEF2308">
            <w:pPr>
              <w:jc w:val="center"/>
            </w:pPr>
            <w:r>
              <w:rPr>
                <w:rFonts w:ascii="宋体" w:hAnsi="宋体" w:eastAsia="宋体" w:cs="宋体"/>
                <w:b w:val="0"/>
                <w:i w:val="0"/>
                <w:color w:val="000000"/>
                <w:sz w:val="14"/>
              </w:rPr>
              <w:t>31</w:t>
            </w:r>
          </w:p>
        </w:tc>
        <w:tc>
          <w:tcPr>
            <w:tcW w:w="1220" w:type="dxa"/>
            <w:vAlign w:val="center"/>
          </w:tcPr>
          <w:p w14:paraId="429D1B8B">
            <w:pPr>
              <w:jc w:val="right"/>
            </w:pPr>
            <w:r>
              <w:rPr>
                <w:rFonts w:ascii="宋体" w:hAnsi="宋体" w:eastAsia="宋体" w:cs="宋体"/>
                <w:b w:val="0"/>
                <w:i w:val="0"/>
                <w:color w:val="000000"/>
                <w:sz w:val="14"/>
              </w:rPr>
              <w:t>2,345.25</w:t>
            </w:r>
          </w:p>
        </w:tc>
        <w:tc>
          <w:tcPr>
            <w:tcW w:w="2340" w:type="dxa"/>
            <w:vAlign w:val="center"/>
          </w:tcPr>
          <w:p w14:paraId="54644272">
            <w:pPr>
              <w:jc w:val="center"/>
            </w:pPr>
            <w:r>
              <w:rPr>
                <w:rFonts w:ascii="宋体" w:hAnsi="宋体" w:eastAsia="宋体" w:cs="宋体"/>
                <w:b/>
                <w:i w:val="0"/>
                <w:color w:val="000000"/>
                <w:sz w:val="14"/>
              </w:rPr>
              <w:t>总计</w:t>
            </w:r>
          </w:p>
        </w:tc>
        <w:tc>
          <w:tcPr>
            <w:tcW w:w="460" w:type="dxa"/>
            <w:vAlign w:val="center"/>
          </w:tcPr>
          <w:p w14:paraId="5C77F834">
            <w:pPr>
              <w:jc w:val="center"/>
            </w:pPr>
            <w:r>
              <w:rPr>
                <w:rFonts w:ascii="宋体" w:hAnsi="宋体" w:eastAsia="宋体" w:cs="宋体"/>
                <w:b w:val="0"/>
                <w:i w:val="0"/>
                <w:color w:val="000000"/>
                <w:sz w:val="14"/>
              </w:rPr>
              <w:t>62</w:t>
            </w:r>
          </w:p>
        </w:tc>
        <w:tc>
          <w:tcPr>
            <w:tcW w:w="1206" w:type="dxa"/>
            <w:vAlign w:val="center"/>
          </w:tcPr>
          <w:p w14:paraId="678F7E84">
            <w:pPr>
              <w:jc w:val="right"/>
            </w:pPr>
            <w:r>
              <w:rPr>
                <w:rFonts w:ascii="宋体" w:hAnsi="宋体" w:eastAsia="宋体" w:cs="宋体"/>
                <w:b w:val="0"/>
                <w:i w:val="0"/>
                <w:color w:val="000000"/>
                <w:sz w:val="14"/>
              </w:rPr>
              <w:t>2,345.25</w:t>
            </w:r>
          </w:p>
        </w:tc>
      </w:tr>
      <w:tr w14:paraId="4A72E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43C094E">
            <w:pPr>
              <w:jc w:val="left"/>
            </w:pPr>
            <w:r>
              <w:rPr>
                <w:rFonts w:ascii="宋体" w:hAnsi="宋体" w:eastAsia="宋体" w:cs="宋体"/>
                <w:b w:val="0"/>
                <w:i w:val="0"/>
                <w:color w:val="000000"/>
                <w:sz w:val="14"/>
              </w:rPr>
              <w:t>注：本套报表金额单位转换时可能存在尾数误差。</w:t>
            </w:r>
          </w:p>
        </w:tc>
      </w:tr>
    </w:tbl>
    <w:p w14:paraId="1382586B">
      <w:pPr>
        <w:snapToGrid w:val="0"/>
        <w:spacing w:before="200" w:after="200" w:line="200" w:lineRule="auto"/>
      </w:pPr>
      <w:r>
        <w:rPr>
          <w:sz w:val="8"/>
        </w:rPr>
        <w:t xml:space="preserve"> </w:t>
      </w:r>
    </w:p>
    <w:p w14:paraId="00DB21F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3EFD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B0CF893">
            <w:pPr>
              <w:jc w:val="right"/>
            </w:pPr>
            <w:r>
              <w:rPr>
                <w:rFonts w:ascii="宋体" w:hAnsi="宋体" w:eastAsia="宋体" w:cs="宋体"/>
                <w:sz w:val="20"/>
              </w:rPr>
              <w:t>公开02表</w:t>
            </w:r>
          </w:p>
        </w:tc>
      </w:tr>
      <w:tr w14:paraId="213A6C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B339346">
            <w:pPr>
              <w:jc w:val="left"/>
            </w:pPr>
            <w:r>
              <w:rPr>
                <w:rFonts w:ascii="宋体" w:hAnsi="宋体" w:eastAsia="宋体" w:cs="宋体"/>
                <w:sz w:val="20"/>
              </w:rPr>
              <w:t>部门：浮梁县市场监督管理局</w:t>
            </w:r>
          </w:p>
        </w:tc>
        <w:tc>
          <w:tcPr>
            <w:tcW w:w="2000" w:type="dxa"/>
          </w:tcPr>
          <w:p w14:paraId="3D2BFD1D">
            <w:pPr>
              <w:jc w:val="center"/>
            </w:pPr>
            <w:r>
              <w:rPr>
                <w:rFonts w:ascii="宋体" w:hAnsi="宋体" w:eastAsia="宋体" w:cs="宋体"/>
                <w:sz w:val="20"/>
              </w:rPr>
              <w:t>2023年度</w:t>
            </w:r>
          </w:p>
        </w:tc>
        <w:tc>
          <w:tcPr>
            <w:tcW w:w="3153" w:type="dxa"/>
          </w:tcPr>
          <w:p w14:paraId="0C3BFDA5">
            <w:pPr>
              <w:jc w:val="right"/>
            </w:pPr>
            <w:r>
              <w:rPr>
                <w:rFonts w:ascii="宋体" w:hAnsi="宋体" w:eastAsia="宋体" w:cs="宋体"/>
                <w:sz w:val="20"/>
              </w:rPr>
              <w:t>金额单位：万元</w:t>
            </w:r>
          </w:p>
        </w:tc>
      </w:tr>
    </w:tbl>
    <w:p w14:paraId="19AF0E97">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5FE22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794ABC1">
            <w:pPr>
              <w:jc w:val="center"/>
            </w:pPr>
            <w:r>
              <w:rPr>
                <w:rFonts w:ascii="宋体" w:hAnsi="宋体" w:eastAsia="宋体" w:cs="宋体"/>
                <w:b w:val="0"/>
                <w:i w:val="0"/>
                <w:color w:val="000000"/>
                <w:sz w:val="9"/>
              </w:rPr>
              <w:t>项    目</w:t>
            </w:r>
          </w:p>
        </w:tc>
        <w:tc>
          <w:tcPr>
            <w:tcW w:w="860" w:type="dxa"/>
            <w:vMerge w:val="restart"/>
            <w:vAlign w:val="center"/>
          </w:tcPr>
          <w:p w14:paraId="6C3B3DCB">
            <w:pPr>
              <w:jc w:val="center"/>
            </w:pPr>
            <w:r>
              <w:rPr>
                <w:rFonts w:ascii="宋体" w:hAnsi="宋体" w:eastAsia="宋体" w:cs="宋体"/>
                <w:b w:val="0"/>
                <w:i w:val="0"/>
                <w:color w:val="000000"/>
                <w:sz w:val="9"/>
              </w:rPr>
              <w:t>本年收入合计</w:t>
            </w:r>
          </w:p>
        </w:tc>
        <w:tc>
          <w:tcPr>
            <w:tcW w:w="900" w:type="dxa"/>
            <w:vMerge w:val="restart"/>
            <w:vAlign w:val="center"/>
          </w:tcPr>
          <w:p w14:paraId="4623408D">
            <w:pPr>
              <w:jc w:val="center"/>
            </w:pPr>
            <w:r>
              <w:rPr>
                <w:rFonts w:ascii="宋体" w:hAnsi="宋体" w:eastAsia="宋体" w:cs="宋体"/>
                <w:b w:val="0"/>
                <w:i w:val="0"/>
                <w:color w:val="000000"/>
                <w:sz w:val="9"/>
              </w:rPr>
              <w:t>财政拨款收入</w:t>
            </w:r>
          </w:p>
        </w:tc>
        <w:tc>
          <w:tcPr>
            <w:tcW w:w="880" w:type="dxa"/>
            <w:vMerge w:val="restart"/>
            <w:vAlign w:val="center"/>
          </w:tcPr>
          <w:p w14:paraId="69650AEC">
            <w:pPr>
              <w:jc w:val="center"/>
            </w:pPr>
            <w:r>
              <w:rPr>
                <w:rFonts w:ascii="宋体" w:hAnsi="宋体" w:eastAsia="宋体" w:cs="宋体"/>
                <w:b w:val="0"/>
                <w:i w:val="0"/>
                <w:color w:val="000000"/>
                <w:sz w:val="9"/>
              </w:rPr>
              <w:t>上级补助收入</w:t>
            </w:r>
          </w:p>
        </w:tc>
        <w:tc>
          <w:tcPr>
            <w:tcW w:w="880" w:type="dxa"/>
            <w:vMerge w:val="restart"/>
            <w:vAlign w:val="center"/>
          </w:tcPr>
          <w:p w14:paraId="25C738E5">
            <w:pPr>
              <w:jc w:val="center"/>
            </w:pPr>
            <w:r>
              <w:rPr>
                <w:rFonts w:ascii="宋体" w:hAnsi="宋体" w:eastAsia="宋体" w:cs="宋体"/>
                <w:b w:val="0"/>
                <w:i w:val="0"/>
                <w:color w:val="000000"/>
                <w:sz w:val="9"/>
              </w:rPr>
              <w:t>事业收入</w:t>
            </w:r>
          </w:p>
        </w:tc>
        <w:tc>
          <w:tcPr>
            <w:tcW w:w="900" w:type="dxa"/>
            <w:vMerge w:val="restart"/>
            <w:vAlign w:val="center"/>
          </w:tcPr>
          <w:p w14:paraId="62CEF47C">
            <w:pPr>
              <w:jc w:val="center"/>
            </w:pPr>
            <w:r>
              <w:rPr>
                <w:rFonts w:ascii="宋体" w:hAnsi="宋体" w:eastAsia="宋体" w:cs="宋体"/>
                <w:b w:val="0"/>
                <w:i w:val="0"/>
                <w:color w:val="000000"/>
                <w:sz w:val="9"/>
              </w:rPr>
              <w:t>经营收入</w:t>
            </w:r>
          </w:p>
        </w:tc>
        <w:tc>
          <w:tcPr>
            <w:tcW w:w="880" w:type="dxa"/>
            <w:vMerge w:val="restart"/>
            <w:vAlign w:val="center"/>
          </w:tcPr>
          <w:p w14:paraId="1EC3592D">
            <w:pPr>
              <w:jc w:val="center"/>
            </w:pPr>
            <w:r>
              <w:rPr>
                <w:rFonts w:ascii="宋体" w:hAnsi="宋体" w:eastAsia="宋体" w:cs="宋体"/>
                <w:b w:val="0"/>
                <w:i w:val="0"/>
                <w:color w:val="000000"/>
                <w:sz w:val="9"/>
              </w:rPr>
              <w:t>附属单位上缴收入</w:t>
            </w:r>
          </w:p>
        </w:tc>
        <w:tc>
          <w:tcPr>
            <w:tcW w:w="986" w:type="dxa"/>
            <w:vMerge w:val="restart"/>
            <w:vAlign w:val="center"/>
          </w:tcPr>
          <w:p w14:paraId="5FA787D2">
            <w:pPr>
              <w:jc w:val="center"/>
            </w:pPr>
            <w:r>
              <w:rPr>
                <w:rFonts w:ascii="宋体" w:hAnsi="宋体" w:eastAsia="宋体" w:cs="宋体"/>
                <w:b w:val="0"/>
                <w:i w:val="0"/>
                <w:color w:val="000000"/>
                <w:sz w:val="9"/>
              </w:rPr>
              <w:t>其他收入</w:t>
            </w:r>
          </w:p>
        </w:tc>
      </w:tr>
      <w:tr w14:paraId="08463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C3A8783">
            <w:pPr>
              <w:jc w:val="center"/>
            </w:pPr>
            <w:r>
              <w:rPr>
                <w:rFonts w:ascii="宋体" w:hAnsi="宋体" w:eastAsia="宋体" w:cs="宋体"/>
                <w:b w:val="0"/>
                <w:i w:val="0"/>
                <w:color w:val="000000"/>
                <w:sz w:val="9"/>
              </w:rPr>
              <w:t>支出功能分类科目编码</w:t>
            </w:r>
          </w:p>
        </w:tc>
        <w:tc>
          <w:tcPr>
            <w:tcW w:w="1420" w:type="dxa"/>
            <w:vMerge w:val="restart"/>
            <w:vAlign w:val="center"/>
          </w:tcPr>
          <w:p w14:paraId="4AE27028">
            <w:pPr>
              <w:jc w:val="center"/>
            </w:pPr>
            <w:r>
              <w:rPr>
                <w:rFonts w:ascii="宋体" w:hAnsi="宋体" w:eastAsia="宋体" w:cs="宋体"/>
                <w:b w:val="0"/>
                <w:i w:val="0"/>
                <w:color w:val="000000"/>
                <w:sz w:val="9"/>
              </w:rPr>
              <w:t>科目名称</w:t>
            </w:r>
          </w:p>
        </w:tc>
        <w:tc>
          <w:tcPr>
            <w:tcW w:w="860" w:type="dxa"/>
            <w:vMerge w:val="continue"/>
            <w:vAlign w:val="center"/>
          </w:tcPr>
          <w:p w14:paraId="694D7F69"/>
        </w:tc>
        <w:tc>
          <w:tcPr>
            <w:tcW w:w="900" w:type="dxa"/>
            <w:vMerge w:val="continue"/>
            <w:vAlign w:val="center"/>
          </w:tcPr>
          <w:p w14:paraId="47AD12BF"/>
        </w:tc>
        <w:tc>
          <w:tcPr>
            <w:tcW w:w="880" w:type="dxa"/>
            <w:vMerge w:val="continue"/>
            <w:vAlign w:val="center"/>
          </w:tcPr>
          <w:p w14:paraId="1100F136"/>
        </w:tc>
        <w:tc>
          <w:tcPr>
            <w:tcW w:w="880" w:type="dxa"/>
            <w:vMerge w:val="continue"/>
            <w:vAlign w:val="center"/>
          </w:tcPr>
          <w:p w14:paraId="08C07CBC"/>
        </w:tc>
        <w:tc>
          <w:tcPr>
            <w:tcW w:w="900" w:type="dxa"/>
            <w:vMerge w:val="continue"/>
            <w:vAlign w:val="center"/>
          </w:tcPr>
          <w:p w14:paraId="12A1B718"/>
        </w:tc>
        <w:tc>
          <w:tcPr>
            <w:tcW w:w="880" w:type="dxa"/>
            <w:vMerge w:val="continue"/>
            <w:vAlign w:val="center"/>
          </w:tcPr>
          <w:p w14:paraId="1FCFEE02"/>
        </w:tc>
        <w:tc>
          <w:tcPr>
            <w:tcW w:w="986" w:type="dxa"/>
            <w:vMerge w:val="continue"/>
            <w:vAlign w:val="center"/>
          </w:tcPr>
          <w:p w14:paraId="31C96995"/>
        </w:tc>
      </w:tr>
      <w:tr w14:paraId="5E1E6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E39F99B"/>
        </w:tc>
        <w:tc>
          <w:tcPr>
            <w:tcW w:w="1420" w:type="dxa"/>
            <w:vMerge w:val="continue"/>
            <w:vAlign w:val="center"/>
          </w:tcPr>
          <w:p w14:paraId="4C882C00"/>
        </w:tc>
        <w:tc>
          <w:tcPr>
            <w:tcW w:w="860" w:type="dxa"/>
            <w:vMerge w:val="continue"/>
            <w:vAlign w:val="center"/>
          </w:tcPr>
          <w:p w14:paraId="67EBBA55"/>
        </w:tc>
        <w:tc>
          <w:tcPr>
            <w:tcW w:w="900" w:type="dxa"/>
            <w:vMerge w:val="continue"/>
            <w:vAlign w:val="center"/>
          </w:tcPr>
          <w:p w14:paraId="604DE640"/>
        </w:tc>
        <w:tc>
          <w:tcPr>
            <w:tcW w:w="880" w:type="dxa"/>
            <w:vMerge w:val="continue"/>
            <w:vAlign w:val="center"/>
          </w:tcPr>
          <w:p w14:paraId="71D5FAAE"/>
        </w:tc>
        <w:tc>
          <w:tcPr>
            <w:tcW w:w="880" w:type="dxa"/>
            <w:vMerge w:val="continue"/>
            <w:vAlign w:val="center"/>
          </w:tcPr>
          <w:p w14:paraId="41F482AF"/>
        </w:tc>
        <w:tc>
          <w:tcPr>
            <w:tcW w:w="900" w:type="dxa"/>
            <w:vMerge w:val="continue"/>
            <w:vAlign w:val="center"/>
          </w:tcPr>
          <w:p w14:paraId="6993FCDF"/>
        </w:tc>
        <w:tc>
          <w:tcPr>
            <w:tcW w:w="880" w:type="dxa"/>
            <w:vMerge w:val="continue"/>
            <w:vAlign w:val="center"/>
          </w:tcPr>
          <w:p w14:paraId="3A53FE97"/>
        </w:tc>
        <w:tc>
          <w:tcPr>
            <w:tcW w:w="986" w:type="dxa"/>
            <w:vMerge w:val="continue"/>
            <w:vAlign w:val="center"/>
          </w:tcPr>
          <w:p w14:paraId="474C92E5"/>
        </w:tc>
      </w:tr>
      <w:tr w14:paraId="688B0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965FCC9"/>
        </w:tc>
        <w:tc>
          <w:tcPr>
            <w:tcW w:w="1420" w:type="dxa"/>
            <w:vMerge w:val="continue"/>
            <w:vAlign w:val="center"/>
          </w:tcPr>
          <w:p w14:paraId="2067EC4C"/>
        </w:tc>
        <w:tc>
          <w:tcPr>
            <w:tcW w:w="860" w:type="dxa"/>
            <w:vMerge w:val="continue"/>
            <w:vAlign w:val="center"/>
          </w:tcPr>
          <w:p w14:paraId="41DA9129"/>
        </w:tc>
        <w:tc>
          <w:tcPr>
            <w:tcW w:w="900" w:type="dxa"/>
            <w:vMerge w:val="continue"/>
            <w:vAlign w:val="center"/>
          </w:tcPr>
          <w:p w14:paraId="464DA9A2"/>
        </w:tc>
        <w:tc>
          <w:tcPr>
            <w:tcW w:w="880" w:type="dxa"/>
            <w:vMerge w:val="continue"/>
            <w:vAlign w:val="center"/>
          </w:tcPr>
          <w:p w14:paraId="4476D89C"/>
        </w:tc>
        <w:tc>
          <w:tcPr>
            <w:tcW w:w="880" w:type="dxa"/>
            <w:vMerge w:val="continue"/>
            <w:vAlign w:val="center"/>
          </w:tcPr>
          <w:p w14:paraId="6D28D4EC"/>
        </w:tc>
        <w:tc>
          <w:tcPr>
            <w:tcW w:w="900" w:type="dxa"/>
            <w:vMerge w:val="continue"/>
            <w:vAlign w:val="center"/>
          </w:tcPr>
          <w:p w14:paraId="35FD0A49"/>
        </w:tc>
        <w:tc>
          <w:tcPr>
            <w:tcW w:w="880" w:type="dxa"/>
            <w:vMerge w:val="continue"/>
            <w:vAlign w:val="center"/>
          </w:tcPr>
          <w:p w14:paraId="69926D48"/>
        </w:tc>
        <w:tc>
          <w:tcPr>
            <w:tcW w:w="986" w:type="dxa"/>
            <w:vMerge w:val="continue"/>
            <w:vAlign w:val="center"/>
          </w:tcPr>
          <w:p w14:paraId="34CC9A47"/>
        </w:tc>
      </w:tr>
      <w:tr w14:paraId="5E875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D2FD137">
            <w:pPr>
              <w:jc w:val="center"/>
            </w:pPr>
            <w:r>
              <w:rPr>
                <w:rFonts w:ascii="宋体" w:hAnsi="宋体" w:eastAsia="宋体" w:cs="宋体"/>
                <w:b w:val="0"/>
                <w:i w:val="0"/>
                <w:color w:val="000000"/>
                <w:sz w:val="9"/>
              </w:rPr>
              <w:t>类</w:t>
            </w:r>
          </w:p>
        </w:tc>
        <w:tc>
          <w:tcPr>
            <w:tcW w:w="220" w:type="dxa"/>
            <w:vMerge w:val="restart"/>
            <w:vAlign w:val="center"/>
          </w:tcPr>
          <w:p w14:paraId="4D917505">
            <w:pPr>
              <w:jc w:val="center"/>
            </w:pPr>
            <w:r>
              <w:rPr>
                <w:rFonts w:ascii="宋体" w:hAnsi="宋体" w:eastAsia="宋体" w:cs="宋体"/>
                <w:b w:val="0"/>
                <w:i w:val="0"/>
                <w:color w:val="000000"/>
                <w:sz w:val="9"/>
              </w:rPr>
              <w:t>款</w:t>
            </w:r>
          </w:p>
        </w:tc>
        <w:tc>
          <w:tcPr>
            <w:tcW w:w="200" w:type="dxa"/>
            <w:vMerge w:val="restart"/>
            <w:vAlign w:val="center"/>
          </w:tcPr>
          <w:p w14:paraId="235F43FD">
            <w:pPr>
              <w:jc w:val="center"/>
            </w:pPr>
            <w:r>
              <w:rPr>
                <w:rFonts w:ascii="宋体" w:hAnsi="宋体" w:eastAsia="宋体" w:cs="宋体"/>
                <w:b w:val="0"/>
                <w:i w:val="0"/>
                <w:color w:val="000000"/>
                <w:sz w:val="9"/>
              </w:rPr>
              <w:t>项</w:t>
            </w:r>
          </w:p>
        </w:tc>
        <w:tc>
          <w:tcPr>
            <w:tcW w:w="1420" w:type="dxa"/>
            <w:vAlign w:val="center"/>
          </w:tcPr>
          <w:p w14:paraId="29E0F86B">
            <w:pPr>
              <w:jc w:val="center"/>
            </w:pPr>
            <w:r>
              <w:rPr>
                <w:rFonts w:ascii="宋体" w:hAnsi="宋体" w:eastAsia="宋体" w:cs="宋体"/>
                <w:b w:val="0"/>
                <w:i w:val="0"/>
                <w:color w:val="000000"/>
                <w:sz w:val="9"/>
              </w:rPr>
              <w:t>栏次</w:t>
            </w:r>
          </w:p>
        </w:tc>
        <w:tc>
          <w:tcPr>
            <w:tcW w:w="860" w:type="dxa"/>
            <w:vAlign w:val="center"/>
          </w:tcPr>
          <w:p w14:paraId="3261890D">
            <w:pPr>
              <w:jc w:val="center"/>
            </w:pPr>
            <w:r>
              <w:rPr>
                <w:rFonts w:ascii="宋体" w:hAnsi="宋体" w:eastAsia="宋体" w:cs="宋体"/>
                <w:b w:val="0"/>
                <w:i w:val="0"/>
                <w:color w:val="000000"/>
                <w:sz w:val="9"/>
              </w:rPr>
              <w:t>1</w:t>
            </w:r>
          </w:p>
        </w:tc>
        <w:tc>
          <w:tcPr>
            <w:tcW w:w="900" w:type="dxa"/>
            <w:vAlign w:val="center"/>
          </w:tcPr>
          <w:p w14:paraId="578A5076">
            <w:pPr>
              <w:jc w:val="center"/>
            </w:pPr>
            <w:r>
              <w:rPr>
                <w:rFonts w:ascii="宋体" w:hAnsi="宋体" w:eastAsia="宋体" w:cs="宋体"/>
                <w:b w:val="0"/>
                <w:i w:val="0"/>
                <w:color w:val="000000"/>
                <w:sz w:val="9"/>
              </w:rPr>
              <w:t>2</w:t>
            </w:r>
          </w:p>
        </w:tc>
        <w:tc>
          <w:tcPr>
            <w:tcW w:w="880" w:type="dxa"/>
            <w:vAlign w:val="center"/>
          </w:tcPr>
          <w:p w14:paraId="0E53AC0D">
            <w:pPr>
              <w:jc w:val="center"/>
            </w:pPr>
            <w:r>
              <w:rPr>
                <w:rFonts w:ascii="宋体" w:hAnsi="宋体" w:eastAsia="宋体" w:cs="宋体"/>
                <w:b w:val="0"/>
                <w:i w:val="0"/>
                <w:color w:val="000000"/>
                <w:sz w:val="9"/>
              </w:rPr>
              <w:t>3</w:t>
            </w:r>
          </w:p>
        </w:tc>
        <w:tc>
          <w:tcPr>
            <w:tcW w:w="880" w:type="dxa"/>
            <w:vAlign w:val="center"/>
          </w:tcPr>
          <w:p w14:paraId="546E8536">
            <w:pPr>
              <w:jc w:val="center"/>
            </w:pPr>
            <w:r>
              <w:rPr>
                <w:rFonts w:ascii="宋体" w:hAnsi="宋体" w:eastAsia="宋体" w:cs="宋体"/>
                <w:b w:val="0"/>
                <w:i w:val="0"/>
                <w:color w:val="000000"/>
                <w:sz w:val="9"/>
              </w:rPr>
              <w:t>4</w:t>
            </w:r>
          </w:p>
        </w:tc>
        <w:tc>
          <w:tcPr>
            <w:tcW w:w="900" w:type="dxa"/>
            <w:vAlign w:val="center"/>
          </w:tcPr>
          <w:p w14:paraId="05B83F34">
            <w:pPr>
              <w:jc w:val="center"/>
            </w:pPr>
            <w:r>
              <w:rPr>
                <w:rFonts w:ascii="宋体" w:hAnsi="宋体" w:eastAsia="宋体" w:cs="宋体"/>
                <w:b w:val="0"/>
                <w:i w:val="0"/>
                <w:color w:val="000000"/>
                <w:sz w:val="9"/>
              </w:rPr>
              <w:t>5</w:t>
            </w:r>
          </w:p>
        </w:tc>
        <w:tc>
          <w:tcPr>
            <w:tcW w:w="880" w:type="dxa"/>
            <w:vAlign w:val="center"/>
          </w:tcPr>
          <w:p w14:paraId="4010D7A8">
            <w:pPr>
              <w:jc w:val="center"/>
            </w:pPr>
            <w:r>
              <w:rPr>
                <w:rFonts w:ascii="宋体" w:hAnsi="宋体" w:eastAsia="宋体" w:cs="宋体"/>
                <w:b w:val="0"/>
                <w:i w:val="0"/>
                <w:color w:val="000000"/>
                <w:sz w:val="9"/>
              </w:rPr>
              <w:t>6</w:t>
            </w:r>
          </w:p>
        </w:tc>
        <w:tc>
          <w:tcPr>
            <w:tcW w:w="986" w:type="dxa"/>
            <w:vAlign w:val="center"/>
          </w:tcPr>
          <w:p w14:paraId="6C3694B6">
            <w:pPr>
              <w:jc w:val="center"/>
            </w:pPr>
            <w:r>
              <w:rPr>
                <w:rFonts w:ascii="宋体" w:hAnsi="宋体" w:eastAsia="宋体" w:cs="宋体"/>
                <w:b w:val="0"/>
                <w:i w:val="0"/>
                <w:color w:val="000000"/>
                <w:sz w:val="9"/>
              </w:rPr>
              <w:t xml:space="preserve">7 </w:t>
            </w:r>
          </w:p>
        </w:tc>
      </w:tr>
      <w:tr w14:paraId="4BB94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E9E6FBC"/>
        </w:tc>
        <w:tc>
          <w:tcPr>
            <w:tcW w:w="220" w:type="dxa"/>
            <w:vMerge w:val="continue"/>
            <w:vAlign w:val="center"/>
          </w:tcPr>
          <w:p w14:paraId="084FFC5A"/>
        </w:tc>
        <w:tc>
          <w:tcPr>
            <w:tcW w:w="200" w:type="dxa"/>
            <w:vMerge w:val="continue"/>
            <w:vAlign w:val="center"/>
          </w:tcPr>
          <w:p w14:paraId="502A3E76"/>
        </w:tc>
        <w:tc>
          <w:tcPr>
            <w:tcW w:w="1420" w:type="dxa"/>
            <w:vAlign w:val="center"/>
          </w:tcPr>
          <w:p w14:paraId="7E64E646">
            <w:pPr>
              <w:jc w:val="center"/>
            </w:pPr>
            <w:r>
              <w:rPr>
                <w:rFonts w:ascii="宋体" w:hAnsi="宋体" w:eastAsia="宋体" w:cs="宋体"/>
                <w:b w:val="0"/>
                <w:i w:val="0"/>
                <w:color w:val="000000"/>
                <w:sz w:val="9"/>
              </w:rPr>
              <w:t>合计</w:t>
            </w:r>
          </w:p>
        </w:tc>
        <w:tc>
          <w:tcPr>
            <w:tcW w:w="860" w:type="dxa"/>
            <w:vAlign w:val="center"/>
          </w:tcPr>
          <w:p w14:paraId="7DAF4E3D">
            <w:pPr>
              <w:jc w:val="right"/>
            </w:pPr>
            <w:r>
              <w:rPr>
                <w:rFonts w:ascii="宋体" w:hAnsi="宋体" w:eastAsia="宋体" w:cs="宋体"/>
                <w:b w:val="0"/>
                <w:i w:val="0"/>
                <w:color w:val="000000"/>
                <w:sz w:val="9"/>
              </w:rPr>
              <w:t>2,345.25</w:t>
            </w:r>
          </w:p>
        </w:tc>
        <w:tc>
          <w:tcPr>
            <w:tcW w:w="900" w:type="dxa"/>
            <w:vAlign w:val="center"/>
          </w:tcPr>
          <w:p w14:paraId="4F922254">
            <w:pPr>
              <w:jc w:val="right"/>
            </w:pPr>
            <w:r>
              <w:rPr>
                <w:rFonts w:ascii="宋体" w:hAnsi="宋体" w:eastAsia="宋体" w:cs="宋体"/>
                <w:b w:val="0"/>
                <w:i w:val="0"/>
                <w:color w:val="000000"/>
                <w:sz w:val="9"/>
              </w:rPr>
              <w:t>2,345.25</w:t>
            </w:r>
          </w:p>
        </w:tc>
        <w:tc>
          <w:tcPr>
            <w:tcW w:w="880" w:type="dxa"/>
            <w:vAlign w:val="center"/>
          </w:tcPr>
          <w:p w14:paraId="1CD46557"/>
        </w:tc>
        <w:tc>
          <w:tcPr>
            <w:tcW w:w="880" w:type="dxa"/>
            <w:vAlign w:val="center"/>
          </w:tcPr>
          <w:p w14:paraId="3854D215"/>
        </w:tc>
        <w:tc>
          <w:tcPr>
            <w:tcW w:w="900" w:type="dxa"/>
            <w:vAlign w:val="center"/>
          </w:tcPr>
          <w:p w14:paraId="22C577D5"/>
        </w:tc>
        <w:tc>
          <w:tcPr>
            <w:tcW w:w="880" w:type="dxa"/>
            <w:vAlign w:val="center"/>
          </w:tcPr>
          <w:p w14:paraId="63458F76"/>
        </w:tc>
        <w:tc>
          <w:tcPr>
            <w:tcW w:w="986" w:type="dxa"/>
            <w:vAlign w:val="center"/>
          </w:tcPr>
          <w:p w14:paraId="61CD5743"/>
        </w:tc>
      </w:tr>
      <w:tr w14:paraId="5A4B9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14A9CB">
            <w:pPr>
              <w:jc w:val="left"/>
            </w:pPr>
            <w:r>
              <w:rPr>
                <w:rFonts w:ascii="宋体" w:hAnsi="宋体" w:eastAsia="宋体" w:cs="宋体"/>
                <w:b w:val="0"/>
                <w:i w:val="0"/>
                <w:color w:val="000000"/>
                <w:sz w:val="9"/>
              </w:rPr>
              <w:t>201</w:t>
            </w:r>
          </w:p>
        </w:tc>
        <w:tc>
          <w:tcPr>
            <w:tcW w:w="1420" w:type="dxa"/>
            <w:vAlign w:val="center"/>
          </w:tcPr>
          <w:p w14:paraId="608B02FD">
            <w:pPr>
              <w:jc w:val="left"/>
            </w:pPr>
            <w:r>
              <w:rPr>
                <w:rFonts w:ascii="宋体" w:hAnsi="宋体" w:eastAsia="宋体" w:cs="宋体"/>
                <w:b w:val="0"/>
                <w:i w:val="0"/>
                <w:color w:val="000000"/>
                <w:sz w:val="9"/>
              </w:rPr>
              <w:t>一般公共服务支出</w:t>
            </w:r>
          </w:p>
        </w:tc>
        <w:tc>
          <w:tcPr>
            <w:tcW w:w="860" w:type="dxa"/>
            <w:vAlign w:val="center"/>
          </w:tcPr>
          <w:p w14:paraId="6FE47381">
            <w:pPr>
              <w:jc w:val="right"/>
            </w:pPr>
            <w:r>
              <w:rPr>
                <w:rFonts w:ascii="宋体" w:hAnsi="宋体" w:eastAsia="宋体" w:cs="宋体"/>
                <w:b w:val="0"/>
                <w:i w:val="0"/>
                <w:color w:val="000000"/>
                <w:sz w:val="9"/>
              </w:rPr>
              <w:t>1,989.59</w:t>
            </w:r>
          </w:p>
        </w:tc>
        <w:tc>
          <w:tcPr>
            <w:tcW w:w="900" w:type="dxa"/>
            <w:vAlign w:val="center"/>
          </w:tcPr>
          <w:p w14:paraId="50C81BD2">
            <w:pPr>
              <w:jc w:val="right"/>
            </w:pPr>
            <w:r>
              <w:rPr>
                <w:rFonts w:ascii="宋体" w:hAnsi="宋体" w:eastAsia="宋体" w:cs="宋体"/>
                <w:b w:val="0"/>
                <w:i w:val="0"/>
                <w:color w:val="000000"/>
                <w:sz w:val="9"/>
              </w:rPr>
              <w:t>1,989.59</w:t>
            </w:r>
          </w:p>
        </w:tc>
        <w:tc>
          <w:tcPr>
            <w:tcW w:w="880" w:type="dxa"/>
            <w:vAlign w:val="center"/>
          </w:tcPr>
          <w:p w14:paraId="12C20D40"/>
        </w:tc>
        <w:tc>
          <w:tcPr>
            <w:tcW w:w="880" w:type="dxa"/>
            <w:vAlign w:val="center"/>
          </w:tcPr>
          <w:p w14:paraId="3E243EBE"/>
        </w:tc>
        <w:tc>
          <w:tcPr>
            <w:tcW w:w="900" w:type="dxa"/>
            <w:vAlign w:val="center"/>
          </w:tcPr>
          <w:p w14:paraId="1013C6B4"/>
        </w:tc>
        <w:tc>
          <w:tcPr>
            <w:tcW w:w="880" w:type="dxa"/>
            <w:vAlign w:val="center"/>
          </w:tcPr>
          <w:p w14:paraId="55B0530B"/>
        </w:tc>
        <w:tc>
          <w:tcPr>
            <w:tcW w:w="986" w:type="dxa"/>
            <w:vAlign w:val="center"/>
          </w:tcPr>
          <w:p w14:paraId="74240DFA"/>
        </w:tc>
      </w:tr>
      <w:tr w14:paraId="077F4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58AA02">
            <w:pPr>
              <w:jc w:val="left"/>
            </w:pPr>
            <w:r>
              <w:rPr>
                <w:rFonts w:ascii="宋体" w:hAnsi="宋体" w:eastAsia="宋体" w:cs="宋体"/>
                <w:b w:val="0"/>
                <w:i w:val="0"/>
                <w:color w:val="000000"/>
                <w:sz w:val="9"/>
              </w:rPr>
              <w:t>20114</w:t>
            </w:r>
          </w:p>
        </w:tc>
        <w:tc>
          <w:tcPr>
            <w:tcW w:w="1420" w:type="dxa"/>
            <w:vAlign w:val="center"/>
          </w:tcPr>
          <w:p w14:paraId="2F8C934E">
            <w:pPr>
              <w:jc w:val="left"/>
            </w:pPr>
            <w:r>
              <w:rPr>
                <w:rFonts w:ascii="宋体" w:hAnsi="宋体" w:eastAsia="宋体" w:cs="宋体"/>
                <w:b w:val="0"/>
                <w:i w:val="0"/>
                <w:color w:val="000000"/>
                <w:sz w:val="9"/>
              </w:rPr>
              <w:t>知识产权事务</w:t>
            </w:r>
          </w:p>
        </w:tc>
        <w:tc>
          <w:tcPr>
            <w:tcW w:w="860" w:type="dxa"/>
            <w:vAlign w:val="center"/>
          </w:tcPr>
          <w:p w14:paraId="1B003A67">
            <w:pPr>
              <w:jc w:val="right"/>
            </w:pPr>
            <w:r>
              <w:rPr>
                <w:rFonts w:ascii="宋体" w:hAnsi="宋体" w:eastAsia="宋体" w:cs="宋体"/>
                <w:b w:val="0"/>
                <w:i w:val="0"/>
                <w:color w:val="000000"/>
                <w:sz w:val="9"/>
              </w:rPr>
              <w:t>23.35</w:t>
            </w:r>
          </w:p>
        </w:tc>
        <w:tc>
          <w:tcPr>
            <w:tcW w:w="900" w:type="dxa"/>
            <w:vAlign w:val="center"/>
          </w:tcPr>
          <w:p w14:paraId="7D8AFDC0">
            <w:pPr>
              <w:jc w:val="right"/>
            </w:pPr>
            <w:r>
              <w:rPr>
                <w:rFonts w:ascii="宋体" w:hAnsi="宋体" w:eastAsia="宋体" w:cs="宋体"/>
                <w:b w:val="0"/>
                <w:i w:val="0"/>
                <w:color w:val="000000"/>
                <w:sz w:val="9"/>
              </w:rPr>
              <w:t>23.35</w:t>
            </w:r>
          </w:p>
        </w:tc>
        <w:tc>
          <w:tcPr>
            <w:tcW w:w="880" w:type="dxa"/>
            <w:vAlign w:val="center"/>
          </w:tcPr>
          <w:p w14:paraId="5F3B00C9"/>
        </w:tc>
        <w:tc>
          <w:tcPr>
            <w:tcW w:w="880" w:type="dxa"/>
            <w:vAlign w:val="center"/>
          </w:tcPr>
          <w:p w14:paraId="510C8552"/>
        </w:tc>
        <w:tc>
          <w:tcPr>
            <w:tcW w:w="900" w:type="dxa"/>
            <w:vAlign w:val="center"/>
          </w:tcPr>
          <w:p w14:paraId="46BF7FC3"/>
        </w:tc>
        <w:tc>
          <w:tcPr>
            <w:tcW w:w="880" w:type="dxa"/>
            <w:vAlign w:val="center"/>
          </w:tcPr>
          <w:p w14:paraId="1422B97C"/>
        </w:tc>
        <w:tc>
          <w:tcPr>
            <w:tcW w:w="986" w:type="dxa"/>
            <w:vAlign w:val="center"/>
          </w:tcPr>
          <w:p w14:paraId="43CBA460"/>
        </w:tc>
      </w:tr>
      <w:tr w14:paraId="68CBD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AC8428">
            <w:pPr>
              <w:jc w:val="left"/>
            </w:pPr>
            <w:r>
              <w:rPr>
                <w:rFonts w:ascii="宋体" w:hAnsi="宋体" w:eastAsia="宋体" w:cs="宋体"/>
                <w:b w:val="0"/>
                <w:i w:val="0"/>
                <w:color w:val="000000"/>
                <w:sz w:val="9"/>
              </w:rPr>
              <w:t>2011499</w:t>
            </w:r>
          </w:p>
        </w:tc>
        <w:tc>
          <w:tcPr>
            <w:tcW w:w="1420" w:type="dxa"/>
            <w:vAlign w:val="center"/>
          </w:tcPr>
          <w:p w14:paraId="3C7AA3FC">
            <w:pPr>
              <w:jc w:val="left"/>
            </w:pPr>
            <w:r>
              <w:rPr>
                <w:rFonts w:ascii="宋体" w:hAnsi="宋体" w:eastAsia="宋体" w:cs="宋体"/>
                <w:b w:val="0"/>
                <w:i w:val="0"/>
                <w:color w:val="000000"/>
                <w:sz w:val="9"/>
              </w:rPr>
              <w:t>其他知识产权事务支出</w:t>
            </w:r>
          </w:p>
        </w:tc>
        <w:tc>
          <w:tcPr>
            <w:tcW w:w="860" w:type="dxa"/>
            <w:vAlign w:val="center"/>
          </w:tcPr>
          <w:p w14:paraId="4C3359EA">
            <w:pPr>
              <w:jc w:val="right"/>
            </w:pPr>
            <w:r>
              <w:rPr>
                <w:rFonts w:ascii="宋体" w:hAnsi="宋体" w:eastAsia="宋体" w:cs="宋体"/>
                <w:b w:val="0"/>
                <w:i w:val="0"/>
                <w:color w:val="000000"/>
                <w:sz w:val="9"/>
              </w:rPr>
              <w:t>23.35</w:t>
            </w:r>
          </w:p>
        </w:tc>
        <w:tc>
          <w:tcPr>
            <w:tcW w:w="900" w:type="dxa"/>
            <w:vAlign w:val="center"/>
          </w:tcPr>
          <w:p w14:paraId="30A6C1F2">
            <w:pPr>
              <w:jc w:val="right"/>
            </w:pPr>
            <w:r>
              <w:rPr>
                <w:rFonts w:ascii="宋体" w:hAnsi="宋体" w:eastAsia="宋体" w:cs="宋体"/>
                <w:b w:val="0"/>
                <w:i w:val="0"/>
                <w:color w:val="000000"/>
                <w:sz w:val="9"/>
              </w:rPr>
              <w:t>23.35</w:t>
            </w:r>
          </w:p>
        </w:tc>
        <w:tc>
          <w:tcPr>
            <w:tcW w:w="880" w:type="dxa"/>
            <w:vAlign w:val="center"/>
          </w:tcPr>
          <w:p w14:paraId="13934CAB"/>
        </w:tc>
        <w:tc>
          <w:tcPr>
            <w:tcW w:w="880" w:type="dxa"/>
            <w:vAlign w:val="center"/>
          </w:tcPr>
          <w:p w14:paraId="0C0EF5E3"/>
        </w:tc>
        <w:tc>
          <w:tcPr>
            <w:tcW w:w="900" w:type="dxa"/>
            <w:vAlign w:val="center"/>
          </w:tcPr>
          <w:p w14:paraId="73410616"/>
        </w:tc>
        <w:tc>
          <w:tcPr>
            <w:tcW w:w="880" w:type="dxa"/>
            <w:vAlign w:val="center"/>
          </w:tcPr>
          <w:p w14:paraId="0D0F6D20"/>
        </w:tc>
        <w:tc>
          <w:tcPr>
            <w:tcW w:w="986" w:type="dxa"/>
            <w:vAlign w:val="center"/>
          </w:tcPr>
          <w:p w14:paraId="722D3880"/>
        </w:tc>
      </w:tr>
      <w:tr w14:paraId="01B7C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618E75">
            <w:pPr>
              <w:jc w:val="left"/>
            </w:pPr>
            <w:r>
              <w:rPr>
                <w:rFonts w:ascii="宋体" w:hAnsi="宋体" w:eastAsia="宋体" w:cs="宋体"/>
                <w:b w:val="0"/>
                <w:i w:val="0"/>
                <w:color w:val="000000"/>
                <w:sz w:val="9"/>
              </w:rPr>
              <w:t>20138</w:t>
            </w:r>
          </w:p>
        </w:tc>
        <w:tc>
          <w:tcPr>
            <w:tcW w:w="1420" w:type="dxa"/>
            <w:vAlign w:val="center"/>
          </w:tcPr>
          <w:p w14:paraId="1A1EBCAA">
            <w:pPr>
              <w:jc w:val="left"/>
            </w:pPr>
            <w:r>
              <w:rPr>
                <w:rFonts w:ascii="宋体" w:hAnsi="宋体" w:eastAsia="宋体" w:cs="宋体"/>
                <w:b w:val="0"/>
                <w:i w:val="0"/>
                <w:color w:val="000000"/>
                <w:sz w:val="9"/>
              </w:rPr>
              <w:t>市场监督管理事务</w:t>
            </w:r>
          </w:p>
        </w:tc>
        <w:tc>
          <w:tcPr>
            <w:tcW w:w="860" w:type="dxa"/>
            <w:vAlign w:val="center"/>
          </w:tcPr>
          <w:p w14:paraId="01B9FD7E">
            <w:pPr>
              <w:jc w:val="right"/>
            </w:pPr>
            <w:r>
              <w:rPr>
                <w:rFonts w:ascii="宋体" w:hAnsi="宋体" w:eastAsia="宋体" w:cs="宋体"/>
                <w:b w:val="0"/>
                <w:i w:val="0"/>
                <w:color w:val="000000"/>
                <w:sz w:val="9"/>
              </w:rPr>
              <w:t>1,966.24</w:t>
            </w:r>
          </w:p>
        </w:tc>
        <w:tc>
          <w:tcPr>
            <w:tcW w:w="900" w:type="dxa"/>
            <w:vAlign w:val="center"/>
          </w:tcPr>
          <w:p w14:paraId="1F258E5E">
            <w:pPr>
              <w:jc w:val="right"/>
            </w:pPr>
            <w:r>
              <w:rPr>
                <w:rFonts w:ascii="宋体" w:hAnsi="宋体" w:eastAsia="宋体" w:cs="宋体"/>
                <w:b w:val="0"/>
                <w:i w:val="0"/>
                <w:color w:val="000000"/>
                <w:sz w:val="9"/>
              </w:rPr>
              <w:t>1,966.24</w:t>
            </w:r>
          </w:p>
        </w:tc>
        <w:tc>
          <w:tcPr>
            <w:tcW w:w="880" w:type="dxa"/>
            <w:vAlign w:val="center"/>
          </w:tcPr>
          <w:p w14:paraId="79C4EDA7"/>
        </w:tc>
        <w:tc>
          <w:tcPr>
            <w:tcW w:w="880" w:type="dxa"/>
            <w:vAlign w:val="center"/>
          </w:tcPr>
          <w:p w14:paraId="07338F29"/>
        </w:tc>
        <w:tc>
          <w:tcPr>
            <w:tcW w:w="900" w:type="dxa"/>
            <w:vAlign w:val="center"/>
          </w:tcPr>
          <w:p w14:paraId="7330B0A4"/>
        </w:tc>
        <w:tc>
          <w:tcPr>
            <w:tcW w:w="880" w:type="dxa"/>
            <w:vAlign w:val="center"/>
          </w:tcPr>
          <w:p w14:paraId="1C059DCA"/>
        </w:tc>
        <w:tc>
          <w:tcPr>
            <w:tcW w:w="986" w:type="dxa"/>
            <w:vAlign w:val="center"/>
          </w:tcPr>
          <w:p w14:paraId="0C32640E"/>
        </w:tc>
      </w:tr>
      <w:tr w14:paraId="168CB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82186A">
            <w:pPr>
              <w:jc w:val="left"/>
            </w:pPr>
            <w:r>
              <w:rPr>
                <w:rFonts w:ascii="宋体" w:hAnsi="宋体" w:eastAsia="宋体" w:cs="宋体"/>
                <w:b w:val="0"/>
                <w:i w:val="0"/>
                <w:color w:val="000000"/>
                <w:sz w:val="9"/>
              </w:rPr>
              <w:t>2013801</w:t>
            </w:r>
          </w:p>
        </w:tc>
        <w:tc>
          <w:tcPr>
            <w:tcW w:w="1420" w:type="dxa"/>
            <w:vAlign w:val="center"/>
          </w:tcPr>
          <w:p w14:paraId="6CF9DB64">
            <w:pPr>
              <w:jc w:val="left"/>
            </w:pPr>
            <w:r>
              <w:rPr>
                <w:rFonts w:ascii="宋体" w:hAnsi="宋体" w:eastAsia="宋体" w:cs="宋体"/>
                <w:b w:val="0"/>
                <w:i w:val="0"/>
                <w:color w:val="000000"/>
                <w:sz w:val="9"/>
              </w:rPr>
              <w:t>行政运行</w:t>
            </w:r>
          </w:p>
        </w:tc>
        <w:tc>
          <w:tcPr>
            <w:tcW w:w="860" w:type="dxa"/>
            <w:vAlign w:val="center"/>
          </w:tcPr>
          <w:p w14:paraId="6D8BB121">
            <w:pPr>
              <w:jc w:val="right"/>
            </w:pPr>
            <w:r>
              <w:rPr>
                <w:rFonts w:ascii="宋体" w:hAnsi="宋体" w:eastAsia="宋体" w:cs="宋体"/>
                <w:b w:val="0"/>
                <w:i w:val="0"/>
                <w:color w:val="000000"/>
                <w:sz w:val="9"/>
              </w:rPr>
              <w:t>1,032.54</w:t>
            </w:r>
          </w:p>
        </w:tc>
        <w:tc>
          <w:tcPr>
            <w:tcW w:w="900" w:type="dxa"/>
            <w:vAlign w:val="center"/>
          </w:tcPr>
          <w:p w14:paraId="0698C0BF">
            <w:pPr>
              <w:jc w:val="right"/>
            </w:pPr>
            <w:r>
              <w:rPr>
                <w:rFonts w:ascii="宋体" w:hAnsi="宋体" w:eastAsia="宋体" w:cs="宋体"/>
                <w:b w:val="0"/>
                <w:i w:val="0"/>
                <w:color w:val="000000"/>
                <w:sz w:val="9"/>
              </w:rPr>
              <w:t>1,032.54</w:t>
            </w:r>
          </w:p>
        </w:tc>
        <w:tc>
          <w:tcPr>
            <w:tcW w:w="880" w:type="dxa"/>
            <w:vAlign w:val="center"/>
          </w:tcPr>
          <w:p w14:paraId="5BB2FCE3"/>
        </w:tc>
        <w:tc>
          <w:tcPr>
            <w:tcW w:w="880" w:type="dxa"/>
            <w:vAlign w:val="center"/>
          </w:tcPr>
          <w:p w14:paraId="53FE9C9A"/>
        </w:tc>
        <w:tc>
          <w:tcPr>
            <w:tcW w:w="900" w:type="dxa"/>
            <w:vAlign w:val="center"/>
          </w:tcPr>
          <w:p w14:paraId="126075D1"/>
        </w:tc>
        <w:tc>
          <w:tcPr>
            <w:tcW w:w="880" w:type="dxa"/>
            <w:vAlign w:val="center"/>
          </w:tcPr>
          <w:p w14:paraId="44760FE7"/>
        </w:tc>
        <w:tc>
          <w:tcPr>
            <w:tcW w:w="986" w:type="dxa"/>
            <w:vAlign w:val="center"/>
          </w:tcPr>
          <w:p w14:paraId="2170462C"/>
        </w:tc>
      </w:tr>
      <w:tr w14:paraId="4CAD0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4BF0E2">
            <w:pPr>
              <w:jc w:val="left"/>
            </w:pPr>
            <w:r>
              <w:rPr>
                <w:rFonts w:ascii="宋体" w:hAnsi="宋体" w:eastAsia="宋体" w:cs="宋体"/>
                <w:b w:val="0"/>
                <w:i w:val="0"/>
                <w:color w:val="000000"/>
                <w:sz w:val="9"/>
              </w:rPr>
              <w:t>2013850</w:t>
            </w:r>
          </w:p>
        </w:tc>
        <w:tc>
          <w:tcPr>
            <w:tcW w:w="1420" w:type="dxa"/>
            <w:vAlign w:val="center"/>
          </w:tcPr>
          <w:p w14:paraId="6204E06B">
            <w:pPr>
              <w:jc w:val="left"/>
            </w:pPr>
            <w:r>
              <w:rPr>
                <w:rFonts w:ascii="宋体" w:hAnsi="宋体" w:eastAsia="宋体" w:cs="宋体"/>
                <w:b w:val="0"/>
                <w:i w:val="0"/>
                <w:color w:val="000000"/>
                <w:sz w:val="9"/>
              </w:rPr>
              <w:t>事业运行</w:t>
            </w:r>
          </w:p>
        </w:tc>
        <w:tc>
          <w:tcPr>
            <w:tcW w:w="860" w:type="dxa"/>
            <w:vAlign w:val="center"/>
          </w:tcPr>
          <w:p w14:paraId="0DBDC253">
            <w:pPr>
              <w:jc w:val="right"/>
            </w:pPr>
            <w:r>
              <w:rPr>
                <w:rFonts w:ascii="宋体" w:hAnsi="宋体" w:eastAsia="宋体" w:cs="宋体"/>
                <w:b w:val="0"/>
                <w:i w:val="0"/>
                <w:color w:val="000000"/>
                <w:sz w:val="9"/>
              </w:rPr>
              <w:t>357.78</w:t>
            </w:r>
          </w:p>
        </w:tc>
        <w:tc>
          <w:tcPr>
            <w:tcW w:w="900" w:type="dxa"/>
            <w:vAlign w:val="center"/>
          </w:tcPr>
          <w:p w14:paraId="60126CC6">
            <w:pPr>
              <w:jc w:val="right"/>
            </w:pPr>
            <w:r>
              <w:rPr>
                <w:rFonts w:ascii="宋体" w:hAnsi="宋体" w:eastAsia="宋体" w:cs="宋体"/>
                <w:b w:val="0"/>
                <w:i w:val="0"/>
                <w:color w:val="000000"/>
                <w:sz w:val="9"/>
              </w:rPr>
              <w:t>357.78</w:t>
            </w:r>
          </w:p>
        </w:tc>
        <w:tc>
          <w:tcPr>
            <w:tcW w:w="880" w:type="dxa"/>
            <w:vAlign w:val="center"/>
          </w:tcPr>
          <w:p w14:paraId="4B8B423E"/>
        </w:tc>
        <w:tc>
          <w:tcPr>
            <w:tcW w:w="880" w:type="dxa"/>
            <w:vAlign w:val="center"/>
          </w:tcPr>
          <w:p w14:paraId="2A15A06C"/>
        </w:tc>
        <w:tc>
          <w:tcPr>
            <w:tcW w:w="900" w:type="dxa"/>
            <w:vAlign w:val="center"/>
          </w:tcPr>
          <w:p w14:paraId="2BCA626F"/>
        </w:tc>
        <w:tc>
          <w:tcPr>
            <w:tcW w:w="880" w:type="dxa"/>
            <w:vAlign w:val="center"/>
          </w:tcPr>
          <w:p w14:paraId="6C9F2BF9"/>
        </w:tc>
        <w:tc>
          <w:tcPr>
            <w:tcW w:w="986" w:type="dxa"/>
            <w:vAlign w:val="center"/>
          </w:tcPr>
          <w:p w14:paraId="03F9C1BC"/>
        </w:tc>
      </w:tr>
      <w:tr w14:paraId="518C6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6E2BFF">
            <w:pPr>
              <w:jc w:val="left"/>
            </w:pPr>
            <w:r>
              <w:rPr>
                <w:rFonts w:ascii="宋体" w:hAnsi="宋体" w:eastAsia="宋体" w:cs="宋体"/>
                <w:b w:val="0"/>
                <w:i w:val="0"/>
                <w:color w:val="000000"/>
                <w:sz w:val="9"/>
              </w:rPr>
              <w:t>2013899</w:t>
            </w:r>
          </w:p>
        </w:tc>
        <w:tc>
          <w:tcPr>
            <w:tcW w:w="1420" w:type="dxa"/>
            <w:vAlign w:val="center"/>
          </w:tcPr>
          <w:p w14:paraId="235B2939">
            <w:pPr>
              <w:jc w:val="left"/>
            </w:pPr>
            <w:r>
              <w:rPr>
                <w:rFonts w:ascii="宋体" w:hAnsi="宋体" w:eastAsia="宋体" w:cs="宋体"/>
                <w:b w:val="0"/>
                <w:i w:val="0"/>
                <w:color w:val="000000"/>
                <w:sz w:val="9"/>
              </w:rPr>
              <w:t>其他市场监督管理事务</w:t>
            </w:r>
          </w:p>
        </w:tc>
        <w:tc>
          <w:tcPr>
            <w:tcW w:w="860" w:type="dxa"/>
            <w:vAlign w:val="center"/>
          </w:tcPr>
          <w:p w14:paraId="774D4AAF">
            <w:pPr>
              <w:jc w:val="right"/>
            </w:pPr>
            <w:r>
              <w:rPr>
                <w:rFonts w:ascii="宋体" w:hAnsi="宋体" w:eastAsia="宋体" w:cs="宋体"/>
                <w:b w:val="0"/>
                <w:i w:val="0"/>
                <w:color w:val="000000"/>
                <w:sz w:val="9"/>
              </w:rPr>
              <w:t>575.92</w:t>
            </w:r>
          </w:p>
        </w:tc>
        <w:tc>
          <w:tcPr>
            <w:tcW w:w="900" w:type="dxa"/>
            <w:vAlign w:val="center"/>
          </w:tcPr>
          <w:p w14:paraId="4FB2CF08">
            <w:pPr>
              <w:jc w:val="right"/>
            </w:pPr>
            <w:r>
              <w:rPr>
                <w:rFonts w:ascii="宋体" w:hAnsi="宋体" w:eastAsia="宋体" w:cs="宋体"/>
                <w:b w:val="0"/>
                <w:i w:val="0"/>
                <w:color w:val="000000"/>
                <w:sz w:val="9"/>
              </w:rPr>
              <w:t>575.92</w:t>
            </w:r>
          </w:p>
        </w:tc>
        <w:tc>
          <w:tcPr>
            <w:tcW w:w="880" w:type="dxa"/>
            <w:vAlign w:val="center"/>
          </w:tcPr>
          <w:p w14:paraId="3CCFD5FD"/>
        </w:tc>
        <w:tc>
          <w:tcPr>
            <w:tcW w:w="880" w:type="dxa"/>
            <w:vAlign w:val="center"/>
          </w:tcPr>
          <w:p w14:paraId="5408FECB"/>
        </w:tc>
        <w:tc>
          <w:tcPr>
            <w:tcW w:w="900" w:type="dxa"/>
            <w:vAlign w:val="center"/>
          </w:tcPr>
          <w:p w14:paraId="3B6BCBBF"/>
        </w:tc>
        <w:tc>
          <w:tcPr>
            <w:tcW w:w="880" w:type="dxa"/>
            <w:vAlign w:val="center"/>
          </w:tcPr>
          <w:p w14:paraId="15735AF5"/>
        </w:tc>
        <w:tc>
          <w:tcPr>
            <w:tcW w:w="986" w:type="dxa"/>
            <w:vAlign w:val="center"/>
          </w:tcPr>
          <w:p w14:paraId="04150AC5"/>
        </w:tc>
      </w:tr>
      <w:tr w14:paraId="7D492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F4B378">
            <w:pPr>
              <w:jc w:val="left"/>
            </w:pPr>
            <w:r>
              <w:rPr>
                <w:rFonts w:ascii="宋体" w:hAnsi="宋体" w:eastAsia="宋体" w:cs="宋体"/>
                <w:b w:val="0"/>
                <w:i w:val="0"/>
                <w:color w:val="000000"/>
                <w:sz w:val="9"/>
              </w:rPr>
              <w:t>208</w:t>
            </w:r>
          </w:p>
        </w:tc>
        <w:tc>
          <w:tcPr>
            <w:tcW w:w="1420" w:type="dxa"/>
            <w:vAlign w:val="center"/>
          </w:tcPr>
          <w:p w14:paraId="744D8FCC">
            <w:pPr>
              <w:jc w:val="left"/>
            </w:pPr>
            <w:r>
              <w:rPr>
                <w:rFonts w:ascii="宋体" w:hAnsi="宋体" w:eastAsia="宋体" w:cs="宋体"/>
                <w:b w:val="0"/>
                <w:i w:val="0"/>
                <w:color w:val="000000"/>
                <w:sz w:val="9"/>
              </w:rPr>
              <w:t>社会保障和就业支出</w:t>
            </w:r>
          </w:p>
        </w:tc>
        <w:tc>
          <w:tcPr>
            <w:tcW w:w="860" w:type="dxa"/>
            <w:vAlign w:val="center"/>
          </w:tcPr>
          <w:p w14:paraId="786E7FB6">
            <w:pPr>
              <w:jc w:val="right"/>
            </w:pPr>
            <w:r>
              <w:rPr>
                <w:rFonts w:ascii="宋体" w:hAnsi="宋体" w:eastAsia="宋体" w:cs="宋体"/>
                <w:b w:val="0"/>
                <w:i w:val="0"/>
                <w:color w:val="000000"/>
                <w:sz w:val="9"/>
              </w:rPr>
              <w:t>198.25</w:t>
            </w:r>
          </w:p>
        </w:tc>
        <w:tc>
          <w:tcPr>
            <w:tcW w:w="900" w:type="dxa"/>
            <w:vAlign w:val="center"/>
          </w:tcPr>
          <w:p w14:paraId="796D9B29">
            <w:pPr>
              <w:jc w:val="right"/>
            </w:pPr>
            <w:r>
              <w:rPr>
                <w:rFonts w:ascii="宋体" w:hAnsi="宋体" w:eastAsia="宋体" w:cs="宋体"/>
                <w:b w:val="0"/>
                <w:i w:val="0"/>
                <w:color w:val="000000"/>
                <w:sz w:val="9"/>
              </w:rPr>
              <w:t>198.25</w:t>
            </w:r>
          </w:p>
        </w:tc>
        <w:tc>
          <w:tcPr>
            <w:tcW w:w="880" w:type="dxa"/>
            <w:vAlign w:val="center"/>
          </w:tcPr>
          <w:p w14:paraId="52F0DA2C"/>
        </w:tc>
        <w:tc>
          <w:tcPr>
            <w:tcW w:w="880" w:type="dxa"/>
            <w:vAlign w:val="center"/>
          </w:tcPr>
          <w:p w14:paraId="274BA26D"/>
        </w:tc>
        <w:tc>
          <w:tcPr>
            <w:tcW w:w="900" w:type="dxa"/>
            <w:vAlign w:val="center"/>
          </w:tcPr>
          <w:p w14:paraId="1831CF7D"/>
        </w:tc>
        <w:tc>
          <w:tcPr>
            <w:tcW w:w="880" w:type="dxa"/>
            <w:vAlign w:val="center"/>
          </w:tcPr>
          <w:p w14:paraId="1379D926"/>
        </w:tc>
        <w:tc>
          <w:tcPr>
            <w:tcW w:w="986" w:type="dxa"/>
            <w:vAlign w:val="center"/>
          </w:tcPr>
          <w:p w14:paraId="0B3B96ED"/>
        </w:tc>
      </w:tr>
      <w:tr w14:paraId="7563E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561092">
            <w:pPr>
              <w:jc w:val="left"/>
            </w:pPr>
            <w:r>
              <w:rPr>
                <w:rFonts w:ascii="宋体" w:hAnsi="宋体" w:eastAsia="宋体" w:cs="宋体"/>
                <w:b w:val="0"/>
                <w:i w:val="0"/>
                <w:color w:val="000000"/>
                <w:sz w:val="9"/>
              </w:rPr>
              <w:t>20805</w:t>
            </w:r>
          </w:p>
        </w:tc>
        <w:tc>
          <w:tcPr>
            <w:tcW w:w="1420" w:type="dxa"/>
            <w:vAlign w:val="center"/>
          </w:tcPr>
          <w:p w14:paraId="2B82D3D1">
            <w:pPr>
              <w:jc w:val="left"/>
            </w:pPr>
            <w:r>
              <w:rPr>
                <w:rFonts w:ascii="宋体" w:hAnsi="宋体" w:eastAsia="宋体" w:cs="宋体"/>
                <w:b w:val="0"/>
                <w:i w:val="0"/>
                <w:color w:val="000000"/>
                <w:sz w:val="9"/>
              </w:rPr>
              <w:t>行政事业单位养老支出</w:t>
            </w:r>
          </w:p>
        </w:tc>
        <w:tc>
          <w:tcPr>
            <w:tcW w:w="860" w:type="dxa"/>
            <w:vAlign w:val="center"/>
          </w:tcPr>
          <w:p w14:paraId="0A933799">
            <w:pPr>
              <w:jc w:val="right"/>
            </w:pPr>
            <w:r>
              <w:rPr>
                <w:rFonts w:ascii="宋体" w:hAnsi="宋体" w:eastAsia="宋体" w:cs="宋体"/>
                <w:b w:val="0"/>
                <w:i w:val="0"/>
                <w:color w:val="000000"/>
                <w:sz w:val="9"/>
              </w:rPr>
              <w:t>198.25</w:t>
            </w:r>
          </w:p>
        </w:tc>
        <w:tc>
          <w:tcPr>
            <w:tcW w:w="900" w:type="dxa"/>
            <w:vAlign w:val="center"/>
          </w:tcPr>
          <w:p w14:paraId="0660DC17">
            <w:pPr>
              <w:jc w:val="right"/>
            </w:pPr>
            <w:r>
              <w:rPr>
                <w:rFonts w:ascii="宋体" w:hAnsi="宋体" w:eastAsia="宋体" w:cs="宋体"/>
                <w:b w:val="0"/>
                <w:i w:val="0"/>
                <w:color w:val="000000"/>
                <w:sz w:val="9"/>
              </w:rPr>
              <w:t>198.25</w:t>
            </w:r>
          </w:p>
        </w:tc>
        <w:tc>
          <w:tcPr>
            <w:tcW w:w="880" w:type="dxa"/>
            <w:vAlign w:val="center"/>
          </w:tcPr>
          <w:p w14:paraId="58C22AC3"/>
        </w:tc>
        <w:tc>
          <w:tcPr>
            <w:tcW w:w="880" w:type="dxa"/>
            <w:vAlign w:val="center"/>
          </w:tcPr>
          <w:p w14:paraId="369BA264"/>
        </w:tc>
        <w:tc>
          <w:tcPr>
            <w:tcW w:w="900" w:type="dxa"/>
            <w:vAlign w:val="center"/>
          </w:tcPr>
          <w:p w14:paraId="68A90135"/>
        </w:tc>
        <w:tc>
          <w:tcPr>
            <w:tcW w:w="880" w:type="dxa"/>
            <w:vAlign w:val="center"/>
          </w:tcPr>
          <w:p w14:paraId="60F6FA73"/>
        </w:tc>
        <w:tc>
          <w:tcPr>
            <w:tcW w:w="986" w:type="dxa"/>
            <w:vAlign w:val="center"/>
          </w:tcPr>
          <w:p w14:paraId="5134AB0F"/>
        </w:tc>
      </w:tr>
      <w:tr w14:paraId="1E689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D5C376">
            <w:pPr>
              <w:jc w:val="left"/>
            </w:pPr>
            <w:r>
              <w:rPr>
                <w:rFonts w:ascii="宋体" w:hAnsi="宋体" w:eastAsia="宋体" w:cs="宋体"/>
                <w:b w:val="0"/>
                <w:i w:val="0"/>
                <w:color w:val="000000"/>
                <w:sz w:val="9"/>
              </w:rPr>
              <w:t>2080505</w:t>
            </w:r>
          </w:p>
        </w:tc>
        <w:tc>
          <w:tcPr>
            <w:tcW w:w="1420" w:type="dxa"/>
            <w:vAlign w:val="center"/>
          </w:tcPr>
          <w:p w14:paraId="339AAA78">
            <w:pPr>
              <w:jc w:val="left"/>
            </w:pPr>
            <w:r>
              <w:rPr>
                <w:rFonts w:ascii="宋体" w:hAnsi="宋体" w:eastAsia="宋体" w:cs="宋体"/>
                <w:b w:val="0"/>
                <w:i w:val="0"/>
                <w:color w:val="000000"/>
                <w:sz w:val="9"/>
              </w:rPr>
              <w:t>机关事业单位基本养老保险缴费支出</w:t>
            </w:r>
          </w:p>
        </w:tc>
        <w:tc>
          <w:tcPr>
            <w:tcW w:w="860" w:type="dxa"/>
            <w:vAlign w:val="center"/>
          </w:tcPr>
          <w:p w14:paraId="3D25C811">
            <w:pPr>
              <w:jc w:val="right"/>
            </w:pPr>
            <w:r>
              <w:rPr>
                <w:rFonts w:ascii="宋体" w:hAnsi="宋体" w:eastAsia="宋体" w:cs="宋体"/>
                <w:b w:val="0"/>
                <w:i w:val="0"/>
                <w:color w:val="000000"/>
                <w:sz w:val="9"/>
              </w:rPr>
              <w:t>132.17</w:t>
            </w:r>
          </w:p>
        </w:tc>
        <w:tc>
          <w:tcPr>
            <w:tcW w:w="900" w:type="dxa"/>
            <w:vAlign w:val="center"/>
          </w:tcPr>
          <w:p w14:paraId="7D17E3AB">
            <w:pPr>
              <w:jc w:val="right"/>
            </w:pPr>
            <w:r>
              <w:rPr>
                <w:rFonts w:ascii="宋体" w:hAnsi="宋体" w:eastAsia="宋体" w:cs="宋体"/>
                <w:b w:val="0"/>
                <w:i w:val="0"/>
                <w:color w:val="000000"/>
                <w:sz w:val="9"/>
              </w:rPr>
              <w:t>132.17</w:t>
            </w:r>
          </w:p>
        </w:tc>
        <w:tc>
          <w:tcPr>
            <w:tcW w:w="880" w:type="dxa"/>
            <w:vAlign w:val="center"/>
          </w:tcPr>
          <w:p w14:paraId="383EBB5F"/>
        </w:tc>
        <w:tc>
          <w:tcPr>
            <w:tcW w:w="880" w:type="dxa"/>
            <w:vAlign w:val="center"/>
          </w:tcPr>
          <w:p w14:paraId="33581498"/>
        </w:tc>
        <w:tc>
          <w:tcPr>
            <w:tcW w:w="900" w:type="dxa"/>
            <w:vAlign w:val="center"/>
          </w:tcPr>
          <w:p w14:paraId="5FC0A2BF"/>
        </w:tc>
        <w:tc>
          <w:tcPr>
            <w:tcW w:w="880" w:type="dxa"/>
            <w:vAlign w:val="center"/>
          </w:tcPr>
          <w:p w14:paraId="63072A64"/>
        </w:tc>
        <w:tc>
          <w:tcPr>
            <w:tcW w:w="986" w:type="dxa"/>
            <w:vAlign w:val="center"/>
          </w:tcPr>
          <w:p w14:paraId="2CF2A2A0"/>
        </w:tc>
      </w:tr>
      <w:tr w14:paraId="66E56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4FB2D3">
            <w:pPr>
              <w:jc w:val="left"/>
            </w:pPr>
            <w:r>
              <w:rPr>
                <w:rFonts w:ascii="宋体" w:hAnsi="宋体" w:eastAsia="宋体" w:cs="宋体"/>
                <w:b w:val="0"/>
                <w:i w:val="0"/>
                <w:color w:val="000000"/>
                <w:sz w:val="9"/>
              </w:rPr>
              <w:t>2080506</w:t>
            </w:r>
          </w:p>
        </w:tc>
        <w:tc>
          <w:tcPr>
            <w:tcW w:w="1420" w:type="dxa"/>
            <w:vAlign w:val="center"/>
          </w:tcPr>
          <w:p w14:paraId="2E374981">
            <w:pPr>
              <w:jc w:val="left"/>
            </w:pPr>
            <w:r>
              <w:rPr>
                <w:rFonts w:ascii="宋体" w:hAnsi="宋体" w:eastAsia="宋体" w:cs="宋体"/>
                <w:b w:val="0"/>
                <w:i w:val="0"/>
                <w:color w:val="000000"/>
                <w:sz w:val="9"/>
              </w:rPr>
              <w:t>机关事业单位职业年金缴费支出</w:t>
            </w:r>
          </w:p>
        </w:tc>
        <w:tc>
          <w:tcPr>
            <w:tcW w:w="860" w:type="dxa"/>
            <w:vAlign w:val="center"/>
          </w:tcPr>
          <w:p w14:paraId="17969F54">
            <w:pPr>
              <w:jc w:val="right"/>
            </w:pPr>
            <w:r>
              <w:rPr>
                <w:rFonts w:ascii="宋体" w:hAnsi="宋体" w:eastAsia="宋体" w:cs="宋体"/>
                <w:b w:val="0"/>
                <w:i w:val="0"/>
                <w:color w:val="000000"/>
                <w:sz w:val="9"/>
              </w:rPr>
              <w:t>66.08</w:t>
            </w:r>
          </w:p>
        </w:tc>
        <w:tc>
          <w:tcPr>
            <w:tcW w:w="900" w:type="dxa"/>
            <w:vAlign w:val="center"/>
          </w:tcPr>
          <w:p w14:paraId="62CB144C">
            <w:pPr>
              <w:jc w:val="right"/>
            </w:pPr>
            <w:r>
              <w:rPr>
                <w:rFonts w:ascii="宋体" w:hAnsi="宋体" w:eastAsia="宋体" w:cs="宋体"/>
                <w:b w:val="0"/>
                <w:i w:val="0"/>
                <w:color w:val="000000"/>
                <w:sz w:val="9"/>
              </w:rPr>
              <w:t>66.08</w:t>
            </w:r>
          </w:p>
        </w:tc>
        <w:tc>
          <w:tcPr>
            <w:tcW w:w="880" w:type="dxa"/>
            <w:vAlign w:val="center"/>
          </w:tcPr>
          <w:p w14:paraId="4B76E635"/>
        </w:tc>
        <w:tc>
          <w:tcPr>
            <w:tcW w:w="880" w:type="dxa"/>
            <w:vAlign w:val="center"/>
          </w:tcPr>
          <w:p w14:paraId="2D7DED6A"/>
        </w:tc>
        <w:tc>
          <w:tcPr>
            <w:tcW w:w="900" w:type="dxa"/>
            <w:vAlign w:val="center"/>
          </w:tcPr>
          <w:p w14:paraId="6F3C2572"/>
        </w:tc>
        <w:tc>
          <w:tcPr>
            <w:tcW w:w="880" w:type="dxa"/>
            <w:vAlign w:val="center"/>
          </w:tcPr>
          <w:p w14:paraId="3494D920"/>
        </w:tc>
        <w:tc>
          <w:tcPr>
            <w:tcW w:w="986" w:type="dxa"/>
            <w:vAlign w:val="center"/>
          </w:tcPr>
          <w:p w14:paraId="79433BB7"/>
        </w:tc>
      </w:tr>
      <w:tr w14:paraId="17686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D2F8ED">
            <w:pPr>
              <w:jc w:val="left"/>
            </w:pPr>
            <w:r>
              <w:rPr>
                <w:rFonts w:ascii="宋体" w:hAnsi="宋体" w:eastAsia="宋体" w:cs="宋体"/>
                <w:b w:val="0"/>
                <w:i w:val="0"/>
                <w:color w:val="000000"/>
                <w:sz w:val="9"/>
              </w:rPr>
              <w:t>210</w:t>
            </w:r>
          </w:p>
        </w:tc>
        <w:tc>
          <w:tcPr>
            <w:tcW w:w="1420" w:type="dxa"/>
            <w:vAlign w:val="center"/>
          </w:tcPr>
          <w:p w14:paraId="2F471B1F">
            <w:pPr>
              <w:jc w:val="left"/>
            </w:pPr>
            <w:r>
              <w:rPr>
                <w:rFonts w:ascii="宋体" w:hAnsi="宋体" w:eastAsia="宋体" w:cs="宋体"/>
                <w:b w:val="0"/>
                <w:i w:val="0"/>
                <w:color w:val="000000"/>
                <w:sz w:val="9"/>
              </w:rPr>
              <w:t>卫生健康支出</w:t>
            </w:r>
          </w:p>
        </w:tc>
        <w:tc>
          <w:tcPr>
            <w:tcW w:w="860" w:type="dxa"/>
            <w:vAlign w:val="center"/>
          </w:tcPr>
          <w:p w14:paraId="5EF82F12">
            <w:pPr>
              <w:jc w:val="right"/>
            </w:pPr>
            <w:r>
              <w:rPr>
                <w:rFonts w:ascii="宋体" w:hAnsi="宋体" w:eastAsia="宋体" w:cs="宋体"/>
                <w:b w:val="0"/>
                <w:i w:val="0"/>
                <w:color w:val="000000"/>
                <w:sz w:val="9"/>
              </w:rPr>
              <w:t>40.82</w:t>
            </w:r>
          </w:p>
        </w:tc>
        <w:tc>
          <w:tcPr>
            <w:tcW w:w="900" w:type="dxa"/>
            <w:vAlign w:val="center"/>
          </w:tcPr>
          <w:p w14:paraId="1B48E6AE">
            <w:pPr>
              <w:jc w:val="right"/>
            </w:pPr>
            <w:r>
              <w:rPr>
                <w:rFonts w:ascii="宋体" w:hAnsi="宋体" w:eastAsia="宋体" w:cs="宋体"/>
                <w:b w:val="0"/>
                <w:i w:val="0"/>
                <w:color w:val="000000"/>
                <w:sz w:val="9"/>
              </w:rPr>
              <w:t>40.82</w:t>
            </w:r>
          </w:p>
        </w:tc>
        <w:tc>
          <w:tcPr>
            <w:tcW w:w="880" w:type="dxa"/>
            <w:vAlign w:val="center"/>
          </w:tcPr>
          <w:p w14:paraId="5E31D8B9"/>
        </w:tc>
        <w:tc>
          <w:tcPr>
            <w:tcW w:w="880" w:type="dxa"/>
            <w:vAlign w:val="center"/>
          </w:tcPr>
          <w:p w14:paraId="55F59F01"/>
        </w:tc>
        <w:tc>
          <w:tcPr>
            <w:tcW w:w="900" w:type="dxa"/>
            <w:vAlign w:val="center"/>
          </w:tcPr>
          <w:p w14:paraId="2D5F2454"/>
        </w:tc>
        <w:tc>
          <w:tcPr>
            <w:tcW w:w="880" w:type="dxa"/>
            <w:vAlign w:val="center"/>
          </w:tcPr>
          <w:p w14:paraId="36CA7D3E"/>
        </w:tc>
        <w:tc>
          <w:tcPr>
            <w:tcW w:w="986" w:type="dxa"/>
            <w:vAlign w:val="center"/>
          </w:tcPr>
          <w:p w14:paraId="3A76AC52"/>
        </w:tc>
      </w:tr>
      <w:tr w14:paraId="0925A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A993CE">
            <w:pPr>
              <w:jc w:val="left"/>
            </w:pPr>
            <w:r>
              <w:rPr>
                <w:rFonts w:ascii="宋体" w:hAnsi="宋体" w:eastAsia="宋体" w:cs="宋体"/>
                <w:b w:val="0"/>
                <w:i w:val="0"/>
                <w:color w:val="000000"/>
                <w:sz w:val="9"/>
              </w:rPr>
              <w:t>21011</w:t>
            </w:r>
          </w:p>
        </w:tc>
        <w:tc>
          <w:tcPr>
            <w:tcW w:w="1420" w:type="dxa"/>
            <w:vAlign w:val="center"/>
          </w:tcPr>
          <w:p w14:paraId="1555F087">
            <w:pPr>
              <w:jc w:val="left"/>
            </w:pPr>
            <w:r>
              <w:rPr>
                <w:rFonts w:ascii="宋体" w:hAnsi="宋体" w:eastAsia="宋体" w:cs="宋体"/>
                <w:b w:val="0"/>
                <w:i w:val="0"/>
                <w:color w:val="000000"/>
                <w:sz w:val="9"/>
              </w:rPr>
              <w:t>行政事业单位医疗</w:t>
            </w:r>
          </w:p>
        </w:tc>
        <w:tc>
          <w:tcPr>
            <w:tcW w:w="860" w:type="dxa"/>
            <w:vAlign w:val="center"/>
          </w:tcPr>
          <w:p w14:paraId="5C6B3AB5">
            <w:pPr>
              <w:jc w:val="right"/>
            </w:pPr>
            <w:r>
              <w:rPr>
                <w:rFonts w:ascii="宋体" w:hAnsi="宋体" w:eastAsia="宋体" w:cs="宋体"/>
                <w:b w:val="0"/>
                <w:i w:val="0"/>
                <w:color w:val="000000"/>
                <w:sz w:val="9"/>
              </w:rPr>
              <w:t>40.82</w:t>
            </w:r>
          </w:p>
        </w:tc>
        <w:tc>
          <w:tcPr>
            <w:tcW w:w="900" w:type="dxa"/>
            <w:vAlign w:val="center"/>
          </w:tcPr>
          <w:p w14:paraId="7CDDE089">
            <w:pPr>
              <w:jc w:val="right"/>
            </w:pPr>
            <w:r>
              <w:rPr>
                <w:rFonts w:ascii="宋体" w:hAnsi="宋体" w:eastAsia="宋体" w:cs="宋体"/>
                <w:b w:val="0"/>
                <w:i w:val="0"/>
                <w:color w:val="000000"/>
                <w:sz w:val="9"/>
              </w:rPr>
              <w:t>40.82</w:t>
            </w:r>
          </w:p>
        </w:tc>
        <w:tc>
          <w:tcPr>
            <w:tcW w:w="880" w:type="dxa"/>
            <w:vAlign w:val="center"/>
          </w:tcPr>
          <w:p w14:paraId="33E44709"/>
        </w:tc>
        <w:tc>
          <w:tcPr>
            <w:tcW w:w="880" w:type="dxa"/>
            <w:vAlign w:val="center"/>
          </w:tcPr>
          <w:p w14:paraId="2ED2A255"/>
        </w:tc>
        <w:tc>
          <w:tcPr>
            <w:tcW w:w="900" w:type="dxa"/>
            <w:vAlign w:val="center"/>
          </w:tcPr>
          <w:p w14:paraId="3E11E778"/>
        </w:tc>
        <w:tc>
          <w:tcPr>
            <w:tcW w:w="880" w:type="dxa"/>
            <w:vAlign w:val="center"/>
          </w:tcPr>
          <w:p w14:paraId="0F939D47"/>
        </w:tc>
        <w:tc>
          <w:tcPr>
            <w:tcW w:w="986" w:type="dxa"/>
            <w:vAlign w:val="center"/>
          </w:tcPr>
          <w:p w14:paraId="5C1EAF71"/>
        </w:tc>
      </w:tr>
      <w:tr w14:paraId="51CC4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9CC2AF">
            <w:pPr>
              <w:jc w:val="left"/>
            </w:pPr>
            <w:r>
              <w:rPr>
                <w:rFonts w:ascii="宋体" w:hAnsi="宋体" w:eastAsia="宋体" w:cs="宋体"/>
                <w:b w:val="0"/>
                <w:i w:val="0"/>
                <w:color w:val="000000"/>
                <w:sz w:val="9"/>
              </w:rPr>
              <w:t>2101101</w:t>
            </w:r>
          </w:p>
        </w:tc>
        <w:tc>
          <w:tcPr>
            <w:tcW w:w="1420" w:type="dxa"/>
            <w:vAlign w:val="center"/>
          </w:tcPr>
          <w:p w14:paraId="056D70E2">
            <w:pPr>
              <w:jc w:val="left"/>
            </w:pPr>
            <w:r>
              <w:rPr>
                <w:rFonts w:ascii="宋体" w:hAnsi="宋体" w:eastAsia="宋体" w:cs="宋体"/>
                <w:b w:val="0"/>
                <w:i w:val="0"/>
                <w:color w:val="000000"/>
                <w:sz w:val="9"/>
              </w:rPr>
              <w:t>行政单位医疗</w:t>
            </w:r>
          </w:p>
        </w:tc>
        <w:tc>
          <w:tcPr>
            <w:tcW w:w="860" w:type="dxa"/>
            <w:vAlign w:val="center"/>
          </w:tcPr>
          <w:p w14:paraId="3FC660F5">
            <w:pPr>
              <w:jc w:val="right"/>
            </w:pPr>
            <w:r>
              <w:rPr>
                <w:rFonts w:ascii="宋体" w:hAnsi="宋体" w:eastAsia="宋体" w:cs="宋体"/>
                <w:b w:val="0"/>
                <w:i w:val="0"/>
                <w:color w:val="000000"/>
                <w:sz w:val="9"/>
              </w:rPr>
              <w:t>29.66</w:t>
            </w:r>
          </w:p>
        </w:tc>
        <w:tc>
          <w:tcPr>
            <w:tcW w:w="900" w:type="dxa"/>
            <w:vAlign w:val="center"/>
          </w:tcPr>
          <w:p w14:paraId="20ECF024">
            <w:pPr>
              <w:jc w:val="right"/>
            </w:pPr>
            <w:r>
              <w:rPr>
                <w:rFonts w:ascii="宋体" w:hAnsi="宋体" w:eastAsia="宋体" w:cs="宋体"/>
                <w:b w:val="0"/>
                <w:i w:val="0"/>
                <w:color w:val="000000"/>
                <w:sz w:val="9"/>
              </w:rPr>
              <w:t>29.66</w:t>
            </w:r>
          </w:p>
        </w:tc>
        <w:tc>
          <w:tcPr>
            <w:tcW w:w="880" w:type="dxa"/>
            <w:vAlign w:val="center"/>
          </w:tcPr>
          <w:p w14:paraId="61AADB0E"/>
        </w:tc>
        <w:tc>
          <w:tcPr>
            <w:tcW w:w="880" w:type="dxa"/>
            <w:vAlign w:val="center"/>
          </w:tcPr>
          <w:p w14:paraId="442A73D5"/>
        </w:tc>
        <w:tc>
          <w:tcPr>
            <w:tcW w:w="900" w:type="dxa"/>
            <w:vAlign w:val="center"/>
          </w:tcPr>
          <w:p w14:paraId="13B6F58A"/>
        </w:tc>
        <w:tc>
          <w:tcPr>
            <w:tcW w:w="880" w:type="dxa"/>
            <w:vAlign w:val="center"/>
          </w:tcPr>
          <w:p w14:paraId="77E60FC9"/>
        </w:tc>
        <w:tc>
          <w:tcPr>
            <w:tcW w:w="986" w:type="dxa"/>
            <w:vAlign w:val="center"/>
          </w:tcPr>
          <w:p w14:paraId="64ED796C"/>
        </w:tc>
      </w:tr>
      <w:tr w14:paraId="24D06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139F60">
            <w:pPr>
              <w:jc w:val="left"/>
            </w:pPr>
            <w:r>
              <w:rPr>
                <w:rFonts w:ascii="宋体" w:hAnsi="宋体" w:eastAsia="宋体" w:cs="宋体"/>
                <w:b w:val="0"/>
                <w:i w:val="0"/>
                <w:color w:val="000000"/>
                <w:sz w:val="9"/>
              </w:rPr>
              <w:t>2101102</w:t>
            </w:r>
          </w:p>
        </w:tc>
        <w:tc>
          <w:tcPr>
            <w:tcW w:w="1420" w:type="dxa"/>
            <w:vAlign w:val="center"/>
          </w:tcPr>
          <w:p w14:paraId="62A6B888">
            <w:pPr>
              <w:jc w:val="left"/>
            </w:pPr>
            <w:r>
              <w:rPr>
                <w:rFonts w:ascii="宋体" w:hAnsi="宋体" w:eastAsia="宋体" w:cs="宋体"/>
                <w:b w:val="0"/>
                <w:i w:val="0"/>
                <w:color w:val="000000"/>
                <w:sz w:val="9"/>
              </w:rPr>
              <w:t>事业单位医疗</w:t>
            </w:r>
          </w:p>
        </w:tc>
        <w:tc>
          <w:tcPr>
            <w:tcW w:w="860" w:type="dxa"/>
            <w:vAlign w:val="center"/>
          </w:tcPr>
          <w:p w14:paraId="3585FA65">
            <w:pPr>
              <w:jc w:val="right"/>
            </w:pPr>
            <w:r>
              <w:rPr>
                <w:rFonts w:ascii="宋体" w:hAnsi="宋体" w:eastAsia="宋体" w:cs="宋体"/>
                <w:b w:val="0"/>
                <w:i w:val="0"/>
                <w:color w:val="000000"/>
                <w:sz w:val="9"/>
              </w:rPr>
              <w:t>9.50</w:t>
            </w:r>
          </w:p>
        </w:tc>
        <w:tc>
          <w:tcPr>
            <w:tcW w:w="900" w:type="dxa"/>
            <w:vAlign w:val="center"/>
          </w:tcPr>
          <w:p w14:paraId="78E7A17C">
            <w:pPr>
              <w:jc w:val="right"/>
            </w:pPr>
            <w:r>
              <w:rPr>
                <w:rFonts w:ascii="宋体" w:hAnsi="宋体" w:eastAsia="宋体" w:cs="宋体"/>
                <w:b w:val="0"/>
                <w:i w:val="0"/>
                <w:color w:val="000000"/>
                <w:sz w:val="9"/>
              </w:rPr>
              <w:t>9.50</w:t>
            </w:r>
          </w:p>
        </w:tc>
        <w:tc>
          <w:tcPr>
            <w:tcW w:w="880" w:type="dxa"/>
            <w:vAlign w:val="center"/>
          </w:tcPr>
          <w:p w14:paraId="41442A86"/>
        </w:tc>
        <w:tc>
          <w:tcPr>
            <w:tcW w:w="880" w:type="dxa"/>
            <w:vAlign w:val="center"/>
          </w:tcPr>
          <w:p w14:paraId="10AF0623"/>
        </w:tc>
        <w:tc>
          <w:tcPr>
            <w:tcW w:w="900" w:type="dxa"/>
            <w:vAlign w:val="center"/>
          </w:tcPr>
          <w:p w14:paraId="334F5CCE"/>
        </w:tc>
        <w:tc>
          <w:tcPr>
            <w:tcW w:w="880" w:type="dxa"/>
            <w:vAlign w:val="center"/>
          </w:tcPr>
          <w:p w14:paraId="68F8D64E"/>
        </w:tc>
        <w:tc>
          <w:tcPr>
            <w:tcW w:w="986" w:type="dxa"/>
            <w:vAlign w:val="center"/>
          </w:tcPr>
          <w:p w14:paraId="13284647"/>
        </w:tc>
      </w:tr>
      <w:tr w14:paraId="43794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7FFB03">
            <w:pPr>
              <w:jc w:val="left"/>
            </w:pPr>
            <w:r>
              <w:rPr>
                <w:rFonts w:ascii="宋体" w:hAnsi="宋体" w:eastAsia="宋体" w:cs="宋体"/>
                <w:b w:val="0"/>
                <w:i w:val="0"/>
                <w:color w:val="000000"/>
                <w:sz w:val="9"/>
              </w:rPr>
              <w:t>2101199</w:t>
            </w:r>
          </w:p>
        </w:tc>
        <w:tc>
          <w:tcPr>
            <w:tcW w:w="1420" w:type="dxa"/>
            <w:vAlign w:val="center"/>
          </w:tcPr>
          <w:p w14:paraId="119AB773">
            <w:pPr>
              <w:jc w:val="left"/>
            </w:pPr>
            <w:r>
              <w:rPr>
                <w:rFonts w:ascii="宋体" w:hAnsi="宋体" w:eastAsia="宋体" w:cs="宋体"/>
                <w:b w:val="0"/>
                <w:i w:val="0"/>
                <w:color w:val="000000"/>
                <w:sz w:val="9"/>
              </w:rPr>
              <w:t>其他行政事业单位医疗支出</w:t>
            </w:r>
          </w:p>
        </w:tc>
        <w:tc>
          <w:tcPr>
            <w:tcW w:w="860" w:type="dxa"/>
            <w:vAlign w:val="center"/>
          </w:tcPr>
          <w:p w14:paraId="28185CA6">
            <w:pPr>
              <w:jc w:val="right"/>
            </w:pPr>
            <w:r>
              <w:rPr>
                <w:rFonts w:ascii="宋体" w:hAnsi="宋体" w:eastAsia="宋体" w:cs="宋体"/>
                <w:b w:val="0"/>
                <w:i w:val="0"/>
                <w:color w:val="000000"/>
                <w:sz w:val="9"/>
              </w:rPr>
              <w:t>1.65</w:t>
            </w:r>
          </w:p>
        </w:tc>
        <w:tc>
          <w:tcPr>
            <w:tcW w:w="900" w:type="dxa"/>
            <w:vAlign w:val="center"/>
          </w:tcPr>
          <w:p w14:paraId="694DBF47">
            <w:pPr>
              <w:jc w:val="right"/>
            </w:pPr>
            <w:r>
              <w:rPr>
                <w:rFonts w:ascii="宋体" w:hAnsi="宋体" w:eastAsia="宋体" w:cs="宋体"/>
                <w:b w:val="0"/>
                <w:i w:val="0"/>
                <w:color w:val="000000"/>
                <w:sz w:val="9"/>
              </w:rPr>
              <w:t>1.65</w:t>
            </w:r>
          </w:p>
        </w:tc>
        <w:tc>
          <w:tcPr>
            <w:tcW w:w="880" w:type="dxa"/>
            <w:vAlign w:val="center"/>
          </w:tcPr>
          <w:p w14:paraId="41BE54DA"/>
        </w:tc>
        <w:tc>
          <w:tcPr>
            <w:tcW w:w="880" w:type="dxa"/>
            <w:vAlign w:val="center"/>
          </w:tcPr>
          <w:p w14:paraId="33C89DEC"/>
        </w:tc>
        <w:tc>
          <w:tcPr>
            <w:tcW w:w="900" w:type="dxa"/>
            <w:vAlign w:val="center"/>
          </w:tcPr>
          <w:p w14:paraId="63E31B45"/>
        </w:tc>
        <w:tc>
          <w:tcPr>
            <w:tcW w:w="880" w:type="dxa"/>
            <w:vAlign w:val="center"/>
          </w:tcPr>
          <w:p w14:paraId="5645B189"/>
        </w:tc>
        <w:tc>
          <w:tcPr>
            <w:tcW w:w="986" w:type="dxa"/>
            <w:vAlign w:val="center"/>
          </w:tcPr>
          <w:p w14:paraId="17505B25"/>
        </w:tc>
      </w:tr>
      <w:tr w14:paraId="4D3CE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199B1E">
            <w:pPr>
              <w:jc w:val="left"/>
            </w:pPr>
            <w:r>
              <w:rPr>
                <w:rFonts w:ascii="宋体" w:hAnsi="宋体" w:eastAsia="宋体" w:cs="宋体"/>
                <w:b w:val="0"/>
                <w:i w:val="0"/>
                <w:color w:val="000000"/>
                <w:sz w:val="9"/>
              </w:rPr>
              <w:t>212</w:t>
            </w:r>
          </w:p>
        </w:tc>
        <w:tc>
          <w:tcPr>
            <w:tcW w:w="1420" w:type="dxa"/>
            <w:vAlign w:val="center"/>
          </w:tcPr>
          <w:p w14:paraId="51145BC6">
            <w:pPr>
              <w:jc w:val="left"/>
            </w:pPr>
            <w:r>
              <w:rPr>
                <w:rFonts w:ascii="宋体" w:hAnsi="宋体" w:eastAsia="宋体" w:cs="宋体"/>
                <w:b w:val="0"/>
                <w:i w:val="0"/>
                <w:color w:val="000000"/>
                <w:sz w:val="9"/>
              </w:rPr>
              <w:t>城乡社区支出</w:t>
            </w:r>
          </w:p>
        </w:tc>
        <w:tc>
          <w:tcPr>
            <w:tcW w:w="860" w:type="dxa"/>
            <w:vAlign w:val="center"/>
          </w:tcPr>
          <w:p w14:paraId="5DD87535">
            <w:pPr>
              <w:jc w:val="right"/>
            </w:pPr>
            <w:r>
              <w:rPr>
                <w:rFonts w:ascii="宋体" w:hAnsi="宋体" w:eastAsia="宋体" w:cs="宋体"/>
                <w:b w:val="0"/>
                <w:i w:val="0"/>
                <w:color w:val="000000"/>
                <w:sz w:val="9"/>
              </w:rPr>
              <w:t>7.01</w:t>
            </w:r>
          </w:p>
        </w:tc>
        <w:tc>
          <w:tcPr>
            <w:tcW w:w="900" w:type="dxa"/>
            <w:vAlign w:val="center"/>
          </w:tcPr>
          <w:p w14:paraId="1B8B8421">
            <w:pPr>
              <w:jc w:val="right"/>
            </w:pPr>
            <w:r>
              <w:rPr>
                <w:rFonts w:ascii="宋体" w:hAnsi="宋体" w:eastAsia="宋体" w:cs="宋体"/>
                <w:b w:val="0"/>
                <w:i w:val="0"/>
                <w:color w:val="000000"/>
                <w:sz w:val="9"/>
              </w:rPr>
              <w:t>7.01</w:t>
            </w:r>
          </w:p>
        </w:tc>
        <w:tc>
          <w:tcPr>
            <w:tcW w:w="880" w:type="dxa"/>
            <w:vAlign w:val="center"/>
          </w:tcPr>
          <w:p w14:paraId="08936A5E"/>
        </w:tc>
        <w:tc>
          <w:tcPr>
            <w:tcW w:w="880" w:type="dxa"/>
            <w:vAlign w:val="center"/>
          </w:tcPr>
          <w:p w14:paraId="040822F2"/>
        </w:tc>
        <w:tc>
          <w:tcPr>
            <w:tcW w:w="900" w:type="dxa"/>
            <w:vAlign w:val="center"/>
          </w:tcPr>
          <w:p w14:paraId="39E465CD"/>
        </w:tc>
        <w:tc>
          <w:tcPr>
            <w:tcW w:w="880" w:type="dxa"/>
            <w:vAlign w:val="center"/>
          </w:tcPr>
          <w:p w14:paraId="4E26F215"/>
        </w:tc>
        <w:tc>
          <w:tcPr>
            <w:tcW w:w="986" w:type="dxa"/>
            <w:vAlign w:val="center"/>
          </w:tcPr>
          <w:p w14:paraId="67C6DB0F"/>
        </w:tc>
      </w:tr>
      <w:tr w14:paraId="77833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369A23">
            <w:pPr>
              <w:jc w:val="left"/>
            </w:pPr>
            <w:r>
              <w:rPr>
                <w:rFonts w:ascii="宋体" w:hAnsi="宋体" w:eastAsia="宋体" w:cs="宋体"/>
                <w:b w:val="0"/>
                <w:i w:val="0"/>
                <w:color w:val="000000"/>
                <w:sz w:val="9"/>
              </w:rPr>
              <w:t>21208</w:t>
            </w:r>
          </w:p>
        </w:tc>
        <w:tc>
          <w:tcPr>
            <w:tcW w:w="1420" w:type="dxa"/>
            <w:vAlign w:val="center"/>
          </w:tcPr>
          <w:p w14:paraId="2D3C673A">
            <w:pPr>
              <w:jc w:val="left"/>
            </w:pPr>
            <w:r>
              <w:rPr>
                <w:rFonts w:ascii="宋体" w:hAnsi="宋体" w:eastAsia="宋体" w:cs="宋体"/>
                <w:b w:val="0"/>
                <w:i w:val="0"/>
                <w:color w:val="000000"/>
                <w:sz w:val="9"/>
              </w:rPr>
              <w:t>国有土地使用权出让收入安排的支出</w:t>
            </w:r>
          </w:p>
        </w:tc>
        <w:tc>
          <w:tcPr>
            <w:tcW w:w="860" w:type="dxa"/>
            <w:vAlign w:val="center"/>
          </w:tcPr>
          <w:p w14:paraId="7A77C4E8">
            <w:pPr>
              <w:jc w:val="right"/>
            </w:pPr>
            <w:r>
              <w:rPr>
                <w:rFonts w:ascii="宋体" w:hAnsi="宋体" w:eastAsia="宋体" w:cs="宋体"/>
                <w:b w:val="0"/>
                <w:i w:val="0"/>
                <w:color w:val="000000"/>
                <w:sz w:val="9"/>
              </w:rPr>
              <w:t>7.01</w:t>
            </w:r>
          </w:p>
        </w:tc>
        <w:tc>
          <w:tcPr>
            <w:tcW w:w="900" w:type="dxa"/>
            <w:vAlign w:val="center"/>
          </w:tcPr>
          <w:p w14:paraId="52E9FBD2">
            <w:pPr>
              <w:jc w:val="right"/>
            </w:pPr>
            <w:r>
              <w:rPr>
                <w:rFonts w:ascii="宋体" w:hAnsi="宋体" w:eastAsia="宋体" w:cs="宋体"/>
                <w:b w:val="0"/>
                <w:i w:val="0"/>
                <w:color w:val="000000"/>
                <w:sz w:val="9"/>
              </w:rPr>
              <w:t>7.01</w:t>
            </w:r>
          </w:p>
        </w:tc>
        <w:tc>
          <w:tcPr>
            <w:tcW w:w="880" w:type="dxa"/>
            <w:vAlign w:val="center"/>
          </w:tcPr>
          <w:p w14:paraId="33EF34F6"/>
        </w:tc>
        <w:tc>
          <w:tcPr>
            <w:tcW w:w="880" w:type="dxa"/>
            <w:vAlign w:val="center"/>
          </w:tcPr>
          <w:p w14:paraId="74C533A1"/>
        </w:tc>
        <w:tc>
          <w:tcPr>
            <w:tcW w:w="900" w:type="dxa"/>
            <w:vAlign w:val="center"/>
          </w:tcPr>
          <w:p w14:paraId="6795B92D"/>
        </w:tc>
        <w:tc>
          <w:tcPr>
            <w:tcW w:w="880" w:type="dxa"/>
            <w:vAlign w:val="center"/>
          </w:tcPr>
          <w:p w14:paraId="547DAE0A"/>
        </w:tc>
        <w:tc>
          <w:tcPr>
            <w:tcW w:w="986" w:type="dxa"/>
            <w:vAlign w:val="center"/>
          </w:tcPr>
          <w:p w14:paraId="2DC5A17E"/>
        </w:tc>
      </w:tr>
      <w:tr w14:paraId="14A67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EF5B86">
            <w:pPr>
              <w:jc w:val="left"/>
            </w:pPr>
            <w:r>
              <w:rPr>
                <w:rFonts w:ascii="宋体" w:hAnsi="宋体" w:eastAsia="宋体" w:cs="宋体"/>
                <w:b w:val="0"/>
                <w:i w:val="0"/>
                <w:color w:val="000000"/>
                <w:sz w:val="9"/>
              </w:rPr>
              <w:t>2120803</w:t>
            </w:r>
          </w:p>
        </w:tc>
        <w:tc>
          <w:tcPr>
            <w:tcW w:w="1420" w:type="dxa"/>
            <w:vAlign w:val="center"/>
          </w:tcPr>
          <w:p w14:paraId="78094654">
            <w:pPr>
              <w:jc w:val="left"/>
            </w:pPr>
            <w:r>
              <w:rPr>
                <w:rFonts w:ascii="宋体" w:hAnsi="宋体" w:eastAsia="宋体" w:cs="宋体"/>
                <w:b w:val="0"/>
                <w:i w:val="0"/>
                <w:color w:val="000000"/>
                <w:sz w:val="9"/>
              </w:rPr>
              <w:t>城市建设支出</w:t>
            </w:r>
          </w:p>
        </w:tc>
        <w:tc>
          <w:tcPr>
            <w:tcW w:w="860" w:type="dxa"/>
            <w:vAlign w:val="center"/>
          </w:tcPr>
          <w:p w14:paraId="3C58334B">
            <w:pPr>
              <w:jc w:val="right"/>
            </w:pPr>
            <w:r>
              <w:rPr>
                <w:rFonts w:ascii="宋体" w:hAnsi="宋体" w:eastAsia="宋体" w:cs="宋体"/>
                <w:b w:val="0"/>
                <w:i w:val="0"/>
                <w:color w:val="000000"/>
                <w:sz w:val="9"/>
              </w:rPr>
              <w:t>7.01</w:t>
            </w:r>
          </w:p>
        </w:tc>
        <w:tc>
          <w:tcPr>
            <w:tcW w:w="900" w:type="dxa"/>
            <w:vAlign w:val="center"/>
          </w:tcPr>
          <w:p w14:paraId="09B38F28">
            <w:pPr>
              <w:jc w:val="right"/>
            </w:pPr>
            <w:r>
              <w:rPr>
                <w:rFonts w:ascii="宋体" w:hAnsi="宋体" w:eastAsia="宋体" w:cs="宋体"/>
                <w:b w:val="0"/>
                <w:i w:val="0"/>
                <w:color w:val="000000"/>
                <w:sz w:val="9"/>
              </w:rPr>
              <w:t>7.01</w:t>
            </w:r>
          </w:p>
        </w:tc>
        <w:tc>
          <w:tcPr>
            <w:tcW w:w="880" w:type="dxa"/>
            <w:vAlign w:val="center"/>
          </w:tcPr>
          <w:p w14:paraId="351DB8FC"/>
        </w:tc>
        <w:tc>
          <w:tcPr>
            <w:tcW w:w="880" w:type="dxa"/>
            <w:vAlign w:val="center"/>
          </w:tcPr>
          <w:p w14:paraId="14811F53"/>
        </w:tc>
        <w:tc>
          <w:tcPr>
            <w:tcW w:w="900" w:type="dxa"/>
            <w:vAlign w:val="center"/>
          </w:tcPr>
          <w:p w14:paraId="672B4B6E"/>
        </w:tc>
        <w:tc>
          <w:tcPr>
            <w:tcW w:w="880" w:type="dxa"/>
            <w:vAlign w:val="center"/>
          </w:tcPr>
          <w:p w14:paraId="73F6619D"/>
        </w:tc>
        <w:tc>
          <w:tcPr>
            <w:tcW w:w="986" w:type="dxa"/>
            <w:vAlign w:val="center"/>
          </w:tcPr>
          <w:p w14:paraId="3B7B80D7"/>
        </w:tc>
      </w:tr>
      <w:tr w14:paraId="4E7B6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DF05A">
            <w:pPr>
              <w:jc w:val="left"/>
            </w:pPr>
            <w:r>
              <w:rPr>
                <w:rFonts w:ascii="宋体" w:hAnsi="宋体" w:eastAsia="宋体" w:cs="宋体"/>
                <w:b w:val="0"/>
                <w:i w:val="0"/>
                <w:color w:val="000000"/>
                <w:sz w:val="9"/>
              </w:rPr>
              <w:t>221</w:t>
            </w:r>
          </w:p>
        </w:tc>
        <w:tc>
          <w:tcPr>
            <w:tcW w:w="1420" w:type="dxa"/>
            <w:vAlign w:val="center"/>
          </w:tcPr>
          <w:p w14:paraId="08335E6C">
            <w:pPr>
              <w:jc w:val="left"/>
            </w:pPr>
            <w:r>
              <w:rPr>
                <w:rFonts w:ascii="宋体" w:hAnsi="宋体" w:eastAsia="宋体" w:cs="宋体"/>
                <w:b w:val="0"/>
                <w:i w:val="0"/>
                <w:color w:val="000000"/>
                <w:sz w:val="9"/>
              </w:rPr>
              <w:t>住房保障支出</w:t>
            </w:r>
          </w:p>
        </w:tc>
        <w:tc>
          <w:tcPr>
            <w:tcW w:w="860" w:type="dxa"/>
            <w:vAlign w:val="center"/>
          </w:tcPr>
          <w:p w14:paraId="526FCE33">
            <w:pPr>
              <w:jc w:val="right"/>
            </w:pPr>
            <w:r>
              <w:rPr>
                <w:rFonts w:ascii="宋体" w:hAnsi="宋体" w:eastAsia="宋体" w:cs="宋体"/>
                <w:b w:val="0"/>
                <w:i w:val="0"/>
                <w:color w:val="000000"/>
                <w:sz w:val="9"/>
              </w:rPr>
              <w:t>109.57</w:t>
            </w:r>
          </w:p>
        </w:tc>
        <w:tc>
          <w:tcPr>
            <w:tcW w:w="900" w:type="dxa"/>
            <w:vAlign w:val="center"/>
          </w:tcPr>
          <w:p w14:paraId="4E1EA53E">
            <w:pPr>
              <w:jc w:val="right"/>
            </w:pPr>
            <w:r>
              <w:rPr>
                <w:rFonts w:ascii="宋体" w:hAnsi="宋体" w:eastAsia="宋体" w:cs="宋体"/>
                <w:b w:val="0"/>
                <w:i w:val="0"/>
                <w:color w:val="000000"/>
                <w:sz w:val="9"/>
              </w:rPr>
              <w:t>109.57</w:t>
            </w:r>
          </w:p>
        </w:tc>
        <w:tc>
          <w:tcPr>
            <w:tcW w:w="880" w:type="dxa"/>
            <w:vAlign w:val="center"/>
          </w:tcPr>
          <w:p w14:paraId="619C4AF8"/>
        </w:tc>
        <w:tc>
          <w:tcPr>
            <w:tcW w:w="880" w:type="dxa"/>
            <w:vAlign w:val="center"/>
          </w:tcPr>
          <w:p w14:paraId="39FD1148"/>
        </w:tc>
        <w:tc>
          <w:tcPr>
            <w:tcW w:w="900" w:type="dxa"/>
            <w:vAlign w:val="center"/>
          </w:tcPr>
          <w:p w14:paraId="602D5C92"/>
        </w:tc>
        <w:tc>
          <w:tcPr>
            <w:tcW w:w="880" w:type="dxa"/>
            <w:vAlign w:val="center"/>
          </w:tcPr>
          <w:p w14:paraId="1C0CD1C0"/>
        </w:tc>
        <w:tc>
          <w:tcPr>
            <w:tcW w:w="986" w:type="dxa"/>
            <w:vAlign w:val="center"/>
          </w:tcPr>
          <w:p w14:paraId="192CCCE0"/>
        </w:tc>
      </w:tr>
      <w:tr w14:paraId="74593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CAC93D">
            <w:pPr>
              <w:jc w:val="left"/>
            </w:pPr>
            <w:r>
              <w:rPr>
                <w:rFonts w:ascii="宋体" w:hAnsi="宋体" w:eastAsia="宋体" w:cs="宋体"/>
                <w:b w:val="0"/>
                <w:i w:val="0"/>
                <w:color w:val="000000"/>
                <w:sz w:val="9"/>
              </w:rPr>
              <w:t>22102</w:t>
            </w:r>
          </w:p>
        </w:tc>
        <w:tc>
          <w:tcPr>
            <w:tcW w:w="1420" w:type="dxa"/>
            <w:vAlign w:val="center"/>
          </w:tcPr>
          <w:p w14:paraId="4DB0841B">
            <w:pPr>
              <w:jc w:val="left"/>
            </w:pPr>
            <w:r>
              <w:rPr>
                <w:rFonts w:ascii="宋体" w:hAnsi="宋体" w:eastAsia="宋体" w:cs="宋体"/>
                <w:b w:val="0"/>
                <w:i w:val="0"/>
                <w:color w:val="000000"/>
                <w:sz w:val="9"/>
              </w:rPr>
              <w:t>住房改革支出</w:t>
            </w:r>
          </w:p>
        </w:tc>
        <w:tc>
          <w:tcPr>
            <w:tcW w:w="860" w:type="dxa"/>
            <w:vAlign w:val="center"/>
          </w:tcPr>
          <w:p w14:paraId="20D03007">
            <w:pPr>
              <w:jc w:val="right"/>
            </w:pPr>
            <w:r>
              <w:rPr>
                <w:rFonts w:ascii="宋体" w:hAnsi="宋体" w:eastAsia="宋体" w:cs="宋体"/>
                <w:b w:val="0"/>
                <w:i w:val="0"/>
                <w:color w:val="000000"/>
                <w:sz w:val="9"/>
              </w:rPr>
              <w:t>109.57</w:t>
            </w:r>
          </w:p>
        </w:tc>
        <w:tc>
          <w:tcPr>
            <w:tcW w:w="900" w:type="dxa"/>
            <w:vAlign w:val="center"/>
          </w:tcPr>
          <w:p w14:paraId="058A0105">
            <w:pPr>
              <w:jc w:val="right"/>
            </w:pPr>
            <w:r>
              <w:rPr>
                <w:rFonts w:ascii="宋体" w:hAnsi="宋体" w:eastAsia="宋体" w:cs="宋体"/>
                <w:b w:val="0"/>
                <w:i w:val="0"/>
                <w:color w:val="000000"/>
                <w:sz w:val="9"/>
              </w:rPr>
              <w:t>109.57</w:t>
            </w:r>
          </w:p>
        </w:tc>
        <w:tc>
          <w:tcPr>
            <w:tcW w:w="880" w:type="dxa"/>
            <w:vAlign w:val="center"/>
          </w:tcPr>
          <w:p w14:paraId="0E12E3C9"/>
        </w:tc>
        <w:tc>
          <w:tcPr>
            <w:tcW w:w="880" w:type="dxa"/>
            <w:vAlign w:val="center"/>
          </w:tcPr>
          <w:p w14:paraId="59725AC4"/>
        </w:tc>
        <w:tc>
          <w:tcPr>
            <w:tcW w:w="900" w:type="dxa"/>
            <w:vAlign w:val="center"/>
          </w:tcPr>
          <w:p w14:paraId="6A256D47"/>
        </w:tc>
        <w:tc>
          <w:tcPr>
            <w:tcW w:w="880" w:type="dxa"/>
            <w:vAlign w:val="center"/>
          </w:tcPr>
          <w:p w14:paraId="712F8C9B"/>
        </w:tc>
        <w:tc>
          <w:tcPr>
            <w:tcW w:w="986" w:type="dxa"/>
            <w:vAlign w:val="center"/>
          </w:tcPr>
          <w:p w14:paraId="616E0EAA"/>
        </w:tc>
      </w:tr>
      <w:tr w14:paraId="0C786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EC55E2">
            <w:pPr>
              <w:jc w:val="left"/>
            </w:pPr>
            <w:r>
              <w:rPr>
                <w:rFonts w:ascii="宋体" w:hAnsi="宋体" w:eastAsia="宋体" w:cs="宋体"/>
                <w:b w:val="0"/>
                <w:i w:val="0"/>
                <w:color w:val="000000"/>
                <w:sz w:val="9"/>
              </w:rPr>
              <w:t>2210201</w:t>
            </w:r>
          </w:p>
        </w:tc>
        <w:tc>
          <w:tcPr>
            <w:tcW w:w="1420" w:type="dxa"/>
            <w:vAlign w:val="center"/>
          </w:tcPr>
          <w:p w14:paraId="61E36CBD">
            <w:pPr>
              <w:jc w:val="left"/>
            </w:pPr>
            <w:r>
              <w:rPr>
                <w:rFonts w:ascii="宋体" w:hAnsi="宋体" w:eastAsia="宋体" w:cs="宋体"/>
                <w:b w:val="0"/>
                <w:i w:val="0"/>
                <w:color w:val="000000"/>
                <w:sz w:val="9"/>
              </w:rPr>
              <w:t>住房公积金</w:t>
            </w:r>
          </w:p>
        </w:tc>
        <w:tc>
          <w:tcPr>
            <w:tcW w:w="860" w:type="dxa"/>
            <w:vAlign w:val="center"/>
          </w:tcPr>
          <w:p w14:paraId="719705CD">
            <w:pPr>
              <w:jc w:val="right"/>
            </w:pPr>
            <w:r>
              <w:rPr>
                <w:rFonts w:ascii="宋体" w:hAnsi="宋体" w:eastAsia="宋体" w:cs="宋体"/>
                <w:b w:val="0"/>
                <w:i w:val="0"/>
                <w:color w:val="000000"/>
                <w:sz w:val="9"/>
              </w:rPr>
              <w:t>109.57</w:t>
            </w:r>
          </w:p>
        </w:tc>
        <w:tc>
          <w:tcPr>
            <w:tcW w:w="900" w:type="dxa"/>
            <w:vAlign w:val="center"/>
          </w:tcPr>
          <w:p w14:paraId="004875B7">
            <w:pPr>
              <w:jc w:val="right"/>
            </w:pPr>
            <w:r>
              <w:rPr>
                <w:rFonts w:ascii="宋体" w:hAnsi="宋体" w:eastAsia="宋体" w:cs="宋体"/>
                <w:b w:val="0"/>
                <w:i w:val="0"/>
                <w:color w:val="000000"/>
                <w:sz w:val="9"/>
              </w:rPr>
              <w:t>109.57</w:t>
            </w:r>
          </w:p>
        </w:tc>
        <w:tc>
          <w:tcPr>
            <w:tcW w:w="880" w:type="dxa"/>
            <w:vAlign w:val="center"/>
          </w:tcPr>
          <w:p w14:paraId="1C8256FD"/>
        </w:tc>
        <w:tc>
          <w:tcPr>
            <w:tcW w:w="880" w:type="dxa"/>
            <w:vAlign w:val="center"/>
          </w:tcPr>
          <w:p w14:paraId="59FC7B74"/>
        </w:tc>
        <w:tc>
          <w:tcPr>
            <w:tcW w:w="900" w:type="dxa"/>
            <w:vAlign w:val="center"/>
          </w:tcPr>
          <w:p w14:paraId="234023E1"/>
        </w:tc>
        <w:tc>
          <w:tcPr>
            <w:tcW w:w="880" w:type="dxa"/>
            <w:vAlign w:val="center"/>
          </w:tcPr>
          <w:p w14:paraId="29C81831"/>
        </w:tc>
        <w:tc>
          <w:tcPr>
            <w:tcW w:w="986" w:type="dxa"/>
            <w:vAlign w:val="center"/>
          </w:tcPr>
          <w:p w14:paraId="7D317C67"/>
        </w:tc>
      </w:tr>
      <w:tr w14:paraId="58154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52C70406">
            <w:pPr>
              <w:jc w:val="left"/>
            </w:pPr>
            <w:r>
              <w:rPr>
                <w:rFonts w:ascii="宋体" w:hAnsi="宋体" w:eastAsia="宋体" w:cs="宋体"/>
                <w:b w:val="0"/>
                <w:i w:val="0"/>
                <w:color w:val="000000"/>
                <w:sz w:val="9"/>
              </w:rPr>
              <w:t>注：本表反映部门（单位）本年度取得的各项收入情况。</w:t>
            </w:r>
          </w:p>
        </w:tc>
      </w:tr>
    </w:tbl>
    <w:p w14:paraId="059DAE39">
      <w:pPr>
        <w:snapToGrid w:val="0"/>
        <w:spacing w:before="200" w:after="200" w:line="200" w:lineRule="auto"/>
      </w:pPr>
      <w:r>
        <w:rPr>
          <w:sz w:val="8"/>
        </w:rPr>
        <w:t xml:space="preserve"> </w:t>
      </w:r>
    </w:p>
    <w:p w14:paraId="7C1A46F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FB067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D8219E">
            <w:pPr>
              <w:jc w:val="right"/>
            </w:pPr>
            <w:r>
              <w:rPr>
                <w:rFonts w:ascii="宋体" w:hAnsi="宋体" w:eastAsia="宋体" w:cs="宋体"/>
                <w:sz w:val="20"/>
              </w:rPr>
              <w:t>公开03表</w:t>
            </w:r>
          </w:p>
        </w:tc>
      </w:tr>
      <w:tr w14:paraId="6DC474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EF554AE">
            <w:pPr>
              <w:jc w:val="left"/>
            </w:pPr>
            <w:r>
              <w:rPr>
                <w:rFonts w:ascii="宋体" w:hAnsi="宋体" w:eastAsia="宋体" w:cs="宋体"/>
                <w:sz w:val="20"/>
              </w:rPr>
              <w:t>部门：浮梁县市场监督管理局</w:t>
            </w:r>
          </w:p>
        </w:tc>
        <w:tc>
          <w:tcPr>
            <w:tcW w:w="2000" w:type="dxa"/>
          </w:tcPr>
          <w:p w14:paraId="7AB99A69">
            <w:pPr>
              <w:jc w:val="center"/>
            </w:pPr>
            <w:r>
              <w:rPr>
                <w:rFonts w:ascii="宋体" w:hAnsi="宋体" w:eastAsia="宋体" w:cs="宋体"/>
                <w:sz w:val="20"/>
              </w:rPr>
              <w:t>2023年度</w:t>
            </w:r>
          </w:p>
        </w:tc>
        <w:tc>
          <w:tcPr>
            <w:tcW w:w="3153" w:type="dxa"/>
          </w:tcPr>
          <w:p w14:paraId="6B0BFDDF">
            <w:pPr>
              <w:jc w:val="right"/>
            </w:pPr>
            <w:r>
              <w:rPr>
                <w:rFonts w:ascii="宋体" w:hAnsi="宋体" w:eastAsia="宋体" w:cs="宋体"/>
                <w:sz w:val="20"/>
              </w:rPr>
              <w:t>金额单位：万元</w:t>
            </w:r>
          </w:p>
        </w:tc>
      </w:tr>
    </w:tbl>
    <w:p w14:paraId="5E76E4BA">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E1FB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F970662">
            <w:pPr>
              <w:jc w:val="center"/>
            </w:pPr>
            <w:r>
              <w:rPr>
                <w:rFonts w:ascii="宋体" w:hAnsi="宋体" w:eastAsia="宋体" w:cs="宋体"/>
                <w:b w:val="0"/>
                <w:i w:val="0"/>
                <w:color w:val="000000"/>
                <w:sz w:val="11"/>
              </w:rPr>
              <w:t>项    目</w:t>
            </w:r>
          </w:p>
        </w:tc>
        <w:tc>
          <w:tcPr>
            <w:tcW w:w="940" w:type="dxa"/>
            <w:vMerge w:val="restart"/>
            <w:vAlign w:val="center"/>
          </w:tcPr>
          <w:p w14:paraId="505A06E5">
            <w:pPr>
              <w:jc w:val="center"/>
            </w:pPr>
            <w:r>
              <w:rPr>
                <w:rFonts w:ascii="宋体" w:hAnsi="宋体" w:eastAsia="宋体" w:cs="宋体"/>
                <w:b w:val="0"/>
                <w:i w:val="0"/>
                <w:color w:val="000000"/>
                <w:sz w:val="11"/>
              </w:rPr>
              <w:t>本年支出合计</w:t>
            </w:r>
          </w:p>
        </w:tc>
        <w:tc>
          <w:tcPr>
            <w:tcW w:w="1000" w:type="dxa"/>
            <w:vMerge w:val="restart"/>
            <w:vAlign w:val="center"/>
          </w:tcPr>
          <w:p w14:paraId="401EA236">
            <w:pPr>
              <w:jc w:val="center"/>
            </w:pPr>
            <w:r>
              <w:rPr>
                <w:rFonts w:ascii="宋体" w:hAnsi="宋体" w:eastAsia="宋体" w:cs="宋体"/>
                <w:b w:val="0"/>
                <w:i w:val="0"/>
                <w:color w:val="000000"/>
                <w:sz w:val="11"/>
              </w:rPr>
              <w:t>基本支出</w:t>
            </w:r>
          </w:p>
        </w:tc>
        <w:tc>
          <w:tcPr>
            <w:tcW w:w="980" w:type="dxa"/>
            <w:vMerge w:val="restart"/>
            <w:vAlign w:val="center"/>
          </w:tcPr>
          <w:p w14:paraId="697AB2F8">
            <w:pPr>
              <w:jc w:val="center"/>
            </w:pPr>
            <w:r>
              <w:rPr>
                <w:rFonts w:ascii="宋体" w:hAnsi="宋体" w:eastAsia="宋体" w:cs="宋体"/>
                <w:b w:val="0"/>
                <w:i w:val="0"/>
                <w:color w:val="000000"/>
                <w:sz w:val="11"/>
              </w:rPr>
              <w:t>项目支出</w:t>
            </w:r>
          </w:p>
        </w:tc>
        <w:tc>
          <w:tcPr>
            <w:tcW w:w="920" w:type="dxa"/>
            <w:vMerge w:val="restart"/>
            <w:vAlign w:val="center"/>
          </w:tcPr>
          <w:p w14:paraId="58789B98">
            <w:pPr>
              <w:jc w:val="center"/>
            </w:pPr>
            <w:r>
              <w:rPr>
                <w:rFonts w:ascii="宋体" w:hAnsi="宋体" w:eastAsia="宋体" w:cs="宋体"/>
                <w:b w:val="0"/>
                <w:i w:val="0"/>
                <w:color w:val="000000"/>
                <w:sz w:val="11"/>
              </w:rPr>
              <w:t>上缴上级支出</w:t>
            </w:r>
          </w:p>
        </w:tc>
        <w:tc>
          <w:tcPr>
            <w:tcW w:w="960" w:type="dxa"/>
            <w:vMerge w:val="restart"/>
            <w:vAlign w:val="center"/>
          </w:tcPr>
          <w:p w14:paraId="594F71A5">
            <w:pPr>
              <w:jc w:val="center"/>
            </w:pPr>
            <w:r>
              <w:rPr>
                <w:rFonts w:ascii="宋体" w:hAnsi="宋体" w:eastAsia="宋体" w:cs="宋体"/>
                <w:b w:val="0"/>
                <w:i w:val="0"/>
                <w:color w:val="000000"/>
                <w:sz w:val="11"/>
              </w:rPr>
              <w:t>经营支出</w:t>
            </w:r>
          </w:p>
        </w:tc>
        <w:tc>
          <w:tcPr>
            <w:tcW w:w="926" w:type="dxa"/>
            <w:vMerge w:val="restart"/>
            <w:vAlign w:val="center"/>
          </w:tcPr>
          <w:p w14:paraId="53776EDB">
            <w:pPr>
              <w:jc w:val="center"/>
            </w:pPr>
            <w:r>
              <w:rPr>
                <w:rFonts w:ascii="宋体" w:hAnsi="宋体" w:eastAsia="宋体" w:cs="宋体"/>
                <w:b w:val="0"/>
                <w:i w:val="0"/>
                <w:color w:val="000000"/>
                <w:sz w:val="11"/>
              </w:rPr>
              <w:t>对附属单位补助支出</w:t>
            </w:r>
          </w:p>
        </w:tc>
      </w:tr>
      <w:tr w14:paraId="3E578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182C0CF9">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3A85B9C">
            <w:pPr>
              <w:jc w:val="center"/>
            </w:pPr>
            <w:r>
              <w:rPr>
                <w:rFonts w:ascii="宋体" w:hAnsi="宋体" w:eastAsia="宋体" w:cs="宋体"/>
                <w:b w:val="0"/>
                <w:i w:val="0"/>
                <w:color w:val="000000"/>
                <w:sz w:val="11"/>
              </w:rPr>
              <w:t>科目名称</w:t>
            </w:r>
          </w:p>
        </w:tc>
        <w:tc>
          <w:tcPr>
            <w:tcW w:w="940" w:type="dxa"/>
            <w:vMerge w:val="continue"/>
            <w:vAlign w:val="center"/>
          </w:tcPr>
          <w:p w14:paraId="5E068DDA"/>
        </w:tc>
        <w:tc>
          <w:tcPr>
            <w:tcW w:w="1000" w:type="dxa"/>
            <w:vMerge w:val="continue"/>
            <w:vAlign w:val="center"/>
          </w:tcPr>
          <w:p w14:paraId="37687735"/>
        </w:tc>
        <w:tc>
          <w:tcPr>
            <w:tcW w:w="980" w:type="dxa"/>
            <w:vMerge w:val="continue"/>
            <w:vAlign w:val="center"/>
          </w:tcPr>
          <w:p w14:paraId="74BA279E"/>
        </w:tc>
        <w:tc>
          <w:tcPr>
            <w:tcW w:w="920" w:type="dxa"/>
            <w:vMerge w:val="continue"/>
            <w:vAlign w:val="center"/>
          </w:tcPr>
          <w:p w14:paraId="4B1A0076"/>
        </w:tc>
        <w:tc>
          <w:tcPr>
            <w:tcW w:w="960" w:type="dxa"/>
            <w:vMerge w:val="continue"/>
            <w:vAlign w:val="center"/>
          </w:tcPr>
          <w:p w14:paraId="4907FCA8"/>
        </w:tc>
        <w:tc>
          <w:tcPr>
            <w:tcW w:w="926" w:type="dxa"/>
            <w:vMerge w:val="continue"/>
            <w:vAlign w:val="center"/>
          </w:tcPr>
          <w:p w14:paraId="5D5D89E3"/>
        </w:tc>
      </w:tr>
      <w:tr w14:paraId="51159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5F6ABBF1"/>
        </w:tc>
        <w:tc>
          <w:tcPr>
            <w:tcW w:w="1760" w:type="dxa"/>
            <w:vMerge w:val="continue"/>
            <w:vAlign w:val="center"/>
          </w:tcPr>
          <w:p w14:paraId="00707B8C"/>
        </w:tc>
        <w:tc>
          <w:tcPr>
            <w:tcW w:w="940" w:type="dxa"/>
            <w:vMerge w:val="continue"/>
            <w:vAlign w:val="center"/>
          </w:tcPr>
          <w:p w14:paraId="2E56D6AA"/>
        </w:tc>
        <w:tc>
          <w:tcPr>
            <w:tcW w:w="1000" w:type="dxa"/>
            <w:vMerge w:val="continue"/>
            <w:vAlign w:val="center"/>
          </w:tcPr>
          <w:p w14:paraId="20A179CD"/>
        </w:tc>
        <w:tc>
          <w:tcPr>
            <w:tcW w:w="980" w:type="dxa"/>
            <w:vMerge w:val="continue"/>
            <w:vAlign w:val="center"/>
          </w:tcPr>
          <w:p w14:paraId="78F2C5AB"/>
        </w:tc>
        <w:tc>
          <w:tcPr>
            <w:tcW w:w="920" w:type="dxa"/>
            <w:vMerge w:val="continue"/>
            <w:vAlign w:val="center"/>
          </w:tcPr>
          <w:p w14:paraId="75716308"/>
        </w:tc>
        <w:tc>
          <w:tcPr>
            <w:tcW w:w="960" w:type="dxa"/>
            <w:vMerge w:val="continue"/>
            <w:vAlign w:val="center"/>
          </w:tcPr>
          <w:p w14:paraId="4B84CA32"/>
        </w:tc>
        <w:tc>
          <w:tcPr>
            <w:tcW w:w="926" w:type="dxa"/>
            <w:vMerge w:val="continue"/>
            <w:vAlign w:val="center"/>
          </w:tcPr>
          <w:p w14:paraId="2ED69560"/>
        </w:tc>
      </w:tr>
      <w:tr w14:paraId="5D9C0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FA7633D"/>
        </w:tc>
        <w:tc>
          <w:tcPr>
            <w:tcW w:w="1760" w:type="dxa"/>
            <w:vMerge w:val="continue"/>
            <w:vAlign w:val="center"/>
          </w:tcPr>
          <w:p w14:paraId="3B7261BF"/>
        </w:tc>
        <w:tc>
          <w:tcPr>
            <w:tcW w:w="940" w:type="dxa"/>
            <w:vMerge w:val="continue"/>
            <w:vAlign w:val="center"/>
          </w:tcPr>
          <w:p w14:paraId="72A80AC3"/>
        </w:tc>
        <w:tc>
          <w:tcPr>
            <w:tcW w:w="1000" w:type="dxa"/>
            <w:vMerge w:val="continue"/>
            <w:vAlign w:val="center"/>
          </w:tcPr>
          <w:p w14:paraId="681190D4"/>
        </w:tc>
        <w:tc>
          <w:tcPr>
            <w:tcW w:w="980" w:type="dxa"/>
            <w:vMerge w:val="continue"/>
            <w:vAlign w:val="center"/>
          </w:tcPr>
          <w:p w14:paraId="16FB4FB4"/>
        </w:tc>
        <w:tc>
          <w:tcPr>
            <w:tcW w:w="920" w:type="dxa"/>
            <w:vMerge w:val="continue"/>
            <w:vAlign w:val="center"/>
          </w:tcPr>
          <w:p w14:paraId="2A6B985E"/>
        </w:tc>
        <w:tc>
          <w:tcPr>
            <w:tcW w:w="960" w:type="dxa"/>
            <w:vMerge w:val="continue"/>
            <w:vAlign w:val="center"/>
          </w:tcPr>
          <w:p w14:paraId="71CBC129"/>
        </w:tc>
        <w:tc>
          <w:tcPr>
            <w:tcW w:w="926" w:type="dxa"/>
            <w:vMerge w:val="continue"/>
            <w:vAlign w:val="center"/>
          </w:tcPr>
          <w:p w14:paraId="4A47D810"/>
        </w:tc>
      </w:tr>
      <w:tr w14:paraId="6F217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244D6477">
            <w:pPr>
              <w:jc w:val="center"/>
            </w:pPr>
            <w:r>
              <w:rPr>
                <w:rFonts w:ascii="宋体" w:hAnsi="宋体" w:eastAsia="宋体" w:cs="宋体"/>
                <w:b w:val="0"/>
                <w:i w:val="0"/>
                <w:color w:val="000000"/>
                <w:sz w:val="11"/>
              </w:rPr>
              <w:t>类</w:t>
            </w:r>
          </w:p>
        </w:tc>
        <w:tc>
          <w:tcPr>
            <w:tcW w:w="260" w:type="dxa"/>
            <w:vMerge w:val="restart"/>
            <w:vAlign w:val="center"/>
          </w:tcPr>
          <w:p w14:paraId="540864AD">
            <w:pPr>
              <w:jc w:val="center"/>
            </w:pPr>
            <w:r>
              <w:rPr>
                <w:rFonts w:ascii="宋体" w:hAnsi="宋体" w:eastAsia="宋体" w:cs="宋体"/>
                <w:b w:val="0"/>
                <w:i w:val="0"/>
                <w:color w:val="000000"/>
                <w:sz w:val="11"/>
              </w:rPr>
              <w:t>款</w:t>
            </w:r>
          </w:p>
        </w:tc>
        <w:tc>
          <w:tcPr>
            <w:tcW w:w="280" w:type="dxa"/>
            <w:vMerge w:val="restart"/>
            <w:vAlign w:val="center"/>
          </w:tcPr>
          <w:p w14:paraId="38D3FE69">
            <w:pPr>
              <w:jc w:val="center"/>
            </w:pPr>
            <w:r>
              <w:rPr>
                <w:rFonts w:ascii="宋体" w:hAnsi="宋体" w:eastAsia="宋体" w:cs="宋体"/>
                <w:b w:val="0"/>
                <w:i w:val="0"/>
                <w:color w:val="000000"/>
                <w:sz w:val="11"/>
              </w:rPr>
              <w:t>项</w:t>
            </w:r>
          </w:p>
        </w:tc>
        <w:tc>
          <w:tcPr>
            <w:tcW w:w="1760" w:type="dxa"/>
            <w:vAlign w:val="center"/>
          </w:tcPr>
          <w:p w14:paraId="19AD1BBC">
            <w:pPr>
              <w:jc w:val="center"/>
            </w:pPr>
            <w:r>
              <w:rPr>
                <w:rFonts w:ascii="宋体" w:hAnsi="宋体" w:eastAsia="宋体" w:cs="宋体"/>
                <w:b w:val="0"/>
                <w:i w:val="0"/>
                <w:color w:val="000000"/>
                <w:sz w:val="11"/>
              </w:rPr>
              <w:t>栏次</w:t>
            </w:r>
          </w:p>
        </w:tc>
        <w:tc>
          <w:tcPr>
            <w:tcW w:w="940" w:type="dxa"/>
            <w:vAlign w:val="center"/>
          </w:tcPr>
          <w:p w14:paraId="55630B57">
            <w:pPr>
              <w:jc w:val="center"/>
            </w:pPr>
            <w:r>
              <w:rPr>
                <w:rFonts w:ascii="宋体" w:hAnsi="宋体" w:eastAsia="宋体" w:cs="宋体"/>
                <w:b w:val="0"/>
                <w:i w:val="0"/>
                <w:color w:val="000000"/>
                <w:sz w:val="11"/>
              </w:rPr>
              <w:t>1</w:t>
            </w:r>
          </w:p>
        </w:tc>
        <w:tc>
          <w:tcPr>
            <w:tcW w:w="1000" w:type="dxa"/>
            <w:vAlign w:val="center"/>
          </w:tcPr>
          <w:p w14:paraId="021AFEC5">
            <w:pPr>
              <w:jc w:val="center"/>
            </w:pPr>
            <w:r>
              <w:rPr>
                <w:rFonts w:ascii="宋体" w:hAnsi="宋体" w:eastAsia="宋体" w:cs="宋体"/>
                <w:b w:val="0"/>
                <w:i w:val="0"/>
                <w:color w:val="000000"/>
                <w:sz w:val="11"/>
              </w:rPr>
              <w:t>2</w:t>
            </w:r>
          </w:p>
        </w:tc>
        <w:tc>
          <w:tcPr>
            <w:tcW w:w="980" w:type="dxa"/>
            <w:vAlign w:val="center"/>
          </w:tcPr>
          <w:p w14:paraId="664B4E2F">
            <w:pPr>
              <w:jc w:val="center"/>
            </w:pPr>
            <w:r>
              <w:rPr>
                <w:rFonts w:ascii="宋体" w:hAnsi="宋体" w:eastAsia="宋体" w:cs="宋体"/>
                <w:b w:val="0"/>
                <w:i w:val="0"/>
                <w:color w:val="000000"/>
                <w:sz w:val="11"/>
              </w:rPr>
              <w:t>3</w:t>
            </w:r>
          </w:p>
        </w:tc>
        <w:tc>
          <w:tcPr>
            <w:tcW w:w="920" w:type="dxa"/>
            <w:vAlign w:val="center"/>
          </w:tcPr>
          <w:p w14:paraId="6089B5A4">
            <w:pPr>
              <w:jc w:val="center"/>
            </w:pPr>
            <w:r>
              <w:rPr>
                <w:rFonts w:ascii="宋体" w:hAnsi="宋体" w:eastAsia="宋体" w:cs="宋体"/>
                <w:b w:val="0"/>
                <w:i w:val="0"/>
                <w:color w:val="000000"/>
                <w:sz w:val="11"/>
              </w:rPr>
              <w:t>4</w:t>
            </w:r>
          </w:p>
        </w:tc>
        <w:tc>
          <w:tcPr>
            <w:tcW w:w="960" w:type="dxa"/>
            <w:vAlign w:val="center"/>
          </w:tcPr>
          <w:p w14:paraId="2DDE6FA4">
            <w:pPr>
              <w:jc w:val="center"/>
            </w:pPr>
            <w:r>
              <w:rPr>
                <w:rFonts w:ascii="宋体" w:hAnsi="宋体" w:eastAsia="宋体" w:cs="宋体"/>
                <w:b w:val="0"/>
                <w:i w:val="0"/>
                <w:color w:val="000000"/>
                <w:sz w:val="11"/>
              </w:rPr>
              <w:t>5</w:t>
            </w:r>
          </w:p>
        </w:tc>
        <w:tc>
          <w:tcPr>
            <w:tcW w:w="926" w:type="dxa"/>
            <w:vAlign w:val="center"/>
          </w:tcPr>
          <w:p w14:paraId="1A02D297">
            <w:pPr>
              <w:jc w:val="center"/>
            </w:pPr>
            <w:r>
              <w:rPr>
                <w:rFonts w:ascii="宋体" w:hAnsi="宋体" w:eastAsia="宋体" w:cs="宋体"/>
                <w:b w:val="0"/>
                <w:i w:val="0"/>
                <w:color w:val="000000"/>
                <w:sz w:val="11"/>
              </w:rPr>
              <w:t>6</w:t>
            </w:r>
          </w:p>
        </w:tc>
      </w:tr>
      <w:tr w14:paraId="71F79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58CEEDC"/>
        </w:tc>
        <w:tc>
          <w:tcPr>
            <w:tcW w:w="260" w:type="dxa"/>
            <w:vMerge w:val="continue"/>
            <w:vAlign w:val="center"/>
          </w:tcPr>
          <w:p w14:paraId="3EBDA23C"/>
        </w:tc>
        <w:tc>
          <w:tcPr>
            <w:tcW w:w="280" w:type="dxa"/>
            <w:vMerge w:val="continue"/>
            <w:vAlign w:val="center"/>
          </w:tcPr>
          <w:p w14:paraId="14C37320"/>
        </w:tc>
        <w:tc>
          <w:tcPr>
            <w:tcW w:w="1760" w:type="dxa"/>
            <w:vAlign w:val="center"/>
          </w:tcPr>
          <w:p w14:paraId="225426B4">
            <w:pPr>
              <w:jc w:val="center"/>
            </w:pPr>
            <w:r>
              <w:rPr>
                <w:rFonts w:ascii="宋体" w:hAnsi="宋体" w:eastAsia="宋体" w:cs="宋体"/>
                <w:b w:val="0"/>
                <w:i w:val="0"/>
                <w:color w:val="000000"/>
                <w:sz w:val="11"/>
              </w:rPr>
              <w:t>合计</w:t>
            </w:r>
          </w:p>
        </w:tc>
        <w:tc>
          <w:tcPr>
            <w:tcW w:w="940" w:type="dxa"/>
            <w:vAlign w:val="center"/>
          </w:tcPr>
          <w:p w14:paraId="12F559F6">
            <w:pPr>
              <w:jc w:val="right"/>
            </w:pPr>
            <w:r>
              <w:rPr>
                <w:rFonts w:ascii="宋体" w:hAnsi="宋体" w:eastAsia="宋体" w:cs="宋体"/>
                <w:b w:val="0"/>
                <w:i w:val="0"/>
                <w:color w:val="000000"/>
                <w:sz w:val="11"/>
              </w:rPr>
              <w:t>2,345.25</w:t>
            </w:r>
          </w:p>
        </w:tc>
        <w:tc>
          <w:tcPr>
            <w:tcW w:w="1000" w:type="dxa"/>
            <w:vAlign w:val="center"/>
          </w:tcPr>
          <w:p w14:paraId="3DB33898">
            <w:pPr>
              <w:jc w:val="right"/>
            </w:pPr>
            <w:r>
              <w:rPr>
                <w:rFonts w:ascii="宋体" w:hAnsi="宋体" w:eastAsia="宋体" w:cs="宋体"/>
                <w:b w:val="0"/>
                <w:i w:val="0"/>
                <w:color w:val="000000"/>
                <w:sz w:val="11"/>
              </w:rPr>
              <w:t>1,637.12</w:t>
            </w:r>
          </w:p>
        </w:tc>
        <w:tc>
          <w:tcPr>
            <w:tcW w:w="980" w:type="dxa"/>
            <w:vAlign w:val="center"/>
          </w:tcPr>
          <w:p w14:paraId="23EF9C3D">
            <w:pPr>
              <w:jc w:val="right"/>
            </w:pPr>
            <w:r>
              <w:rPr>
                <w:rFonts w:ascii="宋体" w:hAnsi="宋体" w:eastAsia="宋体" w:cs="宋体"/>
                <w:b w:val="0"/>
                <w:i w:val="0"/>
                <w:color w:val="000000"/>
                <w:sz w:val="11"/>
              </w:rPr>
              <w:t>708.13</w:t>
            </w:r>
          </w:p>
        </w:tc>
        <w:tc>
          <w:tcPr>
            <w:tcW w:w="920" w:type="dxa"/>
            <w:vAlign w:val="center"/>
          </w:tcPr>
          <w:p w14:paraId="2C61052F"/>
        </w:tc>
        <w:tc>
          <w:tcPr>
            <w:tcW w:w="960" w:type="dxa"/>
            <w:vAlign w:val="center"/>
          </w:tcPr>
          <w:p w14:paraId="275B601E"/>
        </w:tc>
        <w:tc>
          <w:tcPr>
            <w:tcW w:w="926" w:type="dxa"/>
            <w:vAlign w:val="center"/>
          </w:tcPr>
          <w:p w14:paraId="212B17AE"/>
        </w:tc>
      </w:tr>
      <w:tr w14:paraId="752DC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AAEEAF">
            <w:pPr>
              <w:jc w:val="left"/>
            </w:pPr>
            <w:r>
              <w:rPr>
                <w:rFonts w:ascii="宋体" w:hAnsi="宋体" w:eastAsia="宋体" w:cs="宋体"/>
                <w:b w:val="0"/>
                <w:i w:val="0"/>
                <w:color w:val="000000"/>
                <w:sz w:val="11"/>
              </w:rPr>
              <w:t>201</w:t>
            </w:r>
          </w:p>
        </w:tc>
        <w:tc>
          <w:tcPr>
            <w:tcW w:w="1760" w:type="dxa"/>
            <w:vAlign w:val="center"/>
          </w:tcPr>
          <w:p w14:paraId="7E894C20">
            <w:pPr>
              <w:jc w:val="left"/>
            </w:pPr>
            <w:r>
              <w:rPr>
                <w:rFonts w:ascii="宋体" w:hAnsi="宋体" w:eastAsia="宋体" w:cs="宋体"/>
                <w:b w:val="0"/>
                <w:i w:val="0"/>
                <w:color w:val="000000"/>
                <w:sz w:val="11"/>
              </w:rPr>
              <w:t>一般公共服务支出</w:t>
            </w:r>
          </w:p>
        </w:tc>
        <w:tc>
          <w:tcPr>
            <w:tcW w:w="940" w:type="dxa"/>
            <w:vAlign w:val="center"/>
          </w:tcPr>
          <w:p w14:paraId="37812088">
            <w:pPr>
              <w:jc w:val="right"/>
            </w:pPr>
            <w:r>
              <w:rPr>
                <w:rFonts w:ascii="宋体" w:hAnsi="宋体" w:eastAsia="宋体" w:cs="宋体"/>
                <w:b w:val="0"/>
                <w:i w:val="0"/>
                <w:color w:val="000000"/>
                <w:sz w:val="11"/>
              </w:rPr>
              <w:t>1,989.59</w:t>
            </w:r>
          </w:p>
        </w:tc>
        <w:tc>
          <w:tcPr>
            <w:tcW w:w="1000" w:type="dxa"/>
            <w:vAlign w:val="center"/>
          </w:tcPr>
          <w:p w14:paraId="4078BC16">
            <w:pPr>
              <w:jc w:val="right"/>
            </w:pPr>
            <w:r>
              <w:rPr>
                <w:rFonts w:ascii="宋体" w:hAnsi="宋体" w:eastAsia="宋体" w:cs="宋体"/>
                <w:b w:val="0"/>
                <w:i w:val="0"/>
                <w:color w:val="000000"/>
                <w:sz w:val="11"/>
              </w:rPr>
              <w:t>1,281.50</w:t>
            </w:r>
          </w:p>
        </w:tc>
        <w:tc>
          <w:tcPr>
            <w:tcW w:w="980" w:type="dxa"/>
            <w:vAlign w:val="center"/>
          </w:tcPr>
          <w:p w14:paraId="77341153">
            <w:pPr>
              <w:jc w:val="right"/>
            </w:pPr>
            <w:r>
              <w:rPr>
                <w:rFonts w:ascii="宋体" w:hAnsi="宋体" w:eastAsia="宋体" w:cs="宋体"/>
                <w:b w:val="0"/>
                <w:i w:val="0"/>
                <w:color w:val="000000"/>
                <w:sz w:val="11"/>
              </w:rPr>
              <w:t>708.09</w:t>
            </w:r>
          </w:p>
        </w:tc>
        <w:tc>
          <w:tcPr>
            <w:tcW w:w="920" w:type="dxa"/>
            <w:vAlign w:val="center"/>
          </w:tcPr>
          <w:p w14:paraId="5C738450"/>
        </w:tc>
        <w:tc>
          <w:tcPr>
            <w:tcW w:w="960" w:type="dxa"/>
            <w:vAlign w:val="center"/>
          </w:tcPr>
          <w:p w14:paraId="322102C0"/>
        </w:tc>
        <w:tc>
          <w:tcPr>
            <w:tcW w:w="926" w:type="dxa"/>
            <w:vAlign w:val="center"/>
          </w:tcPr>
          <w:p w14:paraId="35C20F77"/>
        </w:tc>
      </w:tr>
      <w:tr w14:paraId="478B7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A46E76">
            <w:pPr>
              <w:jc w:val="left"/>
            </w:pPr>
            <w:r>
              <w:rPr>
                <w:rFonts w:ascii="宋体" w:hAnsi="宋体" w:eastAsia="宋体" w:cs="宋体"/>
                <w:b w:val="0"/>
                <w:i w:val="0"/>
                <w:color w:val="000000"/>
                <w:sz w:val="11"/>
              </w:rPr>
              <w:t>20114</w:t>
            </w:r>
          </w:p>
        </w:tc>
        <w:tc>
          <w:tcPr>
            <w:tcW w:w="1760" w:type="dxa"/>
            <w:vAlign w:val="center"/>
          </w:tcPr>
          <w:p w14:paraId="06FC600A">
            <w:pPr>
              <w:jc w:val="left"/>
            </w:pPr>
            <w:r>
              <w:rPr>
                <w:rFonts w:ascii="宋体" w:hAnsi="宋体" w:eastAsia="宋体" w:cs="宋体"/>
                <w:b w:val="0"/>
                <w:i w:val="0"/>
                <w:color w:val="000000"/>
                <w:sz w:val="11"/>
              </w:rPr>
              <w:t>知识产权事务</w:t>
            </w:r>
          </w:p>
        </w:tc>
        <w:tc>
          <w:tcPr>
            <w:tcW w:w="940" w:type="dxa"/>
            <w:vAlign w:val="center"/>
          </w:tcPr>
          <w:p w14:paraId="1B986461">
            <w:pPr>
              <w:jc w:val="right"/>
            </w:pPr>
            <w:r>
              <w:rPr>
                <w:rFonts w:ascii="宋体" w:hAnsi="宋体" w:eastAsia="宋体" w:cs="宋体"/>
                <w:b w:val="0"/>
                <w:i w:val="0"/>
                <w:color w:val="000000"/>
                <w:sz w:val="11"/>
              </w:rPr>
              <w:t>23.35</w:t>
            </w:r>
          </w:p>
        </w:tc>
        <w:tc>
          <w:tcPr>
            <w:tcW w:w="1000" w:type="dxa"/>
            <w:vAlign w:val="center"/>
          </w:tcPr>
          <w:p w14:paraId="1DA5E540"/>
        </w:tc>
        <w:tc>
          <w:tcPr>
            <w:tcW w:w="980" w:type="dxa"/>
            <w:vAlign w:val="center"/>
          </w:tcPr>
          <w:p w14:paraId="39E3517D">
            <w:pPr>
              <w:jc w:val="right"/>
            </w:pPr>
            <w:r>
              <w:rPr>
                <w:rFonts w:ascii="宋体" w:hAnsi="宋体" w:eastAsia="宋体" w:cs="宋体"/>
                <w:b w:val="0"/>
                <w:i w:val="0"/>
                <w:color w:val="000000"/>
                <w:sz w:val="11"/>
              </w:rPr>
              <w:t>23.35</w:t>
            </w:r>
          </w:p>
        </w:tc>
        <w:tc>
          <w:tcPr>
            <w:tcW w:w="920" w:type="dxa"/>
            <w:vAlign w:val="center"/>
          </w:tcPr>
          <w:p w14:paraId="5D46714B"/>
        </w:tc>
        <w:tc>
          <w:tcPr>
            <w:tcW w:w="960" w:type="dxa"/>
            <w:vAlign w:val="center"/>
          </w:tcPr>
          <w:p w14:paraId="7EB82DC5"/>
        </w:tc>
        <w:tc>
          <w:tcPr>
            <w:tcW w:w="926" w:type="dxa"/>
            <w:vAlign w:val="center"/>
          </w:tcPr>
          <w:p w14:paraId="63387850"/>
        </w:tc>
      </w:tr>
      <w:tr w14:paraId="3F0D0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56897D">
            <w:pPr>
              <w:jc w:val="left"/>
            </w:pPr>
            <w:r>
              <w:rPr>
                <w:rFonts w:ascii="宋体" w:hAnsi="宋体" w:eastAsia="宋体" w:cs="宋体"/>
                <w:b w:val="0"/>
                <w:i w:val="0"/>
                <w:color w:val="000000"/>
                <w:sz w:val="11"/>
              </w:rPr>
              <w:t>2011499</w:t>
            </w:r>
          </w:p>
        </w:tc>
        <w:tc>
          <w:tcPr>
            <w:tcW w:w="1760" w:type="dxa"/>
            <w:vAlign w:val="center"/>
          </w:tcPr>
          <w:p w14:paraId="4D358181">
            <w:pPr>
              <w:jc w:val="left"/>
            </w:pPr>
            <w:r>
              <w:rPr>
                <w:rFonts w:ascii="宋体" w:hAnsi="宋体" w:eastAsia="宋体" w:cs="宋体"/>
                <w:b w:val="0"/>
                <w:i w:val="0"/>
                <w:color w:val="000000"/>
                <w:sz w:val="11"/>
              </w:rPr>
              <w:t>其他知识产权事务支出</w:t>
            </w:r>
          </w:p>
        </w:tc>
        <w:tc>
          <w:tcPr>
            <w:tcW w:w="940" w:type="dxa"/>
            <w:vAlign w:val="center"/>
          </w:tcPr>
          <w:p w14:paraId="5CE0B8A0">
            <w:pPr>
              <w:jc w:val="right"/>
            </w:pPr>
            <w:r>
              <w:rPr>
                <w:rFonts w:ascii="宋体" w:hAnsi="宋体" w:eastAsia="宋体" w:cs="宋体"/>
                <w:b w:val="0"/>
                <w:i w:val="0"/>
                <w:color w:val="000000"/>
                <w:sz w:val="11"/>
              </w:rPr>
              <w:t>23.35</w:t>
            </w:r>
          </w:p>
        </w:tc>
        <w:tc>
          <w:tcPr>
            <w:tcW w:w="1000" w:type="dxa"/>
            <w:vAlign w:val="center"/>
          </w:tcPr>
          <w:p w14:paraId="0996A94C"/>
        </w:tc>
        <w:tc>
          <w:tcPr>
            <w:tcW w:w="980" w:type="dxa"/>
            <w:vAlign w:val="center"/>
          </w:tcPr>
          <w:p w14:paraId="25BEFD3B">
            <w:pPr>
              <w:jc w:val="right"/>
            </w:pPr>
            <w:r>
              <w:rPr>
                <w:rFonts w:ascii="宋体" w:hAnsi="宋体" w:eastAsia="宋体" w:cs="宋体"/>
                <w:b w:val="0"/>
                <w:i w:val="0"/>
                <w:color w:val="000000"/>
                <w:sz w:val="11"/>
              </w:rPr>
              <w:t>23.35</w:t>
            </w:r>
          </w:p>
        </w:tc>
        <w:tc>
          <w:tcPr>
            <w:tcW w:w="920" w:type="dxa"/>
            <w:vAlign w:val="center"/>
          </w:tcPr>
          <w:p w14:paraId="4D7FE8CB"/>
        </w:tc>
        <w:tc>
          <w:tcPr>
            <w:tcW w:w="960" w:type="dxa"/>
            <w:vAlign w:val="center"/>
          </w:tcPr>
          <w:p w14:paraId="3EAA4129"/>
        </w:tc>
        <w:tc>
          <w:tcPr>
            <w:tcW w:w="926" w:type="dxa"/>
            <w:vAlign w:val="center"/>
          </w:tcPr>
          <w:p w14:paraId="2AD647BD"/>
        </w:tc>
      </w:tr>
      <w:tr w14:paraId="09454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ABC902">
            <w:pPr>
              <w:jc w:val="left"/>
            </w:pPr>
            <w:r>
              <w:rPr>
                <w:rFonts w:ascii="宋体" w:hAnsi="宋体" w:eastAsia="宋体" w:cs="宋体"/>
                <w:b w:val="0"/>
                <w:i w:val="0"/>
                <w:color w:val="000000"/>
                <w:sz w:val="11"/>
              </w:rPr>
              <w:t>20138</w:t>
            </w:r>
          </w:p>
        </w:tc>
        <w:tc>
          <w:tcPr>
            <w:tcW w:w="1760" w:type="dxa"/>
            <w:vAlign w:val="center"/>
          </w:tcPr>
          <w:p w14:paraId="57F1A6DA">
            <w:pPr>
              <w:jc w:val="left"/>
            </w:pPr>
            <w:r>
              <w:rPr>
                <w:rFonts w:ascii="宋体" w:hAnsi="宋体" w:eastAsia="宋体" w:cs="宋体"/>
                <w:b w:val="0"/>
                <w:i w:val="0"/>
                <w:color w:val="000000"/>
                <w:sz w:val="11"/>
              </w:rPr>
              <w:t>市场监督管理事务</w:t>
            </w:r>
          </w:p>
        </w:tc>
        <w:tc>
          <w:tcPr>
            <w:tcW w:w="940" w:type="dxa"/>
            <w:vAlign w:val="center"/>
          </w:tcPr>
          <w:p w14:paraId="2FD4E542">
            <w:pPr>
              <w:jc w:val="right"/>
            </w:pPr>
            <w:r>
              <w:rPr>
                <w:rFonts w:ascii="宋体" w:hAnsi="宋体" w:eastAsia="宋体" w:cs="宋体"/>
                <w:b w:val="0"/>
                <w:i w:val="0"/>
                <w:color w:val="000000"/>
                <w:sz w:val="11"/>
              </w:rPr>
              <w:t>1,966.24</w:t>
            </w:r>
          </w:p>
        </w:tc>
        <w:tc>
          <w:tcPr>
            <w:tcW w:w="1000" w:type="dxa"/>
            <w:vAlign w:val="center"/>
          </w:tcPr>
          <w:p w14:paraId="3DDA4758">
            <w:pPr>
              <w:jc w:val="right"/>
            </w:pPr>
            <w:r>
              <w:rPr>
                <w:rFonts w:ascii="宋体" w:hAnsi="宋体" w:eastAsia="宋体" w:cs="宋体"/>
                <w:b w:val="0"/>
                <w:i w:val="0"/>
                <w:color w:val="000000"/>
                <w:sz w:val="11"/>
              </w:rPr>
              <w:t>1,281.50</w:t>
            </w:r>
          </w:p>
        </w:tc>
        <w:tc>
          <w:tcPr>
            <w:tcW w:w="980" w:type="dxa"/>
            <w:vAlign w:val="center"/>
          </w:tcPr>
          <w:p w14:paraId="05314B36">
            <w:pPr>
              <w:jc w:val="right"/>
            </w:pPr>
            <w:r>
              <w:rPr>
                <w:rFonts w:ascii="宋体" w:hAnsi="宋体" w:eastAsia="宋体" w:cs="宋体"/>
                <w:b w:val="0"/>
                <w:i w:val="0"/>
                <w:color w:val="000000"/>
                <w:sz w:val="11"/>
              </w:rPr>
              <w:t>684.74</w:t>
            </w:r>
          </w:p>
        </w:tc>
        <w:tc>
          <w:tcPr>
            <w:tcW w:w="920" w:type="dxa"/>
            <w:vAlign w:val="center"/>
          </w:tcPr>
          <w:p w14:paraId="2C87047E"/>
        </w:tc>
        <w:tc>
          <w:tcPr>
            <w:tcW w:w="960" w:type="dxa"/>
            <w:vAlign w:val="center"/>
          </w:tcPr>
          <w:p w14:paraId="5E2B757A"/>
        </w:tc>
        <w:tc>
          <w:tcPr>
            <w:tcW w:w="926" w:type="dxa"/>
            <w:vAlign w:val="center"/>
          </w:tcPr>
          <w:p w14:paraId="2EF4DDEA"/>
        </w:tc>
      </w:tr>
      <w:tr w14:paraId="01A4D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57C5E1">
            <w:pPr>
              <w:jc w:val="left"/>
            </w:pPr>
            <w:r>
              <w:rPr>
                <w:rFonts w:ascii="宋体" w:hAnsi="宋体" w:eastAsia="宋体" w:cs="宋体"/>
                <w:b w:val="0"/>
                <w:i w:val="0"/>
                <w:color w:val="000000"/>
                <w:sz w:val="11"/>
              </w:rPr>
              <w:t>2013801</w:t>
            </w:r>
          </w:p>
        </w:tc>
        <w:tc>
          <w:tcPr>
            <w:tcW w:w="1760" w:type="dxa"/>
            <w:vAlign w:val="center"/>
          </w:tcPr>
          <w:p w14:paraId="3932BFE0">
            <w:pPr>
              <w:jc w:val="left"/>
            </w:pPr>
            <w:r>
              <w:rPr>
                <w:rFonts w:ascii="宋体" w:hAnsi="宋体" w:eastAsia="宋体" w:cs="宋体"/>
                <w:b w:val="0"/>
                <w:i w:val="0"/>
                <w:color w:val="000000"/>
                <w:sz w:val="11"/>
              </w:rPr>
              <w:t>行政运行</w:t>
            </w:r>
          </w:p>
        </w:tc>
        <w:tc>
          <w:tcPr>
            <w:tcW w:w="940" w:type="dxa"/>
            <w:vAlign w:val="center"/>
          </w:tcPr>
          <w:p w14:paraId="3E49EEEB">
            <w:pPr>
              <w:jc w:val="right"/>
            </w:pPr>
            <w:r>
              <w:rPr>
                <w:rFonts w:ascii="宋体" w:hAnsi="宋体" w:eastAsia="宋体" w:cs="宋体"/>
                <w:b w:val="0"/>
                <w:i w:val="0"/>
                <w:color w:val="000000"/>
                <w:sz w:val="11"/>
              </w:rPr>
              <w:t>1,032.54</w:t>
            </w:r>
          </w:p>
        </w:tc>
        <w:tc>
          <w:tcPr>
            <w:tcW w:w="1000" w:type="dxa"/>
            <w:vAlign w:val="center"/>
          </w:tcPr>
          <w:p w14:paraId="608F883C">
            <w:pPr>
              <w:jc w:val="right"/>
            </w:pPr>
            <w:r>
              <w:rPr>
                <w:rFonts w:ascii="宋体" w:hAnsi="宋体" w:eastAsia="宋体" w:cs="宋体"/>
                <w:b w:val="0"/>
                <w:i w:val="0"/>
                <w:color w:val="000000"/>
                <w:sz w:val="11"/>
              </w:rPr>
              <w:t>943.79</w:t>
            </w:r>
          </w:p>
        </w:tc>
        <w:tc>
          <w:tcPr>
            <w:tcW w:w="980" w:type="dxa"/>
            <w:vAlign w:val="center"/>
          </w:tcPr>
          <w:p w14:paraId="4863D492">
            <w:pPr>
              <w:jc w:val="right"/>
            </w:pPr>
            <w:r>
              <w:rPr>
                <w:rFonts w:ascii="宋体" w:hAnsi="宋体" w:eastAsia="宋体" w:cs="宋体"/>
                <w:b w:val="0"/>
                <w:i w:val="0"/>
                <w:color w:val="000000"/>
                <w:sz w:val="11"/>
              </w:rPr>
              <w:t>88.75</w:t>
            </w:r>
          </w:p>
        </w:tc>
        <w:tc>
          <w:tcPr>
            <w:tcW w:w="920" w:type="dxa"/>
            <w:vAlign w:val="center"/>
          </w:tcPr>
          <w:p w14:paraId="372ED53B"/>
        </w:tc>
        <w:tc>
          <w:tcPr>
            <w:tcW w:w="960" w:type="dxa"/>
            <w:vAlign w:val="center"/>
          </w:tcPr>
          <w:p w14:paraId="21F3119C"/>
        </w:tc>
        <w:tc>
          <w:tcPr>
            <w:tcW w:w="926" w:type="dxa"/>
            <w:vAlign w:val="center"/>
          </w:tcPr>
          <w:p w14:paraId="7430B956"/>
        </w:tc>
      </w:tr>
      <w:tr w14:paraId="417A1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861266">
            <w:pPr>
              <w:jc w:val="left"/>
            </w:pPr>
            <w:r>
              <w:rPr>
                <w:rFonts w:ascii="宋体" w:hAnsi="宋体" w:eastAsia="宋体" w:cs="宋体"/>
                <w:b w:val="0"/>
                <w:i w:val="0"/>
                <w:color w:val="000000"/>
                <w:sz w:val="11"/>
              </w:rPr>
              <w:t>2013850</w:t>
            </w:r>
          </w:p>
        </w:tc>
        <w:tc>
          <w:tcPr>
            <w:tcW w:w="1760" w:type="dxa"/>
            <w:vAlign w:val="center"/>
          </w:tcPr>
          <w:p w14:paraId="397310EE">
            <w:pPr>
              <w:jc w:val="left"/>
            </w:pPr>
            <w:r>
              <w:rPr>
                <w:rFonts w:ascii="宋体" w:hAnsi="宋体" w:eastAsia="宋体" w:cs="宋体"/>
                <w:b w:val="0"/>
                <w:i w:val="0"/>
                <w:color w:val="000000"/>
                <w:sz w:val="11"/>
              </w:rPr>
              <w:t>事业运行</w:t>
            </w:r>
          </w:p>
        </w:tc>
        <w:tc>
          <w:tcPr>
            <w:tcW w:w="940" w:type="dxa"/>
            <w:vAlign w:val="center"/>
          </w:tcPr>
          <w:p w14:paraId="03ABE2B1">
            <w:pPr>
              <w:jc w:val="right"/>
            </w:pPr>
            <w:r>
              <w:rPr>
                <w:rFonts w:ascii="宋体" w:hAnsi="宋体" w:eastAsia="宋体" w:cs="宋体"/>
                <w:b w:val="0"/>
                <w:i w:val="0"/>
                <w:color w:val="000000"/>
                <w:sz w:val="11"/>
              </w:rPr>
              <w:t>357.78</w:t>
            </w:r>
          </w:p>
        </w:tc>
        <w:tc>
          <w:tcPr>
            <w:tcW w:w="1000" w:type="dxa"/>
            <w:vAlign w:val="center"/>
          </w:tcPr>
          <w:p w14:paraId="39F226EB">
            <w:pPr>
              <w:jc w:val="right"/>
            </w:pPr>
            <w:r>
              <w:rPr>
                <w:rFonts w:ascii="宋体" w:hAnsi="宋体" w:eastAsia="宋体" w:cs="宋体"/>
                <w:b w:val="0"/>
                <w:i w:val="0"/>
                <w:color w:val="000000"/>
                <w:sz w:val="11"/>
              </w:rPr>
              <w:t>263.91</w:t>
            </w:r>
          </w:p>
        </w:tc>
        <w:tc>
          <w:tcPr>
            <w:tcW w:w="980" w:type="dxa"/>
            <w:vAlign w:val="center"/>
          </w:tcPr>
          <w:p w14:paraId="53F8188D">
            <w:pPr>
              <w:jc w:val="right"/>
            </w:pPr>
            <w:r>
              <w:rPr>
                <w:rFonts w:ascii="宋体" w:hAnsi="宋体" w:eastAsia="宋体" w:cs="宋体"/>
                <w:b w:val="0"/>
                <w:i w:val="0"/>
                <w:color w:val="000000"/>
                <w:sz w:val="11"/>
              </w:rPr>
              <w:t>93.87</w:t>
            </w:r>
          </w:p>
        </w:tc>
        <w:tc>
          <w:tcPr>
            <w:tcW w:w="920" w:type="dxa"/>
            <w:vAlign w:val="center"/>
          </w:tcPr>
          <w:p w14:paraId="29E87BCB"/>
        </w:tc>
        <w:tc>
          <w:tcPr>
            <w:tcW w:w="960" w:type="dxa"/>
            <w:vAlign w:val="center"/>
          </w:tcPr>
          <w:p w14:paraId="19F0E47F"/>
        </w:tc>
        <w:tc>
          <w:tcPr>
            <w:tcW w:w="926" w:type="dxa"/>
            <w:vAlign w:val="center"/>
          </w:tcPr>
          <w:p w14:paraId="1EBB3554"/>
        </w:tc>
      </w:tr>
      <w:tr w14:paraId="00EDB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D36039">
            <w:pPr>
              <w:jc w:val="left"/>
            </w:pPr>
            <w:r>
              <w:rPr>
                <w:rFonts w:ascii="宋体" w:hAnsi="宋体" w:eastAsia="宋体" w:cs="宋体"/>
                <w:b w:val="0"/>
                <w:i w:val="0"/>
                <w:color w:val="000000"/>
                <w:sz w:val="11"/>
              </w:rPr>
              <w:t>2013899</w:t>
            </w:r>
          </w:p>
        </w:tc>
        <w:tc>
          <w:tcPr>
            <w:tcW w:w="1760" w:type="dxa"/>
            <w:vAlign w:val="center"/>
          </w:tcPr>
          <w:p w14:paraId="16291E77">
            <w:pPr>
              <w:jc w:val="left"/>
            </w:pPr>
            <w:r>
              <w:rPr>
                <w:rFonts w:ascii="宋体" w:hAnsi="宋体" w:eastAsia="宋体" w:cs="宋体"/>
                <w:b w:val="0"/>
                <w:i w:val="0"/>
                <w:color w:val="000000"/>
                <w:sz w:val="11"/>
              </w:rPr>
              <w:t>其他市场监督管理事务</w:t>
            </w:r>
          </w:p>
        </w:tc>
        <w:tc>
          <w:tcPr>
            <w:tcW w:w="940" w:type="dxa"/>
            <w:vAlign w:val="center"/>
          </w:tcPr>
          <w:p w14:paraId="0E844217">
            <w:pPr>
              <w:jc w:val="right"/>
            </w:pPr>
            <w:r>
              <w:rPr>
                <w:rFonts w:ascii="宋体" w:hAnsi="宋体" w:eastAsia="宋体" w:cs="宋体"/>
                <w:b w:val="0"/>
                <w:i w:val="0"/>
                <w:color w:val="000000"/>
                <w:sz w:val="11"/>
              </w:rPr>
              <w:t>575.92</w:t>
            </w:r>
          </w:p>
        </w:tc>
        <w:tc>
          <w:tcPr>
            <w:tcW w:w="1000" w:type="dxa"/>
            <w:vAlign w:val="center"/>
          </w:tcPr>
          <w:p w14:paraId="4428AC04">
            <w:pPr>
              <w:jc w:val="right"/>
            </w:pPr>
            <w:r>
              <w:rPr>
                <w:rFonts w:ascii="宋体" w:hAnsi="宋体" w:eastAsia="宋体" w:cs="宋体"/>
                <w:b w:val="0"/>
                <w:i w:val="0"/>
                <w:color w:val="000000"/>
                <w:sz w:val="11"/>
              </w:rPr>
              <w:t>73.79</w:t>
            </w:r>
          </w:p>
        </w:tc>
        <w:tc>
          <w:tcPr>
            <w:tcW w:w="980" w:type="dxa"/>
            <w:vAlign w:val="center"/>
          </w:tcPr>
          <w:p w14:paraId="19E15CA0">
            <w:pPr>
              <w:jc w:val="right"/>
            </w:pPr>
            <w:r>
              <w:rPr>
                <w:rFonts w:ascii="宋体" w:hAnsi="宋体" w:eastAsia="宋体" w:cs="宋体"/>
                <w:b w:val="0"/>
                <w:i w:val="0"/>
                <w:color w:val="000000"/>
                <w:sz w:val="11"/>
              </w:rPr>
              <w:t>502.13</w:t>
            </w:r>
          </w:p>
        </w:tc>
        <w:tc>
          <w:tcPr>
            <w:tcW w:w="920" w:type="dxa"/>
            <w:vAlign w:val="center"/>
          </w:tcPr>
          <w:p w14:paraId="0343BB01"/>
        </w:tc>
        <w:tc>
          <w:tcPr>
            <w:tcW w:w="960" w:type="dxa"/>
            <w:vAlign w:val="center"/>
          </w:tcPr>
          <w:p w14:paraId="02E6462E"/>
        </w:tc>
        <w:tc>
          <w:tcPr>
            <w:tcW w:w="926" w:type="dxa"/>
            <w:vAlign w:val="center"/>
          </w:tcPr>
          <w:p w14:paraId="0AFAA461"/>
        </w:tc>
      </w:tr>
      <w:tr w14:paraId="1B95E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F16E08">
            <w:pPr>
              <w:jc w:val="left"/>
            </w:pPr>
            <w:r>
              <w:rPr>
                <w:rFonts w:ascii="宋体" w:hAnsi="宋体" w:eastAsia="宋体" w:cs="宋体"/>
                <w:b w:val="0"/>
                <w:i w:val="0"/>
                <w:color w:val="000000"/>
                <w:sz w:val="11"/>
              </w:rPr>
              <w:t>208</w:t>
            </w:r>
          </w:p>
        </w:tc>
        <w:tc>
          <w:tcPr>
            <w:tcW w:w="1760" w:type="dxa"/>
            <w:vAlign w:val="center"/>
          </w:tcPr>
          <w:p w14:paraId="665A8988">
            <w:pPr>
              <w:jc w:val="left"/>
            </w:pPr>
            <w:r>
              <w:rPr>
                <w:rFonts w:ascii="宋体" w:hAnsi="宋体" w:eastAsia="宋体" w:cs="宋体"/>
                <w:b w:val="0"/>
                <w:i w:val="0"/>
                <w:color w:val="000000"/>
                <w:sz w:val="11"/>
              </w:rPr>
              <w:t>社会保障和就业支出</w:t>
            </w:r>
          </w:p>
        </w:tc>
        <w:tc>
          <w:tcPr>
            <w:tcW w:w="940" w:type="dxa"/>
            <w:vAlign w:val="center"/>
          </w:tcPr>
          <w:p w14:paraId="7238BEDE">
            <w:pPr>
              <w:jc w:val="right"/>
            </w:pPr>
            <w:r>
              <w:rPr>
                <w:rFonts w:ascii="宋体" w:hAnsi="宋体" w:eastAsia="宋体" w:cs="宋体"/>
                <w:b w:val="0"/>
                <w:i w:val="0"/>
                <w:color w:val="000000"/>
                <w:sz w:val="11"/>
              </w:rPr>
              <w:t>198.25</w:t>
            </w:r>
          </w:p>
        </w:tc>
        <w:tc>
          <w:tcPr>
            <w:tcW w:w="1000" w:type="dxa"/>
            <w:vAlign w:val="center"/>
          </w:tcPr>
          <w:p w14:paraId="6D5376AF">
            <w:pPr>
              <w:jc w:val="right"/>
            </w:pPr>
            <w:r>
              <w:rPr>
                <w:rFonts w:ascii="宋体" w:hAnsi="宋体" w:eastAsia="宋体" w:cs="宋体"/>
                <w:b w:val="0"/>
                <w:i w:val="0"/>
                <w:color w:val="000000"/>
                <w:sz w:val="11"/>
              </w:rPr>
              <w:t>198.25</w:t>
            </w:r>
          </w:p>
        </w:tc>
        <w:tc>
          <w:tcPr>
            <w:tcW w:w="980" w:type="dxa"/>
            <w:vAlign w:val="center"/>
          </w:tcPr>
          <w:p w14:paraId="4DA4A8A8"/>
        </w:tc>
        <w:tc>
          <w:tcPr>
            <w:tcW w:w="920" w:type="dxa"/>
            <w:vAlign w:val="center"/>
          </w:tcPr>
          <w:p w14:paraId="45004D95"/>
        </w:tc>
        <w:tc>
          <w:tcPr>
            <w:tcW w:w="960" w:type="dxa"/>
            <w:vAlign w:val="center"/>
          </w:tcPr>
          <w:p w14:paraId="12D9B043"/>
        </w:tc>
        <w:tc>
          <w:tcPr>
            <w:tcW w:w="926" w:type="dxa"/>
            <w:vAlign w:val="center"/>
          </w:tcPr>
          <w:p w14:paraId="56F4AF13"/>
        </w:tc>
      </w:tr>
      <w:tr w14:paraId="0A11F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7697E8">
            <w:pPr>
              <w:jc w:val="left"/>
            </w:pPr>
            <w:r>
              <w:rPr>
                <w:rFonts w:ascii="宋体" w:hAnsi="宋体" w:eastAsia="宋体" w:cs="宋体"/>
                <w:b w:val="0"/>
                <w:i w:val="0"/>
                <w:color w:val="000000"/>
                <w:sz w:val="11"/>
              </w:rPr>
              <w:t>20805</w:t>
            </w:r>
          </w:p>
        </w:tc>
        <w:tc>
          <w:tcPr>
            <w:tcW w:w="1760" w:type="dxa"/>
            <w:vAlign w:val="center"/>
          </w:tcPr>
          <w:p w14:paraId="5B87F3E6">
            <w:pPr>
              <w:jc w:val="left"/>
            </w:pPr>
            <w:r>
              <w:rPr>
                <w:rFonts w:ascii="宋体" w:hAnsi="宋体" w:eastAsia="宋体" w:cs="宋体"/>
                <w:b w:val="0"/>
                <w:i w:val="0"/>
                <w:color w:val="000000"/>
                <w:sz w:val="11"/>
              </w:rPr>
              <w:t>行政事业单位养老支出</w:t>
            </w:r>
          </w:p>
        </w:tc>
        <w:tc>
          <w:tcPr>
            <w:tcW w:w="940" w:type="dxa"/>
            <w:vAlign w:val="center"/>
          </w:tcPr>
          <w:p w14:paraId="44674156">
            <w:pPr>
              <w:jc w:val="right"/>
            </w:pPr>
            <w:r>
              <w:rPr>
                <w:rFonts w:ascii="宋体" w:hAnsi="宋体" w:eastAsia="宋体" w:cs="宋体"/>
                <w:b w:val="0"/>
                <w:i w:val="0"/>
                <w:color w:val="000000"/>
                <w:sz w:val="11"/>
              </w:rPr>
              <w:t>198.25</w:t>
            </w:r>
          </w:p>
        </w:tc>
        <w:tc>
          <w:tcPr>
            <w:tcW w:w="1000" w:type="dxa"/>
            <w:vAlign w:val="center"/>
          </w:tcPr>
          <w:p w14:paraId="18367949">
            <w:pPr>
              <w:jc w:val="right"/>
            </w:pPr>
            <w:r>
              <w:rPr>
                <w:rFonts w:ascii="宋体" w:hAnsi="宋体" w:eastAsia="宋体" w:cs="宋体"/>
                <w:b w:val="0"/>
                <w:i w:val="0"/>
                <w:color w:val="000000"/>
                <w:sz w:val="11"/>
              </w:rPr>
              <w:t>198.25</w:t>
            </w:r>
          </w:p>
        </w:tc>
        <w:tc>
          <w:tcPr>
            <w:tcW w:w="980" w:type="dxa"/>
            <w:vAlign w:val="center"/>
          </w:tcPr>
          <w:p w14:paraId="598209AE"/>
        </w:tc>
        <w:tc>
          <w:tcPr>
            <w:tcW w:w="920" w:type="dxa"/>
            <w:vAlign w:val="center"/>
          </w:tcPr>
          <w:p w14:paraId="374B8FA9"/>
        </w:tc>
        <w:tc>
          <w:tcPr>
            <w:tcW w:w="960" w:type="dxa"/>
            <w:vAlign w:val="center"/>
          </w:tcPr>
          <w:p w14:paraId="731C799F"/>
        </w:tc>
        <w:tc>
          <w:tcPr>
            <w:tcW w:w="926" w:type="dxa"/>
            <w:vAlign w:val="center"/>
          </w:tcPr>
          <w:p w14:paraId="0918BC52"/>
        </w:tc>
      </w:tr>
      <w:tr w14:paraId="6A93E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061A43">
            <w:pPr>
              <w:jc w:val="left"/>
            </w:pPr>
            <w:r>
              <w:rPr>
                <w:rFonts w:ascii="宋体" w:hAnsi="宋体" w:eastAsia="宋体" w:cs="宋体"/>
                <w:b w:val="0"/>
                <w:i w:val="0"/>
                <w:color w:val="000000"/>
                <w:sz w:val="11"/>
              </w:rPr>
              <w:t>2080505</w:t>
            </w:r>
          </w:p>
        </w:tc>
        <w:tc>
          <w:tcPr>
            <w:tcW w:w="1760" w:type="dxa"/>
            <w:vAlign w:val="center"/>
          </w:tcPr>
          <w:p w14:paraId="0879AB85">
            <w:pPr>
              <w:jc w:val="left"/>
            </w:pPr>
            <w:r>
              <w:rPr>
                <w:rFonts w:ascii="宋体" w:hAnsi="宋体" w:eastAsia="宋体" w:cs="宋体"/>
                <w:b w:val="0"/>
                <w:i w:val="0"/>
                <w:color w:val="000000"/>
                <w:sz w:val="11"/>
              </w:rPr>
              <w:t>机关事业单位基本养老保险缴费支出</w:t>
            </w:r>
          </w:p>
        </w:tc>
        <w:tc>
          <w:tcPr>
            <w:tcW w:w="940" w:type="dxa"/>
            <w:vAlign w:val="center"/>
          </w:tcPr>
          <w:p w14:paraId="579699BB">
            <w:pPr>
              <w:jc w:val="right"/>
            </w:pPr>
            <w:r>
              <w:rPr>
                <w:rFonts w:ascii="宋体" w:hAnsi="宋体" w:eastAsia="宋体" w:cs="宋体"/>
                <w:b w:val="0"/>
                <w:i w:val="0"/>
                <w:color w:val="000000"/>
                <w:sz w:val="11"/>
              </w:rPr>
              <w:t>132.17</w:t>
            </w:r>
          </w:p>
        </w:tc>
        <w:tc>
          <w:tcPr>
            <w:tcW w:w="1000" w:type="dxa"/>
            <w:vAlign w:val="center"/>
          </w:tcPr>
          <w:p w14:paraId="6BE92BE9">
            <w:pPr>
              <w:jc w:val="right"/>
            </w:pPr>
            <w:r>
              <w:rPr>
                <w:rFonts w:ascii="宋体" w:hAnsi="宋体" w:eastAsia="宋体" w:cs="宋体"/>
                <w:b w:val="0"/>
                <w:i w:val="0"/>
                <w:color w:val="000000"/>
                <w:sz w:val="11"/>
              </w:rPr>
              <w:t>132.17</w:t>
            </w:r>
          </w:p>
        </w:tc>
        <w:tc>
          <w:tcPr>
            <w:tcW w:w="980" w:type="dxa"/>
            <w:vAlign w:val="center"/>
          </w:tcPr>
          <w:p w14:paraId="2E621149"/>
        </w:tc>
        <w:tc>
          <w:tcPr>
            <w:tcW w:w="920" w:type="dxa"/>
            <w:vAlign w:val="center"/>
          </w:tcPr>
          <w:p w14:paraId="219C31D4"/>
        </w:tc>
        <w:tc>
          <w:tcPr>
            <w:tcW w:w="960" w:type="dxa"/>
            <w:vAlign w:val="center"/>
          </w:tcPr>
          <w:p w14:paraId="5D8C6918"/>
        </w:tc>
        <w:tc>
          <w:tcPr>
            <w:tcW w:w="926" w:type="dxa"/>
            <w:vAlign w:val="center"/>
          </w:tcPr>
          <w:p w14:paraId="38689952"/>
        </w:tc>
      </w:tr>
      <w:tr w14:paraId="337C0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60C5EC">
            <w:pPr>
              <w:jc w:val="left"/>
            </w:pPr>
            <w:r>
              <w:rPr>
                <w:rFonts w:ascii="宋体" w:hAnsi="宋体" w:eastAsia="宋体" w:cs="宋体"/>
                <w:b w:val="0"/>
                <w:i w:val="0"/>
                <w:color w:val="000000"/>
                <w:sz w:val="11"/>
              </w:rPr>
              <w:t>2080506</w:t>
            </w:r>
          </w:p>
        </w:tc>
        <w:tc>
          <w:tcPr>
            <w:tcW w:w="1760" w:type="dxa"/>
            <w:vAlign w:val="center"/>
          </w:tcPr>
          <w:p w14:paraId="398B9A06">
            <w:pPr>
              <w:jc w:val="left"/>
            </w:pPr>
            <w:r>
              <w:rPr>
                <w:rFonts w:ascii="宋体" w:hAnsi="宋体" w:eastAsia="宋体" w:cs="宋体"/>
                <w:b w:val="0"/>
                <w:i w:val="0"/>
                <w:color w:val="000000"/>
                <w:sz w:val="11"/>
              </w:rPr>
              <w:t>机关事业单位职业年金缴费支出</w:t>
            </w:r>
          </w:p>
        </w:tc>
        <w:tc>
          <w:tcPr>
            <w:tcW w:w="940" w:type="dxa"/>
            <w:vAlign w:val="center"/>
          </w:tcPr>
          <w:p w14:paraId="15DEBE4B">
            <w:pPr>
              <w:jc w:val="right"/>
            </w:pPr>
            <w:r>
              <w:rPr>
                <w:rFonts w:ascii="宋体" w:hAnsi="宋体" w:eastAsia="宋体" w:cs="宋体"/>
                <w:b w:val="0"/>
                <w:i w:val="0"/>
                <w:color w:val="000000"/>
                <w:sz w:val="11"/>
              </w:rPr>
              <w:t>66.08</w:t>
            </w:r>
          </w:p>
        </w:tc>
        <w:tc>
          <w:tcPr>
            <w:tcW w:w="1000" w:type="dxa"/>
            <w:vAlign w:val="center"/>
          </w:tcPr>
          <w:p w14:paraId="641E263E">
            <w:pPr>
              <w:jc w:val="right"/>
            </w:pPr>
            <w:r>
              <w:rPr>
                <w:rFonts w:ascii="宋体" w:hAnsi="宋体" w:eastAsia="宋体" w:cs="宋体"/>
                <w:b w:val="0"/>
                <w:i w:val="0"/>
                <w:color w:val="000000"/>
                <w:sz w:val="11"/>
              </w:rPr>
              <w:t>66.08</w:t>
            </w:r>
          </w:p>
        </w:tc>
        <w:tc>
          <w:tcPr>
            <w:tcW w:w="980" w:type="dxa"/>
            <w:vAlign w:val="center"/>
          </w:tcPr>
          <w:p w14:paraId="50E3DAD2"/>
        </w:tc>
        <w:tc>
          <w:tcPr>
            <w:tcW w:w="920" w:type="dxa"/>
            <w:vAlign w:val="center"/>
          </w:tcPr>
          <w:p w14:paraId="0308927E"/>
        </w:tc>
        <w:tc>
          <w:tcPr>
            <w:tcW w:w="960" w:type="dxa"/>
            <w:vAlign w:val="center"/>
          </w:tcPr>
          <w:p w14:paraId="0E28D223"/>
        </w:tc>
        <w:tc>
          <w:tcPr>
            <w:tcW w:w="926" w:type="dxa"/>
            <w:vAlign w:val="center"/>
          </w:tcPr>
          <w:p w14:paraId="61E09D05"/>
        </w:tc>
      </w:tr>
      <w:tr w14:paraId="56E6D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92B5A7">
            <w:pPr>
              <w:jc w:val="left"/>
            </w:pPr>
            <w:r>
              <w:rPr>
                <w:rFonts w:ascii="宋体" w:hAnsi="宋体" w:eastAsia="宋体" w:cs="宋体"/>
                <w:b w:val="0"/>
                <w:i w:val="0"/>
                <w:color w:val="000000"/>
                <w:sz w:val="11"/>
              </w:rPr>
              <w:t>210</w:t>
            </w:r>
          </w:p>
        </w:tc>
        <w:tc>
          <w:tcPr>
            <w:tcW w:w="1760" w:type="dxa"/>
            <w:vAlign w:val="center"/>
          </w:tcPr>
          <w:p w14:paraId="7FD7A143">
            <w:pPr>
              <w:jc w:val="left"/>
            </w:pPr>
            <w:r>
              <w:rPr>
                <w:rFonts w:ascii="宋体" w:hAnsi="宋体" w:eastAsia="宋体" w:cs="宋体"/>
                <w:b w:val="0"/>
                <w:i w:val="0"/>
                <w:color w:val="000000"/>
                <w:sz w:val="11"/>
              </w:rPr>
              <w:t>卫生健康支出</w:t>
            </w:r>
          </w:p>
        </w:tc>
        <w:tc>
          <w:tcPr>
            <w:tcW w:w="940" w:type="dxa"/>
            <w:vAlign w:val="center"/>
          </w:tcPr>
          <w:p w14:paraId="6DF2A0FB">
            <w:pPr>
              <w:jc w:val="right"/>
            </w:pPr>
            <w:r>
              <w:rPr>
                <w:rFonts w:ascii="宋体" w:hAnsi="宋体" w:eastAsia="宋体" w:cs="宋体"/>
                <w:b w:val="0"/>
                <w:i w:val="0"/>
                <w:color w:val="000000"/>
                <w:sz w:val="11"/>
              </w:rPr>
              <w:t>40.82</w:t>
            </w:r>
          </w:p>
        </w:tc>
        <w:tc>
          <w:tcPr>
            <w:tcW w:w="1000" w:type="dxa"/>
            <w:vAlign w:val="center"/>
          </w:tcPr>
          <w:p w14:paraId="342D093C">
            <w:pPr>
              <w:jc w:val="right"/>
            </w:pPr>
            <w:r>
              <w:rPr>
                <w:rFonts w:ascii="宋体" w:hAnsi="宋体" w:eastAsia="宋体" w:cs="宋体"/>
                <w:b w:val="0"/>
                <w:i w:val="0"/>
                <w:color w:val="000000"/>
                <w:sz w:val="11"/>
              </w:rPr>
              <w:t>40.82</w:t>
            </w:r>
          </w:p>
        </w:tc>
        <w:tc>
          <w:tcPr>
            <w:tcW w:w="980" w:type="dxa"/>
            <w:vAlign w:val="center"/>
          </w:tcPr>
          <w:p w14:paraId="42AC10F5"/>
        </w:tc>
        <w:tc>
          <w:tcPr>
            <w:tcW w:w="920" w:type="dxa"/>
            <w:vAlign w:val="center"/>
          </w:tcPr>
          <w:p w14:paraId="2A7C0804"/>
        </w:tc>
        <w:tc>
          <w:tcPr>
            <w:tcW w:w="960" w:type="dxa"/>
            <w:vAlign w:val="center"/>
          </w:tcPr>
          <w:p w14:paraId="0D293331"/>
        </w:tc>
        <w:tc>
          <w:tcPr>
            <w:tcW w:w="926" w:type="dxa"/>
            <w:vAlign w:val="center"/>
          </w:tcPr>
          <w:p w14:paraId="340CECAE"/>
        </w:tc>
      </w:tr>
      <w:tr w14:paraId="671C7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1D8876">
            <w:pPr>
              <w:jc w:val="left"/>
            </w:pPr>
            <w:r>
              <w:rPr>
                <w:rFonts w:ascii="宋体" w:hAnsi="宋体" w:eastAsia="宋体" w:cs="宋体"/>
                <w:b w:val="0"/>
                <w:i w:val="0"/>
                <w:color w:val="000000"/>
                <w:sz w:val="11"/>
              </w:rPr>
              <w:t>21011</w:t>
            </w:r>
          </w:p>
        </w:tc>
        <w:tc>
          <w:tcPr>
            <w:tcW w:w="1760" w:type="dxa"/>
            <w:vAlign w:val="center"/>
          </w:tcPr>
          <w:p w14:paraId="1C3F6B2C">
            <w:pPr>
              <w:jc w:val="left"/>
            </w:pPr>
            <w:r>
              <w:rPr>
                <w:rFonts w:ascii="宋体" w:hAnsi="宋体" w:eastAsia="宋体" w:cs="宋体"/>
                <w:b w:val="0"/>
                <w:i w:val="0"/>
                <w:color w:val="000000"/>
                <w:sz w:val="11"/>
              </w:rPr>
              <w:t>行政事业单位医疗</w:t>
            </w:r>
          </w:p>
        </w:tc>
        <w:tc>
          <w:tcPr>
            <w:tcW w:w="940" w:type="dxa"/>
            <w:vAlign w:val="center"/>
          </w:tcPr>
          <w:p w14:paraId="4DBCC8FF">
            <w:pPr>
              <w:jc w:val="right"/>
            </w:pPr>
            <w:r>
              <w:rPr>
                <w:rFonts w:ascii="宋体" w:hAnsi="宋体" w:eastAsia="宋体" w:cs="宋体"/>
                <w:b w:val="0"/>
                <w:i w:val="0"/>
                <w:color w:val="000000"/>
                <w:sz w:val="11"/>
              </w:rPr>
              <w:t>40.82</w:t>
            </w:r>
          </w:p>
        </w:tc>
        <w:tc>
          <w:tcPr>
            <w:tcW w:w="1000" w:type="dxa"/>
            <w:vAlign w:val="center"/>
          </w:tcPr>
          <w:p w14:paraId="01EDEDE0">
            <w:pPr>
              <w:jc w:val="right"/>
            </w:pPr>
            <w:r>
              <w:rPr>
                <w:rFonts w:ascii="宋体" w:hAnsi="宋体" w:eastAsia="宋体" w:cs="宋体"/>
                <w:b w:val="0"/>
                <w:i w:val="0"/>
                <w:color w:val="000000"/>
                <w:sz w:val="11"/>
              </w:rPr>
              <w:t>40.82</w:t>
            </w:r>
          </w:p>
        </w:tc>
        <w:tc>
          <w:tcPr>
            <w:tcW w:w="980" w:type="dxa"/>
            <w:vAlign w:val="center"/>
          </w:tcPr>
          <w:p w14:paraId="786C590C"/>
        </w:tc>
        <w:tc>
          <w:tcPr>
            <w:tcW w:w="920" w:type="dxa"/>
            <w:vAlign w:val="center"/>
          </w:tcPr>
          <w:p w14:paraId="0EC2B3B0"/>
        </w:tc>
        <w:tc>
          <w:tcPr>
            <w:tcW w:w="960" w:type="dxa"/>
            <w:vAlign w:val="center"/>
          </w:tcPr>
          <w:p w14:paraId="05C37C56"/>
        </w:tc>
        <w:tc>
          <w:tcPr>
            <w:tcW w:w="926" w:type="dxa"/>
            <w:vAlign w:val="center"/>
          </w:tcPr>
          <w:p w14:paraId="58D9EFCC"/>
        </w:tc>
      </w:tr>
      <w:tr w14:paraId="34445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81F47B">
            <w:pPr>
              <w:jc w:val="left"/>
            </w:pPr>
            <w:r>
              <w:rPr>
                <w:rFonts w:ascii="宋体" w:hAnsi="宋体" w:eastAsia="宋体" w:cs="宋体"/>
                <w:b w:val="0"/>
                <w:i w:val="0"/>
                <w:color w:val="000000"/>
                <w:sz w:val="11"/>
              </w:rPr>
              <w:t>2101101</w:t>
            </w:r>
          </w:p>
        </w:tc>
        <w:tc>
          <w:tcPr>
            <w:tcW w:w="1760" w:type="dxa"/>
            <w:vAlign w:val="center"/>
          </w:tcPr>
          <w:p w14:paraId="130EA8AB">
            <w:pPr>
              <w:jc w:val="left"/>
            </w:pPr>
            <w:r>
              <w:rPr>
                <w:rFonts w:ascii="宋体" w:hAnsi="宋体" w:eastAsia="宋体" w:cs="宋体"/>
                <w:b w:val="0"/>
                <w:i w:val="0"/>
                <w:color w:val="000000"/>
                <w:sz w:val="11"/>
              </w:rPr>
              <w:t>行政单位医疗</w:t>
            </w:r>
          </w:p>
        </w:tc>
        <w:tc>
          <w:tcPr>
            <w:tcW w:w="940" w:type="dxa"/>
            <w:vAlign w:val="center"/>
          </w:tcPr>
          <w:p w14:paraId="51CD10BD">
            <w:pPr>
              <w:jc w:val="right"/>
            </w:pPr>
            <w:r>
              <w:rPr>
                <w:rFonts w:ascii="宋体" w:hAnsi="宋体" w:eastAsia="宋体" w:cs="宋体"/>
                <w:b w:val="0"/>
                <w:i w:val="0"/>
                <w:color w:val="000000"/>
                <w:sz w:val="11"/>
              </w:rPr>
              <w:t>29.66</w:t>
            </w:r>
          </w:p>
        </w:tc>
        <w:tc>
          <w:tcPr>
            <w:tcW w:w="1000" w:type="dxa"/>
            <w:vAlign w:val="center"/>
          </w:tcPr>
          <w:p w14:paraId="00F433D6">
            <w:pPr>
              <w:jc w:val="right"/>
            </w:pPr>
            <w:r>
              <w:rPr>
                <w:rFonts w:ascii="宋体" w:hAnsi="宋体" w:eastAsia="宋体" w:cs="宋体"/>
                <w:b w:val="0"/>
                <w:i w:val="0"/>
                <w:color w:val="000000"/>
                <w:sz w:val="11"/>
              </w:rPr>
              <w:t>29.66</w:t>
            </w:r>
          </w:p>
        </w:tc>
        <w:tc>
          <w:tcPr>
            <w:tcW w:w="980" w:type="dxa"/>
            <w:vAlign w:val="center"/>
          </w:tcPr>
          <w:p w14:paraId="711CEA8A"/>
        </w:tc>
        <w:tc>
          <w:tcPr>
            <w:tcW w:w="920" w:type="dxa"/>
            <w:vAlign w:val="center"/>
          </w:tcPr>
          <w:p w14:paraId="4E848999"/>
        </w:tc>
        <w:tc>
          <w:tcPr>
            <w:tcW w:w="960" w:type="dxa"/>
            <w:vAlign w:val="center"/>
          </w:tcPr>
          <w:p w14:paraId="61AE914D"/>
        </w:tc>
        <w:tc>
          <w:tcPr>
            <w:tcW w:w="926" w:type="dxa"/>
            <w:vAlign w:val="center"/>
          </w:tcPr>
          <w:p w14:paraId="3ECD8E74"/>
        </w:tc>
      </w:tr>
      <w:tr w14:paraId="3F9B8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4A7B7E">
            <w:pPr>
              <w:jc w:val="left"/>
            </w:pPr>
            <w:r>
              <w:rPr>
                <w:rFonts w:ascii="宋体" w:hAnsi="宋体" w:eastAsia="宋体" w:cs="宋体"/>
                <w:b w:val="0"/>
                <w:i w:val="0"/>
                <w:color w:val="000000"/>
                <w:sz w:val="11"/>
              </w:rPr>
              <w:t>2101102</w:t>
            </w:r>
          </w:p>
        </w:tc>
        <w:tc>
          <w:tcPr>
            <w:tcW w:w="1760" w:type="dxa"/>
            <w:vAlign w:val="center"/>
          </w:tcPr>
          <w:p w14:paraId="68D2240F">
            <w:pPr>
              <w:jc w:val="left"/>
            </w:pPr>
            <w:r>
              <w:rPr>
                <w:rFonts w:ascii="宋体" w:hAnsi="宋体" w:eastAsia="宋体" w:cs="宋体"/>
                <w:b w:val="0"/>
                <w:i w:val="0"/>
                <w:color w:val="000000"/>
                <w:sz w:val="11"/>
              </w:rPr>
              <w:t>事业单位医疗</w:t>
            </w:r>
          </w:p>
        </w:tc>
        <w:tc>
          <w:tcPr>
            <w:tcW w:w="940" w:type="dxa"/>
            <w:vAlign w:val="center"/>
          </w:tcPr>
          <w:p w14:paraId="633AD79B">
            <w:pPr>
              <w:jc w:val="right"/>
            </w:pPr>
            <w:r>
              <w:rPr>
                <w:rFonts w:ascii="宋体" w:hAnsi="宋体" w:eastAsia="宋体" w:cs="宋体"/>
                <w:b w:val="0"/>
                <w:i w:val="0"/>
                <w:color w:val="000000"/>
                <w:sz w:val="11"/>
              </w:rPr>
              <w:t>9.50</w:t>
            </w:r>
          </w:p>
        </w:tc>
        <w:tc>
          <w:tcPr>
            <w:tcW w:w="1000" w:type="dxa"/>
            <w:vAlign w:val="center"/>
          </w:tcPr>
          <w:p w14:paraId="48431D6B">
            <w:pPr>
              <w:jc w:val="right"/>
            </w:pPr>
            <w:r>
              <w:rPr>
                <w:rFonts w:ascii="宋体" w:hAnsi="宋体" w:eastAsia="宋体" w:cs="宋体"/>
                <w:b w:val="0"/>
                <w:i w:val="0"/>
                <w:color w:val="000000"/>
                <w:sz w:val="11"/>
              </w:rPr>
              <w:t>9.50</w:t>
            </w:r>
          </w:p>
        </w:tc>
        <w:tc>
          <w:tcPr>
            <w:tcW w:w="980" w:type="dxa"/>
            <w:vAlign w:val="center"/>
          </w:tcPr>
          <w:p w14:paraId="71C08E32"/>
        </w:tc>
        <w:tc>
          <w:tcPr>
            <w:tcW w:w="920" w:type="dxa"/>
            <w:vAlign w:val="center"/>
          </w:tcPr>
          <w:p w14:paraId="461F90E6"/>
        </w:tc>
        <w:tc>
          <w:tcPr>
            <w:tcW w:w="960" w:type="dxa"/>
            <w:vAlign w:val="center"/>
          </w:tcPr>
          <w:p w14:paraId="3C07E677"/>
        </w:tc>
        <w:tc>
          <w:tcPr>
            <w:tcW w:w="926" w:type="dxa"/>
            <w:vAlign w:val="center"/>
          </w:tcPr>
          <w:p w14:paraId="592BCCB5"/>
        </w:tc>
      </w:tr>
      <w:tr w14:paraId="4EA80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606177">
            <w:pPr>
              <w:jc w:val="left"/>
            </w:pPr>
            <w:r>
              <w:rPr>
                <w:rFonts w:ascii="宋体" w:hAnsi="宋体" w:eastAsia="宋体" w:cs="宋体"/>
                <w:b w:val="0"/>
                <w:i w:val="0"/>
                <w:color w:val="000000"/>
                <w:sz w:val="11"/>
              </w:rPr>
              <w:t>2101199</w:t>
            </w:r>
          </w:p>
        </w:tc>
        <w:tc>
          <w:tcPr>
            <w:tcW w:w="1760" w:type="dxa"/>
            <w:vAlign w:val="center"/>
          </w:tcPr>
          <w:p w14:paraId="188F6CA1">
            <w:pPr>
              <w:jc w:val="left"/>
            </w:pPr>
            <w:r>
              <w:rPr>
                <w:rFonts w:ascii="宋体" w:hAnsi="宋体" w:eastAsia="宋体" w:cs="宋体"/>
                <w:b w:val="0"/>
                <w:i w:val="0"/>
                <w:color w:val="000000"/>
                <w:sz w:val="11"/>
              </w:rPr>
              <w:t>其他行政事业单位医疗支出</w:t>
            </w:r>
          </w:p>
        </w:tc>
        <w:tc>
          <w:tcPr>
            <w:tcW w:w="940" w:type="dxa"/>
            <w:vAlign w:val="center"/>
          </w:tcPr>
          <w:p w14:paraId="618922DB">
            <w:pPr>
              <w:jc w:val="right"/>
            </w:pPr>
            <w:r>
              <w:rPr>
                <w:rFonts w:ascii="宋体" w:hAnsi="宋体" w:eastAsia="宋体" w:cs="宋体"/>
                <w:b w:val="0"/>
                <w:i w:val="0"/>
                <w:color w:val="000000"/>
                <w:sz w:val="11"/>
              </w:rPr>
              <w:t>1.65</w:t>
            </w:r>
          </w:p>
        </w:tc>
        <w:tc>
          <w:tcPr>
            <w:tcW w:w="1000" w:type="dxa"/>
            <w:vAlign w:val="center"/>
          </w:tcPr>
          <w:p w14:paraId="642F207C">
            <w:pPr>
              <w:jc w:val="right"/>
            </w:pPr>
            <w:r>
              <w:rPr>
                <w:rFonts w:ascii="宋体" w:hAnsi="宋体" w:eastAsia="宋体" w:cs="宋体"/>
                <w:b w:val="0"/>
                <w:i w:val="0"/>
                <w:color w:val="000000"/>
                <w:sz w:val="11"/>
              </w:rPr>
              <w:t>1.65</w:t>
            </w:r>
          </w:p>
        </w:tc>
        <w:tc>
          <w:tcPr>
            <w:tcW w:w="980" w:type="dxa"/>
            <w:vAlign w:val="center"/>
          </w:tcPr>
          <w:p w14:paraId="0A8FB590"/>
        </w:tc>
        <w:tc>
          <w:tcPr>
            <w:tcW w:w="920" w:type="dxa"/>
            <w:vAlign w:val="center"/>
          </w:tcPr>
          <w:p w14:paraId="16289F13"/>
        </w:tc>
        <w:tc>
          <w:tcPr>
            <w:tcW w:w="960" w:type="dxa"/>
            <w:vAlign w:val="center"/>
          </w:tcPr>
          <w:p w14:paraId="38CA0185"/>
        </w:tc>
        <w:tc>
          <w:tcPr>
            <w:tcW w:w="926" w:type="dxa"/>
            <w:vAlign w:val="center"/>
          </w:tcPr>
          <w:p w14:paraId="43D9789D"/>
        </w:tc>
      </w:tr>
      <w:tr w14:paraId="2D160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42A87E">
            <w:pPr>
              <w:jc w:val="left"/>
            </w:pPr>
            <w:r>
              <w:rPr>
                <w:rFonts w:ascii="宋体" w:hAnsi="宋体" w:eastAsia="宋体" w:cs="宋体"/>
                <w:b w:val="0"/>
                <w:i w:val="0"/>
                <w:color w:val="000000"/>
                <w:sz w:val="11"/>
              </w:rPr>
              <w:t>212</w:t>
            </w:r>
          </w:p>
        </w:tc>
        <w:tc>
          <w:tcPr>
            <w:tcW w:w="1760" w:type="dxa"/>
            <w:vAlign w:val="center"/>
          </w:tcPr>
          <w:p w14:paraId="5FB73702">
            <w:pPr>
              <w:jc w:val="left"/>
            </w:pPr>
            <w:r>
              <w:rPr>
                <w:rFonts w:ascii="宋体" w:hAnsi="宋体" w:eastAsia="宋体" w:cs="宋体"/>
                <w:b w:val="0"/>
                <w:i w:val="0"/>
                <w:color w:val="000000"/>
                <w:sz w:val="11"/>
              </w:rPr>
              <w:t>城乡社区支出</w:t>
            </w:r>
          </w:p>
        </w:tc>
        <w:tc>
          <w:tcPr>
            <w:tcW w:w="940" w:type="dxa"/>
            <w:vAlign w:val="center"/>
          </w:tcPr>
          <w:p w14:paraId="46646539">
            <w:pPr>
              <w:jc w:val="right"/>
            </w:pPr>
            <w:r>
              <w:rPr>
                <w:rFonts w:ascii="宋体" w:hAnsi="宋体" w:eastAsia="宋体" w:cs="宋体"/>
                <w:b w:val="0"/>
                <w:i w:val="0"/>
                <w:color w:val="000000"/>
                <w:sz w:val="11"/>
              </w:rPr>
              <w:t>7.01</w:t>
            </w:r>
          </w:p>
        </w:tc>
        <w:tc>
          <w:tcPr>
            <w:tcW w:w="1000" w:type="dxa"/>
            <w:vAlign w:val="center"/>
          </w:tcPr>
          <w:p w14:paraId="25E8FD9A">
            <w:pPr>
              <w:jc w:val="right"/>
            </w:pPr>
            <w:r>
              <w:rPr>
                <w:rFonts w:ascii="宋体" w:hAnsi="宋体" w:eastAsia="宋体" w:cs="宋体"/>
                <w:b w:val="0"/>
                <w:i w:val="0"/>
                <w:color w:val="000000"/>
                <w:sz w:val="11"/>
              </w:rPr>
              <w:t>6.98</w:t>
            </w:r>
          </w:p>
        </w:tc>
        <w:tc>
          <w:tcPr>
            <w:tcW w:w="980" w:type="dxa"/>
            <w:vAlign w:val="center"/>
          </w:tcPr>
          <w:p w14:paraId="22F2B60B">
            <w:pPr>
              <w:jc w:val="right"/>
            </w:pPr>
            <w:r>
              <w:rPr>
                <w:rFonts w:ascii="宋体" w:hAnsi="宋体" w:eastAsia="宋体" w:cs="宋体"/>
                <w:b w:val="0"/>
                <w:i w:val="0"/>
                <w:color w:val="000000"/>
                <w:sz w:val="11"/>
              </w:rPr>
              <w:t>0.03</w:t>
            </w:r>
          </w:p>
        </w:tc>
        <w:tc>
          <w:tcPr>
            <w:tcW w:w="920" w:type="dxa"/>
            <w:vAlign w:val="center"/>
          </w:tcPr>
          <w:p w14:paraId="189DDB2E"/>
        </w:tc>
        <w:tc>
          <w:tcPr>
            <w:tcW w:w="960" w:type="dxa"/>
            <w:vAlign w:val="center"/>
          </w:tcPr>
          <w:p w14:paraId="0DEB1346"/>
        </w:tc>
        <w:tc>
          <w:tcPr>
            <w:tcW w:w="926" w:type="dxa"/>
            <w:vAlign w:val="center"/>
          </w:tcPr>
          <w:p w14:paraId="11C3FCC4"/>
        </w:tc>
      </w:tr>
      <w:tr w14:paraId="7260C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FC5F6B">
            <w:pPr>
              <w:jc w:val="left"/>
            </w:pPr>
            <w:r>
              <w:rPr>
                <w:rFonts w:ascii="宋体" w:hAnsi="宋体" w:eastAsia="宋体" w:cs="宋体"/>
                <w:b w:val="0"/>
                <w:i w:val="0"/>
                <w:color w:val="000000"/>
                <w:sz w:val="11"/>
              </w:rPr>
              <w:t>21208</w:t>
            </w:r>
          </w:p>
        </w:tc>
        <w:tc>
          <w:tcPr>
            <w:tcW w:w="1760" w:type="dxa"/>
            <w:vAlign w:val="center"/>
          </w:tcPr>
          <w:p w14:paraId="6D51715E">
            <w:pPr>
              <w:jc w:val="left"/>
            </w:pPr>
            <w:r>
              <w:rPr>
                <w:rFonts w:ascii="宋体" w:hAnsi="宋体" w:eastAsia="宋体" w:cs="宋体"/>
                <w:b w:val="0"/>
                <w:i w:val="0"/>
                <w:color w:val="000000"/>
                <w:sz w:val="11"/>
              </w:rPr>
              <w:t>国有土地使用权出让收入安排的支出</w:t>
            </w:r>
          </w:p>
        </w:tc>
        <w:tc>
          <w:tcPr>
            <w:tcW w:w="940" w:type="dxa"/>
            <w:vAlign w:val="center"/>
          </w:tcPr>
          <w:p w14:paraId="5865A12B">
            <w:pPr>
              <w:jc w:val="right"/>
            </w:pPr>
            <w:r>
              <w:rPr>
                <w:rFonts w:ascii="宋体" w:hAnsi="宋体" w:eastAsia="宋体" w:cs="宋体"/>
                <w:b w:val="0"/>
                <w:i w:val="0"/>
                <w:color w:val="000000"/>
                <w:sz w:val="11"/>
              </w:rPr>
              <w:t>7.01</w:t>
            </w:r>
          </w:p>
        </w:tc>
        <w:tc>
          <w:tcPr>
            <w:tcW w:w="1000" w:type="dxa"/>
            <w:vAlign w:val="center"/>
          </w:tcPr>
          <w:p w14:paraId="1634DB6F">
            <w:pPr>
              <w:jc w:val="right"/>
            </w:pPr>
            <w:r>
              <w:rPr>
                <w:rFonts w:ascii="宋体" w:hAnsi="宋体" w:eastAsia="宋体" w:cs="宋体"/>
                <w:b w:val="0"/>
                <w:i w:val="0"/>
                <w:color w:val="000000"/>
                <w:sz w:val="11"/>
              </w:rPr>
              <w:t>6.98</w:t>
            </w:r>
          </w:p>
        </w:tc>
        <w:tc>
          <w:tcPr>
            <w:tcW w:w="980" w:type="dxa"/>
            <w:vAlign w:val="center"/>
          </w:tcPr>
          <w:p w14:paraId="6AA80B26">
            <w:pPr>
              <w:jc w:val="right"/>
            </w:pPr>
            <w:r>
              <w:rPr>
                <w:rFonts w:ascii="宋体" w:hAnsi="宋体" w:eastAsia="宋体" w:cs="宋体"/>
                <w:b w:val="0"/>
                <w:i w:val="0"/>
                <w:color w:val="000000"/>
                <w:sz w:val="11"/>
              </w:rPr>
              <w:t>0.03</w:t>
            </w:r>
          </w:p>
        </w:tc>
        <w:tc>
          <w:tcPr>
            <w:tcW w:w="920" w:type="dxa"/>
            <w:vAlign w:val="center"/>
          </w:tcPr>
          <w:p w14:paraId="1CBAD6B9"/>
        </w:tc>
        <w:tc>
          <w:tcPr>
            <w:tcW w:w="960" w:type="dxa"/>
            <w:vAlign w:val="center"/>
          </w:tcPr>
          <w:p w14:paraId="6405EAF5"/>
        </w:tc>
        <w:tc>
          <w:tcPr>
            <w:tcW w:w="926" w:type="dxa"/>
            <w:vAlign w:val="center"/>
          </w:tcPr>
          <w:p w14:paraId="7E146A17"/>
        </w:tc>
      </w:tr>
      <w:tr w14:paraId="6CE6A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6EADD0">
            <w:pPr>
              <w:jc w:val="left"/>
            </w:pPr>
            <w:r>
              <w:rPr>
                <w:rFonts w:ascii="宋体" w:hAnsi="宋体" w:eastAsia="宋体" w:cs="宋体"/>
                <w:b w:val="0"/>
                <w:i w:val="0"/>
                <w:color w:val="000000"/>
                <w:sz w:val="11"/>
              </w:rPr>
              <w:t>2120803</w:t>
            </w:r>
          </w:p>
        </w:tc>
        <w:tc>
          <w:tcPr>
            <w:tcW w:w="1760" w:type="dxa"/>
            <w:vAlign w:val="center"/>
          </w:tcPr>
          <w:p w14:paraId="1C237A45">
            <w:pPr>
              <w:jc w:val="left"/>
            </w:pPr>
            <w:r>
              <w:rPr>
                <w:rFonts w:ascii="宋体" w:hAnsi="宋体" w:eastAsia="宋体" w:cs="宋体"/>
                <w:b w:val="0"/>
                <w:i w:val="0"/>
                <w:color w:val="000000"/>
                <w:sz w:val="11"/>
              </w:rPr>
              <w:t>城市建设支出</w:t>
            </w:r>
          </w:p>
        </w:tc>
        <w:tc>
          <w:tcPr>
            <w:tcW w:w="940" w:type="dxa"/>
            <w:vAlign w:val="center"/>
          </w:tcPr>
          <w:p w14:paraId="2B1E3D62">
            <w:pPr>
              <w:jc w:val="right"/>
            </w:pPr>
            <w:r>
              <w:rPr>
                <w:rFonts w:ascii="宋体" w:hAnsi="宋体" w:eastAsia="宋体" w:cs="宋体"/>
                <w:b w:val="0"/>
                <w:i w:val="0"/>
                <w:color w:val="000000"/>
                <w:sz w:val="11"/>
              </w:rPr>
              <w:t>7.01</w:t>
            </w:r>
          </w:p>
        </w:tc>
        <w:tc>
          <w:tcPr>
            <w:tcW w:w="1000" w:type="dxa"/>
            <w:vAlign w:val="center"/>
          </w:tcPr>
          <w:p w14:paraId="3A8B9719">
            <w:pPr>
              <w:jc w:val="right"/>
            </w:pPr>
            <w:r>
              <w:rPr>
                <w:rFonts w:ascii="宋体" w:hAnsi="宋体" w:eastAsia="宋体" w:cs="宋体"/>
                <w:b w:val="0"/>
                <w:i w:val="0"/>
                <w:color w:val="000000"/>
                <w:sz w:val="11"/>
              </w:rPr>
              <w:t>6.98</w:t>
            </w:r>
          </w:p>
        </w:tc>
        <w:tc>
          <w:tcPr>
            <w:tcW w:w="980" w:type="dxa"/>
            <w:vAlign w:val="center"/>
          </w:tcPr>
          <w:p w14:paraId="49097F85">
            <w:pPr>
              <w:jc w:val="right"/>
            </w:pPr>
            <w:r>
              <w:rPr>
                <w:rFonts w:ascii="宋体" w:hAnsi="宋体" w:eastAsia="宋体" w:cs="宋体"/>
                <w:b w:val="0"/>
                <w:i w:val="0"/>
                <w:color w:val="000000"/>
                <w:sz w:val="11"/>
              </w:rPr>
              <w:t>0.03</w:t>
            </w:r>
          </w:p>
        </w:tc>
        <w:tc>
          <w:tcPr>
            <w:tcW w:w="920" w:type="dxa"/>
            <w:vAlign w:val="center"/>
          </w:tcPr>
          <w:p w14:paraId="64C1CBDC"/>
        </w:tc>
        <w:tc>
          <w:tcPr>
            <w:tcW w:w="960" w:type="dxa"/>
            <w:vAlign w:val="center"/>
          </w:tcPr>
          <w:p w14:paraId="36AF8D4F"/>
        </w:tc>
        <w:tc>
          <w:tcPr>
            <w:tcW w:w="926" w:type="dxa"/>
            <w:vAlign w:val="center"/>
          </w:tcPr>
          <w:p w14:paraId="0FB6A07F"/>
        </w:tc>
      </w:tr>
      <w:tr w14:paraId="7708C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B6124B">
            <w:pPr>
              <w:jc w:val="left"/>
            </w:pPr>
            <w:r>
              <w:rPr>
                <w:rFonts w:ascii="宋体" w:hAnsi="宋体" w:eastAsia="宋体" w:cs="宋体"/>
                <w:b w:val="0"/>
                <w:i w:val="0"/>
                <w:color w:val="000000"/>
                <w:sz w:val="11"/>
              </w:rPr>
              <w:t>221</w:t>
            </w:r>
          </w:p>
        </w:tc>
        <w:tc>
          <w:tcPr>
            <w:tcW w:w="1760" w:type="dxa"/>
            <w:vAlign w:val="center"/>
          </w:tcPr>
          <w:p w14:paraId="0F13525E">
            <w:pPr>
              <w:jc w:val="left"/>
            </w:pPr>
            <w:r>
              <w:rPr>
                <w:rFonts w:ascii="宋体" w:hAnsi="宋体" w:eastAsia="宋体" w:cs="宋体"/>
                <w:b w:val="0"/>
                <w:i w:val="0"/>
                <w:color w:val="000000"/>
                <w:sz w:val="11"/>
              </w:rPr>
              <w:t>住房保障支出</w:t>
            </w:r>
          </w:p>
        </w:tc>
        <w:tc>
          <w:tcPr>
            <w:tcW w:w="940" w:type="dxa"/>
            <w:vAlign w:val="center"/>
          </w:tcPr>
          <w:p w14:paraId="7C8FA831">
            <w:pPr>
              <w:jc w:val="right"/>
            </w:pPr>
            <w:r>
              <w:rPr>
                <w:rFonts w:ascii="宋体" w:hAnsi="宋体" w:eastAsia="宋体" w:cs="宋体"/>
                <w:b w:val="0"/>
                <w:i w:val="0"/>
                <w:color w:val="000000"/>
                <w:sz w:val="11"/>
              </w:rPr>
              <w:t>109.57</w:t>
            </w:r>
          </w:p>
        </w:tc>
        <w:tc>
          <w:tcPr>
            <w:tcW w:w="1000" w:type="dxa"/>
            <w:vAlign w:val="center"/>
          </w:tcPr>
          <w:p w14:paraId="3BDAFEEE">
            <w:pPr>
              <w:jc w:val="right"/>
            </w:pPr>
            <w:r>
              <w:rPr>
                <w:rFonts w:ascii="宋体" w:hAnsi="宋体" w:eastAsia="宋体" w:cs="宋体"/>
                <w:b w:val="0"/>
                <w:i w:val="0"/>
                <w:color w:val="000000"/>
                <w:sz w:val="11"/>
              </w:rPr>
              <w:t>109.57</w:t>
            </w:r>
          </w:p>
        </w:tc>
        <w:tc>
          <w:tcPr>
            <w:tcW w:w="980" w:type="dxa"/>
            <w:vAlign w:val="center"/>
          </w:tcPr>
          <w:p w14:paraId="1EF6893C"/>
        </w:tc>
        <w:tc>
          <w:tcPr>
            <w:tcW w:w="920" w:type="dxa"/>
            <w:vAlign w:val="center"/>
          </w:tcPr>
          <w:p w14:paraId="6FADDAA5"/>
        </w:tc>
        <w:tc>
          <w:tcPr>
            <w:tcW w:w="960" w:type="dxa"/>
            <w:vAlign w:val="center"/>
          </w:tcPr>
          <w:p w14:paraId="32BABBA3"/>
        </w:tc>
        <w:tc>
          <w:tcPr>
            <w:tcW w:w="926" w:type="dxa"/>
            <w:vAlign w:val="center"/>
          </w:tcPr>
          <w:p w14:paraId="0694288D"/>
        </w:tc>
      </w:tr>
      <w:tr w14:paraId="30525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5DA3BC">
            <w:pPr>
              <w:jc w:val="left"/>
            </w:pPr>
            <w:r>
              <w:rPr>
                <w:rFonts w:ascii="宋体" w:hAnsi="宋体" w:eastAsia="宋体" w:cs="宋体"/>
                <w:b w:val="0"/>
                <w:i w:val="0"/>
                <w:color w:val="000000"/>
                <w:sz w:val="11"/>
              </w:rPr>
              <w:t>22102</w:t>
            </w:r>
          </w:p>
        </w:tc>
        <w:tc>
          <w:tcPr>
            <w:tcW w:w="1760" w:type="dxa"/>
            <w:vAlign w:val="center"/>
          </w:tcPr>
          <w:p w14:paraId="05F9E73C">
            <w:pPr>
              <w:jc w:val="left"/>
            </w:pPr>
            <w:r>
              <w:rPr>
                <w:rFonts w:ascii="宋体" w:hAnsi="宋体" w:eastAsia="宋体" w:cs="宋体"/>
                <w:b w:val="0"/>
                <w:i w:val="0"/>
                <w:color w:val="000000"/>
                <w:sz w:val="11"/>
              </w:rPr>
              <w:t>住房改革支出</w:t>
            </w:r>
          </w:p>
        </w:tc>
        <w:tc>
          <w:tcPr>
            <w:tcW w:w="940" w:type="dxa"/>
            <w:vAlign w:val="center"/>
          </w:tcPr>
          <w:p w14:paraId="53BCD285">
            <w:pPr>
              <w:jc w:val="right"/>
            </w:pPr>
            <w:r>
              <w:rPr>
                <w:rFonts w:ascii="宋体" w:hAnsi="宋体" w:eastAsia="宋体" w:cs="宋体"/>
                <w:b w:val="0"/>
                <w:i w:val="0"/>
                <w:color w:val="000000"/>
                <w:sz w:val="11"/>
              </w:rPr>
              <w:t>109.57</w:t>
            </w:r>
          </w:p>
        </w:tc>
        <w:tc>
          <w:tcPr>
            <w:tcW w:w="1000" w:type="dxa"/>
            <w:vAlign w:val="center"/>
          </w:tcPr>
          <w:p w14:paraId="32646598">
            <w:pPr>
              <w:jc w:val="right"/>
            </w:pPr>
            <w:r>
              <w:rPr>
                <w:rFonts w:ascii="宋体" w:hAnsi="宋体" w:eastAsia="宋体" w:cs="宋体"/>
                <w:b w:val="0"/>
                <w:i w:val="0"/>
                <w:color w:val="000000"/>
                <w:sz w:val="11"/>
              </w:rPr>
              <w:t>109.57</w:t>
            </w:r>
          </w:p>
        </w:tc>
        <w:tc>
          <w:tcPr>
            <w:tcW w:w="980" w:type="dxa"/>
            <w:vAlign w:val="center"/>
          </w:tcPr>
          <w:p w14:paraId="09637A1A"/>
        </w:tc>
        <w:tc>
          <w:tcPr>
            <w:tcW w:w="920" w:type="dxa"/>
            <w:vAlign w:val="center"/>
          </w:tcPr>
          <w:p w14:paraId="08415AC0"/>
        </w:tc>
        <w:tc>
          <w:tcPr>
            <w:tcW w:w="960" w:type="dxa"/>
            <w:vAlign w:val="center"/>
          </w:tcPr>
          <w:p w14:paraId="0B2E10F0"/>
        </w:tc>
        <w:tc>
          <w:tcPr>
            <w:tcW w:w="926" w:type="dxa"/>
            <w:vAlign w:val="center"/>
          </w:tcPr>
          <w:p w14:paraId="6C62D36D"/>
        </w:tc>
      </w:tr>
      <w:tr w14:paraId="32EE1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2E5BCF">
            <w:pPr>
              <w:jc w:val="left"/>
            </w:pPr>
            <w:r>
              <w:rPr>
                <w:rFonts w:ascii="宋体" w:hAnsi="宋体" w:eastAsia="宋体" w:cs="宋体"/>
                <w:b w:val="0"/>
                <w:i w:val="0"/>
                <w:color w:val="000000"/>
                <w:sz w:val="11"/>
              </w:rPr>
              <w:t>2210201</w:t>
            </w:r>
          </w:p>
        </w:tc>
        <w:tc>
          <w:tcPr>
            <w:tcW w:w="1760" w:type="dxa"/>
            <w:vAlign w:val="center"/>
          </w:tcPr>
          <w:p w14:paraId="38C5718B">
            <w:pPr>
              <w:jc w:val="left"/>
            </w:pPr>
            <w:r>
              <w:rPr>
                <w:rFonts w:ascii="宋体" w:hAnsi="宋体" w:eastAsia="宋体" w:cs="宋体"/>
                <w:b w:val="0"/>
                <w:i w:val="0"/>
                <w:color w:val="000000"/>
                <w:sz w:val="11"/>
              </w:rPr>
              <w:t>住房公积金</w:t>
            </w:r>
          </w:p>
        </w:tc>
        <w:tc>
          <w:tcPr>
            <w:tcW w:w="940" w:type="dxa"/>
            <w:vAlign w:val="center"/>
          </w:tcPr>
          <w:p w14:paraId="65B37AAF">
            <w:pPr>
              <w:jc w:val="right"/>
            </w:pPr>
            <w:r>
              <w:rPr>
                <w:rFonts w:ascii="宋体" w:hAnsi="宋体" w:eastAsia="宋体" w:cs="宋体"/>
                <w:b w:val="0"/>
                <w:i w:val="0"/>
                <w:color w:val="000000"/>
                <w:sz w:val="11"/>
              </w:rPr>
              <w:t>109.57</w:t>
            </w:r>
          </w:p>
        </w:tc>
        <w:tc>
          <w:tcPr>
            <w:tcW w:w="1000" w:type="dxa"/>
            <w:vAlign w:val="center"/>
          </w:tcPr>
          <w:p w14:paraId="6D435189">
            <w:pPr>
              <w:jc w:val="right"/>
            </w:pPr>
            <w:r>
              <w:rPr>
                <w:rFonts w:ascii="宋体" w:hAnsi="宋体" w:eastAsia="宋体" w:cs="宋体"/>
                <w:b w:val="0"/>
                <w:i w:val="0"/>
                <w:color w:val="000000"/>
                <w:sz w:val="11"/>
              </w:rPr>
              <w:t>109.57</w:t>
            </w:r>
          </w:p>
        </w:tc>
        <w:tc>
          <w:tcPr>
            <w:tcW w:w="980" w:type="dxa"/>
            <w:vAlign w:val="center"/>
          </w:tcPr>
          <w:p w14:paraId="5FA71341"/>
        </w:tc>
        <w:tc>
          <w:tcPr>
            <w:tcW w:w="920" w:type="dxa"/>
            <w:vAlign w:val="center"/>
          </w:tcPr>
          <w:p w14:paraId="41ECB920"/>
        </w:tc>
        <w:tc>
          <w:tcPr>
            <w:tcW w:w="960" w:type="dxa"/>
            <w:vAlign w:val="center"/>
          </w:tcPr>
          <w:p w14:paraId="60BE77C3"/>
        </w:tc>
        <w:tc>
          <w:tcPr>
            <w:tcW w:w="926" w:type="dxa"/>
            <w:vAlign w:val="center"/>
          </w:tcPr>
          <w:p w14:paraId="09779D0F"/>
        </w:tc>
      </w:tr>
      <w:tr w14:paraId="72E27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BD7FCB4">
            <w:pPr>
              <w:jc w:val="left"/>
            </w:pPr>
            <w:r>
              <w:rPr>
                <w:rFonts w:ascii="宋体" w:hAnsi="宋体" w:eastAsia="宋体" w:cs="宋体"/>
                <w:b w:val="0"/>
                <w:i w:val="0"/>
                <w:color w:val="000000"/>
                <w:sz w:val="11"/>
              </w:rPr>
              <w:t>注：本表反映部门（单位）本年度各项支出情况。</w:t>
            </w:r>
          </w:p>
        </w:tc>
      </w:tr>
    </w:tbl>
    <w:p w14:paraId="5D208F55">
      <w:pPr>
        <w:snapToGrid w:val="0"/>
        <w:spacing w:before="200" w:after="200" w:line="200" w:lineRule="auto"/>
      </w:pPr>
      <w:r>
        <w:rPr>
          <w:sz w:val="8"/>
        </w:rPr>
        <w:t xml:space="preserve"> </w:t>
      </w:r>
    </w:p>
    <w:p w14:paraId="48AC0783">
      <w:pPr>
        <w:pageBreakBefore/>
        <w:jc w:val="center"/>
        <w:outlineLvl w:val="1"/>
        <w:rPr>
          <w:rFonts w:hint="eastAsia" w:ascii="黑体" w:hAnsi="宋体" w:eastAsia="黑体" w:cs="黑体"/>
          <w:sz w:val="32"/>
          <w:szCs w:val="32"/>
          <w:lang w:bidi="en-AU"/>
        </w:rPr>
        <w:sectPr>
          <w:footerReference r:id="rId4" w:type="default"/>
          <w:pgSz w:w="11906" w:h="16838"/>
          <w:pgMar w:top="1440" w:right="1800" w:bottom="1440" w:left="1800" w:header="851" w:footer="992" w:gutter="0"/>
          <w:cols w:space="720" w:num="1"/>
          <w:docGrid w:type="lines" w:linePitch="312" w:charSpace="0"/>
        </w:sectPr>
      </w:pPr>
    </w:p>
    <w:p w14:paraId="3C0E67D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461A4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6D7EDB">
            <w:pPr>
              <w:jc w:val="right"/>
            </w:pPr>
            <w:r>
              <w:rPr>
                <w:rFonts w:ascii="宋体" w:hAnsi="宋体" w:eastAsia="宋体" w:cs="宋体"/>
                <w:sz w:val="20"/>
              </w:rPr>
              <w:t>公开04表</w:t>
            </w:r>
          </w:p>
        </w:tc>
      </w:tr>
      <w:tr w14:paraId="352D0E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767BF8">
            <w:pPr>
              <w:jc w:val="left"/>
            </w:pPr>
            <w:r>
              <w:rPr>
                <w:rFonts w:ascii="宋体" w:hAnsi="宋体" w:eastAsia="宋体" w:cs="宋体"/>
                <w:sz w:val="20"/>
              </w:rPr>
              <w:t>部门：浮梁县市场监督管理局</w:t>
            </w:r>
          </w:p>
        </w:tc>
        <w:tc>
          <w:tcPr>
            <w:tcW w:w="2000" w:type="dxa"/>
          </w:tcPr>
          <w:p w14:paraId="50069F4D">
            <w:pPr>
              <w:jc w:val="center"/>
            </w:pPr>
            <w:r>
              <w:rPr>
                <w:rFonts w:ascii="宋体" w:hAnsi="宋体" w:eastAsia="宋体" w:cs="宋体"/>
                <w:sz w:val="20"/>
              </w:rPr>
              <w:t>2023年度</w:t>
            </w:r>
          </w:p>
        </w:tc>
        <w:tc>
          <w:tcPr>
            <w:tcW w:w="5979" w:type="dxa"/>
          </w:tcPr>
          <w:p w14:paraId="130CBEA4">
            <w:pPr>
              <w:jc w:val="right"/>
            </w:pPr>
            <w:r>
              <w:rPr>
                <w:rFonts w:ascii="宋体" w:hAnsi="宋体" w:eastAsia="宋体" w:cs="宋体"/>
                <w:sz w:val="20"/>
              </w:rPr>
              <w:t>金额单位：万元</w:t>
            </w:r>
          </w:p>
        </w:tc>
      </w:tr>
    </w:tbl>
    <w:p w14:paraId="125C4391">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057EF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3493BA6">
            <w:pPr>
              <w:jc w:val="center"/>
            </w:pPr>
            <w:r>
              <w:rPr>
                <w:rFonts w:ascii="宋体" w:hAnsi="宋体" w:eastAsia="宋体" w:cs="宋体"/>
                <w:b w:val="0"/>
                <w:i w:val="0"/>
                <w:color w:val="000000"/>
                <w:sz w:val="17"/>
              </w:rPr>
              <w:t>收     入</w:t>
            </w:r>
          </w:p>
        </w:tc>
        <w:tc>
          <w:tcPr>
            <w:tcW w:w="2980" w:type="dxa"/>
            <w:gridSpan w:val="6"/>
            <w:vAlign w:val="center"/>
          </w:tcPr>
          <w:p w14:paraId="3A1ADB34">
            <w:pPr>
              <w:jc w:val="center"/>
            </w:pPr>
            <w:r>
              <w:rPr>
                <w:rFonts w:ascii="宋体" w:hAnsi="宋体" w:eastAsia="宋体" w:cs="宋体"/>
                <w:b w:val="0"/>
                <w:i w:val="0"/>
                <w:color w:val="000000"/>
                <w:sz w:val="17"/>
              </w:rPr>
              <w:t>支     出</w:t>
            </w:r>
          </w:p>
        </w:tc>
      </w:tr>
      <w:tr w14:paraId="4B232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6A67EF32">
            <w:pPr>
              <w:jc w:val="center"/>
            </w:pPr>
            <w:r>
              <w:rPr>
                <w:rFonts w:ascii="宋体" w:hAnsi="宋体" w:eastAsia="宋体" w:cs="宋体"/>
                <w:b w:val="0"/>
                <w:i w:val="0"/>
                <w:color w:val="000000"/>
                <w:sz w:val="17"/>
              </w:rPr>
              <w:t>项    目</w:t>
            </w:r>
          </w:p>
        </w:tc>
        <w:tc>
          <w:tcPr>
            <w:tcW w:w="420" w:type="dxa"/>
            <w:vMerge w:val="restart"/>
            <w:vAlign w:val="center"/>
          </w:tcPr>
          <w:p w14:paraId="55829AA8">
            <w:pPr>
              <w:jc w:val="center"/>
            </w:pPr>
            <w:r>
              <w:rPr>
                <w:rFonts w:ascii="宋体" w:hAnsi="宋体" w:eastAsia="宋体" w:cs="宋体"/>
                <w:b w:val="0"/>
                <w:i w:val="0"/>
                <w:color w:val="000000"/>
                <w:sz w:val="17"/>
              </w:rPr>
              <w:t>行次</w:t>
            </w:r>
          </w:p>
        </w:tc>
        <w:tc>
          <w:tcPr>
            <w:tcW w:w="1480" w:type="dxa"/>
            <w:vMerge w:val="restart"/>
            <w:vAlign w:val="center"/>
          </w:tcPr>
          <w:p w14:paraId="753BC655">
            <w:pPr>
              <w:jc w:val="center"/>
            </w:pPr>
            <w:r>
              <w:rPr>
                <w:rFonts w:ascii="宋体" w:hAnsi="宋体" w:eastAsia="宋体" w:cs="宋体"/>
                <w:b w:val="0"/>
                <w:i w:val="0"/>
                <w:color w:val="000000"/>
                <w:sz w:val="17"/>
              </w:rPr>
              <w:t>决算数</w:t>
            </w:r>
          </w:p>
        </w:tc>
        <w:tc>
          <w:tcPr>
            <w:tcW w:w="2980" w:type="dxa"/>
            <w:vMerge w:val="restart"/>
            <w:vAlign w:val="center"/>
          </w:tcPr>
          <w:p w14:paraId="7C0769FA">
            <w:pPr>
              <w:jc w:val="center"/>
            </w:pPr>
            <w:r>
              <w:rPr>
                <w:rFonts w:ascii="宋体" w:hAnsi="宋体" w:eastAsia="宋体" w:cs="宋体"/>
                <w:b w:val="0"/>
                <w:i w:val="0"/>
                <w:color w:val="000000"/>
                <w:sz w:val="17"/>
              </w:rPr>
              <w:t>项目（按功能分类）</w:t>
            </w:r>
          </w:p>
        </w:tc>
        <w:tc>
          <w:tcPr>
            <w:tcW w:w="420" w:type="dxa"/>
            <w:vMerge w:val="restart"/>
            <w:vAlign w:val="center"/>
          </w:tcPr>
          <w:p w14:paraId="0C7FCD4C">
            <w:pPr>
              <w:jc w:val="center"/>
            </w:pPr>
            <w:r>
              <w:rPr>
                <w:rFonts w:ascii="宋体" w:hAnsi="宋体" w:eastAsia="宋体" w:cs="宋体"/>
                <w:b w:val="0"/>
                <w:i w:val="0"/>
                <w:color w:val="000000"/>
                <w:sz w:val="17"/>
              </w:rPr>
              <w:t>行次</w:t>
            </w:r>
          </w:p>
        </w:tc>
        <w:tc>
          <w:tcPr>
            <w:tcW w:w="1460" w:type="dxa"/>
            <w:vMerge w:val="restart"/>
            <w:vAlign w:val="center"/>
          </w:tcPr>
          <w:p w14:paraId="61B255A3">
            <w:pPr>
              <w:jc w:val="center"/>
            </w:pPr>
            <w:r>
              <w:rPr>
                <w:rFonts w:ascii="宋体" w:hAnsi="宋体" w:eastAsia="宋体" w:cs="宋体"/>
                <w:b w:val="0"/>
                <w:i w:val="0"/>
                <w:color w:val="000000"/>
                <w:sz w:val="17"/>
              </w:rPr>
              <w:t>小计</w:t>
            </w:r>
          </w:p>
        </w:tc>
        <w:tc>
          <w:tcPr>
            <w:tcW w:w="1460" w:type="dxa"/>
            <w:vMerge w:val="restart"/>
            <w:vAlign w:val="center"/>
          </w:tcPr>
          <w:p w14:paraId="3632FFD1">
            <w:pPr>
              <w:jc w:val="center"/>
            </w:pPr>
            <w:r>
              <w:rPr>
                <w:rFonts w:ascii="宋体" w:hAnsi="宋体" w:eastAsia="宋体" w:cs="宋体"/>
                <w:b w:val="0"/>
                <w:i w:val="0"/>
                <w:color w:val="000000"/>
                <w:sz w:val="17"/>
              </w:rPr>
              <w:t>一般公共预算财政拨款</w:t>
            </w:r>
          </w:p>
        </w:tc>
        <w:tc>
          <w:tcPr>
            <w:tcW w:w="1460" w:type="dxa"/>
            <w:vMerge w:val="restart"/>
            <w:vAlign w:val="center"/>
          </w:tcPr>
          <w:p w14:paraId="2FF04D0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300E522">
            <w:pPr>
              <w:jc w:val="center"/>
            </w:pPr>
            <w:r>
              <w:rPr>
                <w:rFonts w:ascii="宋体" w:hAnsi="宋体" w:eastAsia="宋体" w:cs="宋体"/>
                <w:b w:val="0"/>
                <w:i w:val="0"/>
                <w:color w:val="000000"/>
                <w:sz w:val="17"/>
              </w:rPr>
              <w:t>国有资本经营预算财政拨款</w:t>
            </w:r>
          </w:p>
        </w:tc>
      </w:tr>
      <w:tr w14:paraId="77FCD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33339A33"/>
        </w:tc>
        <w:tc>
          <w:tcPr>
            <w:tcW w:w="420" w:type="dxa"/>
            <w:vMerge w:val="continue"/>
            <w:vAlign w:val="center"/>
          </w:tcPr>
          <w:p w14:paraId="7FEDD5DE"/>
        </w:tc>
        <w:tc>
          <w:tcPr>
            <w:tcW w:w="1480" w:type="dxa"/>
            <w:vMerge w:val="continue"/>
            <w:vAlign w:val="center"/>
          </w:tcPr>
          <w:p w14:paraId="2F5D38F4"/>
        </w:tc>
        <w:tc>
          <w:tcPr>
            <w:tcW w:w="2980" w:type="dxa"/>
            <w:vMerge w:val="continue"/>
            <w:vAlign w:val="center"/>
          </w:tcPr>
          <w:p w14:paraId="391FA99A"/>
        </w:tc>
        <w:tc>
          <w:tcPr>
            <w:tcW w:w="420" w:type="dxa"/>
            <w:vMerge w:val="continue"/>
            <w:vAlign w:val="center"/>
          </w:tcPr>
          <w:p w14:paraId="2CC6BD51"/>
        </w:tc>
        <w:tc>
          <w:tcPr>
            <w:tcW w:w="1460" w:type="dxa"/>
            <w:vMerge w:val="continue"/>
            <w:vAlign w:val="center"/>
          </w:tcPr>
          <w:p w14:paraId="15DB505F"/>
        </w:tc>
        <w:tc>
          <w:tcPr>
            <w:tcW w:w="1460" w:type="dxa"/>
            <w:vMerge w:val="continue"/>
            <w:vAlign w:val="center"/>
          </w:tcPr>
          <w:p w14:paraId="0A4D7327"/>
        </w:tc>
        <w:tc>
          <w:tcPr>
            <w:tcW w:w="1460" w:type="dxa"/>
            <w:vMerge w:val="continue"/>
            <w:vAlign w:val="center"/>
          </w:tcPr>
          <w:p w14:paraId="076D2606"/>
        </w:tc>
        <w:tc>
          <w:tcPr>
            <w:tcW w:w="1438" w:type="dxa"/>
            <w:vMerge w:val="continue"/>
            <w:vAlign w:val="center"/>
          </w:tcPr>
          <w:p w14:paraId="0271396F"/>
        </w:tc>
      </w:tr>
      <w:tr w14:paraId="258A4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8835F45">
            <w:pPr>
              <w:jc w:val="center"/>
            </w:pPr>
            <w:r>
              <w:rPr>
                <w:rFonts w:ascii="宋体" w:hAnsi="宋体" w:eastAsia="宋体" w:cs="宋体"/>
                <w:b w:val="0"/>
                <w:i w:val="0"/>
                <w:color w:val="000000"/>
                <w:sz w:val="17"/>
              </w:rPr>
              <w:t>栏    次</w:t>
            </w:r>
          </w:p>
        </w:tc>
        <w:tc>
          <w:tcPr>
            <w:tcW w:w="420" w:type="dxa"/>
            <w:vAlign w:val="center"/>
          </w:tcPr>
          <w:p w14:paraId="31CD8E08"/>
        </w:tc>
        <w:tc>
          <w:tcPr>
            <w:tcW w:w="1480" w:type="dxa"/>
            <w:vAlign w:val="center"/>
          </w:tcPr>
          <w:p w14:paraId="45FA8A0B">
            <w:pPr>
              <w:jc w:val="center"/>
            </w:pPr>
            <w:r>
              <w:rPr>
                <w:rFonts w:ascii="宋体" w:hAnsi="宋体" w:eastAsia="宋体" w:cs="宋体"/>
                <w:b w:val="0"/>
                <w:i w:val="0"/>
                <w:color w:val="000000"/>
                <w:sz w:val="17"/>
              </w:rPr>
              <w:t>1</w:t>
            </w:r>
          </w:p>
        </w:tc>
        <w:tc>
          <w:tcPr>
            <w:tcW w:w="2980" w:type="dxa"/>
            <w:vAlign w:val="center"/>
          </w:tcPr>
          <w:p w14:paraId="26C921FC">
            <w:pPr>
              <w:jc w:val="center"/>
            </w:pPr>
            <w:r>
              <w:rPr>
                <w:rFonts w:ascii="宋体" w:hAnsi="宋体" w:eastAsia="宋体" w:cs="宋体"/>
                <w:b w:val="0"/>
                <w:i w:val="0"/>
                <w:color w:val="000000"/>
                <w:sz w:val="17"/>
              </w:rPr>
              <w:t>栏    次</w:t>
            </w:r>
          </w:p>
        </w:tc>
        <w:tc>
          <w:tcPr>
            <w:tcW w:w="420" w:type="dxa"/>
            <w:vAlign w:val="center"/>
          </w:tcPr>
          <w:p w14:paraId="5E830110"/>
        </w:tc>
        <w:tc>
          <w:tcPr>
            <w:tcW w:w="1460" w:type="dxa"/>
            <w:vAlign w:val="center"/>
          </w:tcPr>
          <w:p w14:paraId="5D7EF615">
            <w:pPr>
              <w:jc w:val="center"/>
            </w:pPr>
            <w:r>
              <w:rPr>
                <w:rFonts w:ascii="宋体" w:hAnsi="宋体" w:eastAsia="宋体" w:cs="宋体"/>
                <w:b w:val="0"/>
                <w:i w:val="0"/>
                <w:color w:val="000000"/>
                <w:sz w:val="17"/>
              </w:rPr>
              <w:t>2</w:t>
            </w:r>
          </w:p>
        </w:tc>
        <w:tc>
          <w:tcPr>
            <w:tcW w:w="1460" w:type="dxa"/>
            <w:vAlign w:val="center"/>
          </w:tcPr>
          <w:p w14:paraId="256EF453">
            <w:pPr>
              <w:jc w:val="center"/>
            </w:pPr>
            <w:r>
              <w:rPr>
                <w:rFonts w:ascii="宋体" w:hAnsi="宋体" w:eastAsia="宋体" w:cs="宋体"/>
                <w:b w:val="0"/>
                <w:i w:val="0"/>
                <w:color w:val="000000"/>
                <w:sz w:val="17"/>
              </w:rPr>
              <w:t>3</w:t>
            </w:r>
          </w:p>
        </w:tc>
        <w:tc>
          <w:tcPr>
            <w:tcW w:w="1460" w:type="dxa"/>
            <w:vAlign w:val="center"/>
          </w:tcPr>
          <w:p w14:paraId="3B98BE2E">
            <w:pPr>
              <w:jc w:val="center"/>
            </w:pPr>
            <w:r>
              <w:rPr>
                <w:rFonts w:ascii="宋体" w:hAnsi="宋体" w:eastAsia="宋体" w:cs="宋体"/>
                <w:b w:val="0"/>
                <w:i w:val="0"/>
                <w:color w:val="000000"/>
                <w:sz w:val="17"/>
              </w:rPr>
              <w:t>4</w:t>
            </w:r>
          </w:p>
        </w:tc>
        <w:tc>
          <w:tcPr>
            <w:tcW w:w="1438" w:type="dxa"/>
            <w:vAlign w:val="center"/>
          </w:tcPr>
          <w:p w14:paraId="20638E5F">
            <w:pPr>
              <w:jc w:val="center"/>
            </w:pPr>
            <w:r>
              <w:rPr>
                <w:rFonts w:ascii="宋体" w:hAnsi="宋体" w:eastAsia="宋体" w:cs="宋体"/>
                <w:b w:val="0"/>
                <w:i w:val="0"/>
                <w:color w:val="000000"/>
                <w:sz w:val="17"/>
              </w:rPr>
              <w:t>5</w:t>
            </w:r>
          </w:p>
        </w:tc>
      </w:tr>
      <w:tr w14:paraId="74753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BEAFE0">
            <w:pPr>
              <w:jc w:val="left"/>
            </w:pPr>
            <w:r>
              <w:rPr>
                <w:rFonts w:ascii="宋体" w:hAnsi="宋体" w:eastAsia="宋体" w:cs="宋体"/>
                <w:b w:val="0"/>
                <w:i w:val="0"/>
                <w:color w:val="000000"/>
                <w:sz w:val="17"/>
              </w:rPr>
              <w:t>一、一般公共预算财政拨款</w:t>
            </w:r>
          </w:p>
        </w:tc>
        <w:tc>
          <w:tcPr>
            <w:tcW w:w="420" w:type="dxa"/>
            <w:vAlign w:val="center"/>
          </w:tcPr>
          <w:p w14:paraId="3F6D1E60">
            <w:pPr>
              <w:jc w:val="center"/>
            </w:pPr>
            <w:r>
              <w:rPr>
                <w:rFonts w:ascii="宋体" w:hAnsi="宋体" w:eastAsia="宋体" w:cs="宋体"/>
                <w:b w:val="0"/>
                <w:i w:val="0"/>
                <w:color w:val="000000"/>
                <w:sz w:val="17"/>
              </w:rPr>
              <w:t>1</w:t>
            </w:r>
          </w:p>
        </w:tc>
        <w:tc>
          <w:tcPr>
            <w:tcW w:w="1480" w:type="dxa"/>
            <w:vAlign w:val="center"/>
          </w:tcPr>
          <w:p w14:paraId="74EB110C">
            <w:pPr>
              <w:jc w:val="right"/>
            </w:pPr>
            <w:r>
              <w:rPr>
                <w:rFonts w:ascii="宋体" w:hAnsi="宋体" w:eastAsia="宋体" w:cs="宋体"/>
                <w:b w:val="0"/>
                <w:i w:val="0"/>
                <w:color w:val="000000"/>
                <w:sz w:val="17"/>
              </w:rPr>
              <w:t>2,338.24</w:t>
            </w:r>
          </w:p>
        </w:tc>
        <w:tc>
          <w:tcPr>
            <w:tcW w:w="2980" w:type="dxa"/>
            <w:vAlign w:val="center"/>
          </w:tcPr>
          <w:p w14:paraId="0C1E156F">
            <w:pPr>
              <w:jc w:val="left"/>
            </w:pPr>
            <w:r>
              <w:rPr>
                <w:rFonts w:ascii="宋体" w:hAnsi="宋体" w:eastAsia="宋体" w:cs="宋体"/>
                <w:b w:val="0"/>
                <w:i w:val="0"/>
                <w:color w:val="000000"/>
                <w:sz w:val="17"/>
              </w:rPr>
              <w:t>一、一般公共服务支出</w:t>
            </w:r>
          </w:p>
        </w:tc>
        <w:tc>
          <w:tcPr>
            <w:tcW w:w="420" w:type="dxa"/>
            <w:vAlign w:val="center"/>
          </w:tcPr>
          <w:p w14:paraId="325B0C2B">
            <w:pPr>
              <w:jc w:val="center"/>
            </w:pPr>
            <w:r>
              <w:rPr>
                <w:rFonts w:ascii="宋体" w:hAnsi="宋体" w:eastAsia="宋体" w:cs="宋体"/>
                <w:b w:val="0"/>
                <w:i w:val="0"/>
                <w:color w:val="000000"/>
                <w:sz w:val="17"/>
              </w:rPr>
              <w:t>33</w:t>
            </w:r>
          </w:p>
        </w:tc>
        <w:tc>
          <w:tcPr>
            <w:tcW w:w="1460" w:type="dxa"/>
            <w:vAlign w:val="center"/>
          </w:tcPr>
          <w:p w14:paraId="72F9A911">
            <w:pPr>
              <w:jc w:val="right"/>
            </w:pPr>
            <w:r>
              <w:rPr>
                <w:rFonts w:ascii="宋体" w:hAnsi="宋体" w:eastAsia="宋体" w:cs="宋体"/>
                <w:b w:val="0"/>
                <w:i w:val="0"/>
                <w:color w:val="000000"/>
                <w:sz w:val="17"/>
              </w:rPr>
              <w:t>1,989.59</w:t>
            </w:r>
          </w:p>
        </w:tc>
        <w:tc>
          <w:tcPr>
            <w:tcW w:w="1460" w:type="dxa"/>
            <w:vAlign w:val="center"/>
          </w:tcPr>
          <w:p w14:paraId="7DAED10B">
            <w:pPr>
              <w:jc w:val="right"/>
            </w:pPr>
            <w:r>
              <w:rPr>
                <w:rFonts w:ascii="宋体" w:hAnsi="宋体" w:eastAsia="宋体" w:cs="宋体"/>
                <w:b w:val="0"/>
                <w:i w:val="0"/>
                <w:color w:val="000000"/>
                <w:sz w:val="17"/>
              </w:rPr>
              <w:t>1,989.59</w:t>
            </w:r>
          </w:p>
        </w:tc>
        <w:tc>
          <w:tcPr>
            <w:tcW w:w="1460" w:type="dxa"/>
            <w:vAlign w:val="center"/>
          </w:tcPr>
          <w:p w14:paraId="66A6930D"/>
        </w:tc>
        <w:tc>
          <w:tcPr>
            <w:tcW w:w="1438" w:type="dxa"/>
            <w:vAlign w:val="center"/>
          </w:tcPr>
          <w:p w14:paraId="0265D815"/>
        </w:tc>
      </w:tr>
      <w:tr w14:paraId="18A5D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33593D">
            <w:pPr>
              <w:jc w:val="left"/>
            </w:pPr>
            <w:r>
              <w:rPr>
                <w:rFonts w:ascii="宋体" w:hAnsi="宋体" w:eastAsia="宋体" w:cs="宋体"/>
                <w:b w:val="0"/>
                <w:i w:val="0"/>
                <w:color w:val="000000"/>
                <w:sz w:val="17"/>
              </w:rPr>
              <w:t>二、政府性基金预算财政拨款</w:t>
            </w:r>
          </w:p>
        </w:tc>
        <w:tc>
          <w:tcPr>
            <w:tcW w:w="420" w:type="dxa"/>
            <w:vAlign w:val="center"/>
          </w:tcPr>
          <w:p w14:paraId="51D9E4B0">
            <w:pPr>
              <w:jc w:val="center"/>
            </w:pPr>
            <w:r>
              <w:rPr>
                <w:rFonts w:ascii="宋体" w:hAnsi="宋体" w:eastAsia="宋体" w:cs="宋体"/>
                <w:b w:val="0"/>
                <w:i w:val="0"/>
                <w:color w:val="000000"/>
                <w:sz w:val="17"/>
              </w:rPr>
              <w:t>2</w:t>
            </w:r>
          </w:p>
        </w:tc>
        <w:tc>
          <w:tcPr>
            <w:tcW w:w="1480" w:type="dxa"/>
            <w:vAlign w:val="center"/>
          </w:tcPr>
          <w:p w14:paraId="1A7C450A">
            <w:pPr>
              <w:jc w:val="right"/>
            </w:pPr>
            <w:r>
              <w:rPr>
                <w:rFonts w:ascii="宋体" w:hAnsi="宋体" w:eastAsia="宋体" w:cs="宋体"/>
                <w:b w:val="0"/>
                <w:i w:val="0"/>
                <w:color w:val="000000"/>
                <w:sz w:val="17"/>
              </w:rPr>
              <w:t>7.01</w:t>
            </w:r>
          </w:p>
        </w:tc>
        <w:tc>
          <w:tcPr>
            <w:tcW w:w="2980" w:type="dxa"/>
            <w:vAlign w:val="center"/>
          </w:tcPr>
          <w:p w14:paraId="6DFC53B1">
            <w:pPr>
              <w:jc w:val="left"/>
            </w:pPr>
            <w:r>
              <w:rPr>
                <w:rFonts w:ascii="宋体" w:hAnsi="宋体" w:eastAsia="宋体" w:cs="宋体"/>
                <w:b w:val="0"/>
                <w:i w:val="0"/>
                <w:color w:val="000000"/>
                <w:sz w:val="17"/>
              </w:rPr>
              <w:t>二、外交支出</w:t>
            </w:r>
          </w:p>
        </w:tc>
        <w:tc>
          <w:tcPr>
            <w:tcW w:w="420" w:type="dxa"/>
            <w:vAlign w:val="center"/>
          </w:tcPr>
          <w:p w14:paraId="03A4F13C">
            <w:pPr>
              <w:jc w:val="center"/>
            </w:pPr>
            <w:r>
              <w:rPr>
                <w:rFonts w:ascii="宋体" w:hAnsi="宋体" w:eastAsia="宋体" w:cs="宋体"/>
                <w:b w:val="0"/>
                <w:i w:val="0"/>
                <w:color w:val="000000"/>
                <w:sz w:val="17"/>
              </w:rPr>
              <w:t>34</w:t>
            </w:r>
          </w:p>
        </w:tc>
        <w:tc>
          <w:tcPr>
            <w:tcW w:w="1460" w:type="dxa"/>
            <w:vAlign w:val="center"/>
          </w:tcPr>
          <w:p w14:paraId="467D7F24"/>
        </w:tc>
        <w:tc>
          <w:tcPr>
            <w:tcW w:w="1460" w:type="dxa"/>
            <w:vAlign w:val="center"/>
          </w:tcPr>
          <w:p w14:paraId="5A5503D3"/>
        </w:tc>
        <w:tc>
          <w:tcPr>
            <w:tcW w:w="1460" w:type="dxa"/>
            <w:vAlign w:val="center"/>
          </w:tcPr>
          <w:p w14:paraId="791AF974"/>
        </w:tc>
        <w:tc>
          <w:tcPr>
            <w:tcW w:w="1438" w:type="dxa"/>
            <w:vAlign w:val="center"/>
          </w:tcPr>
          <w:p w14:paraId="6679DF9F"/>
        </w:tc>
      </w:tr>
      <w:tr w14:paraId="36906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D8C2C0">
            <w:pPr>
              <w:jc w:val="left"/>
            </w:pPr>
            <w:r>
              <w:rPr>
                <w:rFonts w:ascii="宋体" w:hAnsi="宋体" w:eastAsia="宋体" w:cs="宋体"/>
                <w:b w:val="0"/>
                <w:i w:val="0"/>
                <w:color w:val="000000"/>
                <w:sz w:val="17"/>
              </w:rPr>
              <w:t>三、国有资本经营预算财政拨款</w:t>
            </w:r>
          </w:p>
        </w:tc>
        <w:tc>
          <w:tcPr>
            <w:tcW w:w="420" w:type="dxa"/>
            <w:vAlign w:val="center"/>
          </w:tcPr>
          <w:p w14:paraId="4E293D7C">
            <w:pPr>
              <w:jc w:val="center"/>
            </w:pPr>
            <w:r>
              <w:rPr>
                <w:rFonts w:ascii="宋体" w:hAnsi="宋体" w:eastAsia="宋体" w:cs="宋体"/>
                <w:b w:val="0"/>
                <w:i w:val="0"/>
                <w:color w:val="000000"/>
                <w:sz w:val="17"/>
              </w:rPr>
              <w:t>3</w:t>
            </w:r>
          </w:p>
        </w:tc>
        <w:tc>
          <w:tcPr>
            <w:tcW w:w="1480" w:type="dxa"/>
            <w:vAlign w:val="center"/>
          </w:tcPr>
          <w:p w14:paraId="5EC9CE96"/>
        </w:tc>
        <w:tc>
          <w:tcPr>
            <w:tcW w:w="2980" w:type="dxa"/>
            <w:vAlign w:val="center"/>
          </w:tcPr>
          <w:p w14:paraId="394C78A0">
            <w:pPr>
              <w:jc w:val="left"/>
            </w:pPr>
            <w:r>
              <w:rPr>
                <w:rFonts w:ascii="宋体" w:hAnsi="宋体" w:eastAsia="宋体" w:cs="宋体"/>
                <w:b w:val="0"/>
                <w:i w:val="0"/>
                <w:color w:val="000000"/>
                <w:sz w:val="17"/>
              </w:rPr>
              <w:t>三、国防支出</w:t>
            </w:r>
          </w:p>
        </w:tc>
        <w:tc>
          <w:tcPr>
            <w:tcW w:w="420" w:type="dxa"/>
            <w:vAlign w:val="center"/>
          </w:tcPr>
          <w:p w14:paraId="77BA6795">
            <w:pPr>
              <w:jc w:val="center"/>
            </w:pPr>
            <w:r>
              <w:rPr>
                <w:rFonts w:ascii="宋体" w:hAnsi="宋体" w:eastAsia="宋体" w:cs="宋体"/>
                <w:b w:val="0"/>
                <w:i w:val="0"/>
                <w:color w:val="000000"/>
                <w:sz w:val="17"/>
              </w:rPr>
              <w:t>35</w:t>
            </w:r>
          </w:p>
        </w:tc>
        <w:tc>
          <w:tcPr>
            <w:tcW w:w="1460" w:type="dxa"/>
            <w:vAlign w:val="center"/>
          </w:tcPr>
          <w:p w14:paraId="442821BD"/>
        </w:tc>
        <w:tc>
          <w:tcPr>
            <w:tcW w:w="1460" w:type="dxa"/>
            <w:vAlign w:val="center"/>
          </w:tcPr>
          <w:p w14:paraId="4D3782E8"/>
        </w:tc>
        <w:tc>
          <w:tcPr>
            <w:tcW w:w="1460" w:type="dxa"/>
            <w:vAlign w:val="center"/>
          </w:tcPr>
          <w:p w14:paraId="41BEBCC8"/>
        </w:tc>
        <w:tc>
          <w:tcPr>
            <w:tcW w:w="1438" w:type="dxa"/>
            <w:vAlign w:val="center"/>
          </w:tcPr>
          <w:p w14:paraId="0252FF54"/>
        </w:tc>
      </w:tr>
      <w:tr w14:paraId="54CED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CD6F9C"/>
        </w:tc>
        <w:tc>
          <w:tcPr>
            <w:tcW w:w="420" w:type="dxa"/>
            <w:vAlign w:val="center"/>
          </w:tcPr>
          <w:p w14:paraId="2D6920AD">
            <w:pPr>
              <w:jc w:val="center"/>
            </w:pPr>
            <w:r>
              <w:rPr>
                <w:rFonts w:ascii="宋体" w:hAnsi="宋体" w:eastAsia="宋体" w:cs="宋体"/>
                <w:b w:val="0"/>
                <w:i w:val="0"/>
                <w:color w:val="000000"/>
                <w:sz w:val="17"/>
              </w:rPr>
              <w:t>4</w:t>
            </w:r>
          </w:p>
        </w:tc>
        <w:tc>
          <w:tcPr>
            <w:tcW w:w="1480" w:type="dxa"/>
            <w:vAlign w:val="center"/>
          </w:tcPr>
          <w:p w14:paraId="2285B19E"/>
        </w:tc>
        <w:tc>
          <w:tcPr>
            <w:tcW w:w="2980" w:type="dxa"/>
            <w:vAlign w:val="center"/>
          </w:tcPr>
          <w:p w14:paraId="4D1378D8">
            <w:pPr>
              <w:jc w:val="left"/>
            </w:pPr>
            <w:r>
              <w:rPr>
                <w:rFonts w:ascii="宋体" w:hAnsi="宋体" w:eastAsia="宋体" w:cs="宋体"/>
                <w:b w:val="0"/>
                <w:i w:val="0"/>
                <w:color w:val="000000"/>
                <w:sz w:val="17"/>
              </w:rPr>
              <w:t>四、公共安全支出</w:t>
            </w:r>
          </w:p>
        </w:tc>
        <w:tc>
          <w:tcPr>
            <w:tcW w:w="420" w:type="dxa"/>
            <w:vAlign w:val="center"/>
          </w:tcPr>
          <w:p w14:paraId="7E2758B9">
            <w:pPr>
              <w:jc w:val="center"/>
            </w:pPr>
            <w:r>
              <w:rPr>
                <w:rFonts w:ascii="宋体" w:hAnsi="宋体" w:eastAsia="宋体" w:cs="宋体"/>
                <w:b w:val="0"/>
                <w:i w:val="0"/>
                <w:color w:val="000000"/>
                <w:sz w:val="17"/>
              </w:rPr>
              <w:t>36</w:t>
            </w:r>
          </w:p>
        </w:tc>
        <w:tc>
          <w:tcPr>
            <w:tcW w:w="1460" w:type="dxa"/>
            <w:vAlign w:val="center"/>
          </w:tcPr>
          <w:p w14:paraId="10161167"/>
        </w:tc>
        <w:tc>
          <w:tcPr>
            <w:tcW w:w="1460" w:type="dxa"/>
            <w:vAlign w:val="center"/>
          </w:tcPr>
          <w:p w14:paraId="7C796EB8"/>
        </w:tc>
        <w:tc>
          <w:tcPr>
            <w:tcW w:w="1460" w:type="dxa"/>
            <w:vAlign w:val="center"/>
          </w:tcPr>
          <w:p w14:paraId="614DBB68"/>
        </w:tc>
        <w:tc>
          <w:tcPr>
            <w:tcW w:w="1438" w:type="dxa"/>
            <w:vAlign w:val="center"/>
          </w:tcPr>
          <w:p w14:paraId="443FF619"/>
        </w:tc>
      </w:tr>
      <w:tr w14:paraId="7C82B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452FDBE"/>
        </w:tc>
        <w:tc>
          <w:tcPr>
            <w:tcW w:w="420" w:type="dxa"/>
            <w:vAlign w:val="center"/>
          </w:tcPr>
          <w:p w14:paraId="30D704F4">
            <w:pPr>
              <w:jc w:val="center"/>
            </w:pPr>
            <w:r>
              <w:rPr>
                <w:rFonts w:ascii="宋体" w:hAnsi="宋体" w:eastAsia="宋体" w:cs="宋体"/>
                <w:b w:val="0"/>
                <w:i w:val="0"/>
                <w:color w:val="000000"/>
                <w:sz w:val="17"/>
              </w:rPr>
              <w:t>5</w:t>
            </w:r>
          </w:p>
        </w:tc>
        <w:tc>
          <w:tcPr>
            <w:tcW w:w="1480" w:type="dxa"/>
            <w:vAlign w:val="center"/>
          </w:tcPr>
          <w:p w14:paraId="51115340"/>
        </w:tc>
        <w:tc>
          <w:tcPr>
            <w:tcW w:w="2980" w:type="dxa"/>
            <w:vAlign w:val="center"/>
          </w:tcPr>
          <w:p w14:paraId="2DA28F2C">
            <w:pPr>
              <w:jc w:val="left"/>
            </w:pPr>
            <w:r>
              <w:rPr>
                <w:rFonts w:ascii="宋体" w:hAnsi="宋体" w:eastAsia="宋体" w:cs="宋体"/>
                <w:b w:val="0"/>
                <w:i w:val="0"/>
                <w:color w:val="000000"/>
                <w:sz w:val="17"/>
              </w:rPr>
              <w:t>五、教育支出</w:t>
            </w:r>
          </w:p>
        </w:tc>
        <w:tc>
          <w:tcPr>
            <w:tcW w:w="420" w:type="dxa"/>
            <w:vAlign w:val="center"/>
          </w:tcPr>
          <w:p w14:paraId="2E2D813C">
            <w:pPr>
              <w:jc w:val="center"/>
            </w:pPr>
            <w:r>
              <w:rPr>
                <w:rFonts w:ascii="宋体" w:hAnsi="宋体" w:eastAsia="宋体" w:cs="宋体"/>
                <w:b w:val="0"/>
                <w:i w:val="0"/>
                <w:color w:val="000000"/>
                <w:sz w:val="17"/>
              </w:rPr>
              <w:t>37</w:t>
            </w:r>
          </w:p>
        </w:tc>
        <w:tc>
          <w:tcPr>
            <w:tcW w:w="1460" w:type="dxa"/>
            <w:vAlign w:val="center"/>
          </w:tcPr>
          <w:p w14:paraId="6D8181F2"/>
        </w:tc>
        <w:tc>
          <w:tcPr>
            <w:tcW w:w="1460" w:type="dxa"/>
            <w:vAlign w:val="center"/>
          </w:tcPr>
          <w:p w14:paraId="26A5A237"/>
        </w:tc>
        <w:tc>
          <w:tcPr>
            <w:tcW w:w="1460" w:type="dxa"/>
            <w:vAlign w:val="center"/>
          </w:tcPr>
          <w:p w14:paraId="3C6890DA"/>
        </w:tc>
        <w:tc>
          <w:tcPr>
            <w:tcW w:w="1438" w:type="dxa"/>
            <w:vAlign w:val="center"/>
          </w:tcPr>
          <w:p w14:paraId="07DFC491"/>
        </w:tc>
      </w:tr>
      <w:tr w14:paraId="0730A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370822"/>
        </w:tc>
        <w:tc>
          <w:tcPr>
            <w:tcW w:w="420" w:type="dxa"/>
            <w:vAlign w:val="center"/>
          </w:tcPr>
          <w:p w14:paraId="5B833236">
            <w:pPr>
              <w:jc w:val="center"/>
            </w:pPr>
            <w:r>
              <w:rPr>
                <w:rFonts w:ascii="宋体" w:hAnsi="宋体" w:eastAsia="宋体" w:cs="宋体"/>
                <w:b w:val="0"/>
                <w:i w:val="0"/>
                <w:color w:val="000000"/>
                <w:sz w:val="17"/>
              </w:rPr>
              <w:t>6</w:t>
            </w:r>
          </w:p>
        </w:tc>
        <w:tc>
          <w:tcPr>
            <w:tcW w:w="1480" w:type="dxa"/>
            <w:vAlign w:val="center"/>
          </w:tcPr>
          <w:p w14:paraId="788664B7"/>
        </w:tc>
        <w:tc>
          <w:tcPr>
            <w:tcW w:w="2980" w:type="dxa"/>
            <w:vAlign w:val="center"/>
          </w:tcPr>
          <w:p w14:paraId="6DC79EBD">
            <w:pPr>
              <w:jc w:val="left"/>
            </w:pPr>
            <w:r>
              <w:rPr>
                <w:rFonts w:ascii="宋体" w:hAnsi="宋体" w:eastAsia="宋体" w:cs="宋体"/>
                <w:b w:val="0"/>
                <w:i w:val="0"/>
                <w:color w:val="000000"/>
                <w:sz w:val="17"/>
              </w:rPr>
              <w:t>六、科学技术支出</w:t>
            </w:r>
          </w:p>
        </w:tc>
        <w:tc>
          <w:tcPr>
            <w:tcW w:w="420" w:type="dxa"/>
            <w:vAlign w:val="center"/>
          </w:tcPr>
          <w:p w14:paraId="72D3DDFB">
            <w:pPr>
              <w:jc w:val="center"/>
            </w:pPr>
            <w:r>
              <w:rPr>
                <w:rFonts w:ascii="宋体" w:hAnsi="宋体" w:eastAsia="宋体" w:cs="宋体"/>
                <w:b w:val="0"/>
                <w:i w:val="0"/>
                <w:color w:val="000000"/>
                <w:sz w:val="17"/>
              </w:rPr>
              <w:t>38</w:t>
            </w:r>
          </w:p>
        </w:tc>
        <w:tc>
          <w:tcPr>
            <w:tcW w:w="1460" w:type="dxa"/>
            <w:vAlign w:val="center"/>
          </w:tcPr>
          <w:p w14:paraId="2C5760F9"/>
        </w:tc>
        <w:tc>
          <w:tcPr>
            <w:tcW w:w="1460" w:type="dxa"/>
            <w:vAlign w:val="center"/>
          </w:tcPr>
          <w:p w14:paraId="759F8DFE"/>
        </w:tc>
        <w:tc>
          <w:tcPr>
            <w:tcW w:w="1460" w:type="dxa"/>
            <w:vAlign w:val="center"/>
          </w:tcPr>
          <w:p w14:paraId="170C2BE0"/>
        </w:tc>
        <w:tc>
          <w:tcPr>
            <w:tcW w:w="1438" w:type="dxa"/>
            <w:vAlign w:val="center"/>
          </w:tcPr>
          <w:p w14:paraId="6DBF3039"/>
        </w:tc>
      </w:tr>
      <w:tr w14:paraId="572B9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564257"/>
        </w:tc>
        <w:tc>
          <w:tcPr>
            <w:tcW w:w="420" w:type="dxa"/>
            <w:vAlign w:val="center"/>
          </w:tcPr>
          <w:p w14:paraId="32AB4DFA">
            <w:pPr>
              <w:jc w:val="center"/>
            </w:pPr>
            <w:r>
              <w:rPr>
                <w:rFonts w:ascii="宋体" w:hAnsi="宋体" w:eastAsia="宋体" w:cs="宋体"/>
                <w:b w:val="0"/>
                <w:i w:val="0"/>
                <w:color w:val="000000"/>
                <w:sz w:val="17"/>
              </w:rPr>
              <w:t>7</w:t>
            </w:r>
          </w:p>
        </w:tc>
        <w:tc>
          <w:tcPr>
            <w:tcW w:w="1480" w:type="dxa"/>
            <w:vAlign w:val="center"/>
          </w:tcPr>
          <w:p w14:paraId="767C3E4D"/>
        </w:tc>
        <w:tc>
          <w:tcPr>
            <w:tcW w:w="2980" w:type="dxa"/>
            <w:vAlign w:val="center"/>
          </w:tcPr>
          <w:p w14:paraId="15EF869A">
            <w:pPr>
              <w:jc w:val="left"/>
            </w:pPr>
            <w:r>
              <w:rPr>
                <w:rFonts w:ascii="宋体" w:hAnsi="宋体" w:eastAsia="宋体" w:cs="宋体"/>
                <w:b w:val="0"/>
                <w:i w:val="0"/>
                <w:color w:val="000000"/>
                <w:sz w:val="17"/>
              </w:rPr>
              <w:t>七、文化旅游体育与传媒支出</w:t>
            </w:r>
          </w:p>
        </w:tc>
        <w:tc>
          <w:tcPr>
            <w:tcW w:w="420" w:type="dxa"/>
            <w:vAlign w:val="center"/>
          </w:tcPr>
          <w:p w14:paraId="2BE07B83">
            <w:pPr>
              <w:jc w:val="center"/>
            </w:pPr>
            <w:r>
              <w:rPr>
                <w:rFonts w:ascii="宋体" w:hAnsi="宋体" w:eastAsia="宋体" w:cs="宋体"/>
                <w:b w:val="0"/>
                <w:i w:val="0"/>
                <w:color w:val="000000"/>
                <w:sz w:val="17"/>
              </w:rPr>
              <w:t>39</w:t>
            </w:r>
          </w:p>
        </w:tc>
        <w:tc>
          <w:tcPr>
            <w:tcW w:w="1460" w:type="dxa"/>
            <w:vAlign w:val="center"/>
          </w:tcPr>
          <w:p w14:paraId="3FC0FAC8"/>
        </w:tc>
        <w:tc>
          <w:tcPr>
            <w:tcW w:w="1460" w:type="dxa"/>
            <w:vAlign w:val="center"/>
          </w:tcPr>
          <w:p w14:paraId="3066A8B9"/>
        </w:tc>
        <w:tc>
          <w:tcPr>
            <w:tcW w:w="1460" w:type="dxa"/>
            <w:vAlign w:val="center"/>
          </w:tcPr>
          <w:p w14:paraId="5322D8CF"/>
        </w:tc>
        <w:tc>
          <w:tcPr>
            <w:tcW w:w="1438" w:type="dxa"/>
            <w:vAlign w:val="center"/>
          </w:tcPr>
          <w:p w14:paraId="3F5B3C2F"/>
        </w:tc>
      </w:tr>
      <w:tr w14:paraId="2A327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534E5A"/>
        </w:tc>
        <w:tc>
          <w:tcPr>
            <w:tcW w:w="420" w:type="dxa"/>
            <w:vAlign w:val="center"/>
          </w:tcPr>
          <w:p w14:paraId="343F773E">
            <w:pPr>
              <w:jc w:val="center"/>
            </w:pPr>
            <w:r>
              <w:rPr>
                <w:rFonts w:ascii="宋体" w:hAnsi="宋体" w:eastAsia="宋体" w:cs="宋体"/>
                <w:b w:val="0"/>
                <w:i w:val="0"/>
                <w:color w:val="000000"/>
                <w:sz w:val="17"/>
              </w:rPr>
              <w:t>8</w:t>
            </w:r>
          </w:p>
        </w:tc>
        <w:tc>
          <w:tcPr>
            <w:tcW w:w="1480" w:type="dxa"/>
            <w:vAlign w:val="center"/>
          </w:tcPr>
          <w:p w14:paraId="43F33C8D"/>
        </w:tc>
        <w:tc>
          <w:tcPr>
            <w:tcW w:w="2980" w:type="dxa"/>
            <w:vAlign w:val="center"/>
          </w:tcPr>
          <w:p w14:paraId="2BD03E19">
            <w:pPr>
              <w:jc w:val="left"/>
            </w:pPr>
            <w:r>
              <w:rPr>
                <w:rFonts w:ascii="宋体" w:hAnsi="宋体" w:eastAsia="宋体" w:cs="宋体"/>
                <w:b w:val="0"/>
                <w:i w:val="0"/>
                <w:color w:val="000000"/>
                <w:sz w:val="17"/>
              </w:rPr>
              <w:t>八、社会保障和就业支出</w:t>
            </w:r>
          </w:p>
        </w:tc>
        <w:tc>
          <w:tcPr>
            <w:tcW w:w="420" w:type="dxa"/>
            <w:vAlign w:val="center"/>
          </w:tcPr>
          <w:p w14:paraId="6BA43EF4">
            <w:pPr>
              <w:jc w:val="center"/>
            </w:pPr>
            <w:r>
              <w:rPr>
                <w:rFonts w:ascii="宋体" w:hAnsi="宋体" w:eastAsia="宋体" w:cs="宋体"/>
                <w:b w:val="0"/>
                <w:i w:val="0"/>
                <w:color w:val="000000"/>
                <w:sz w:val="17"/>
              </w:rPr>
              <w:t>40</w:t>
            </w:r>
          </w:p>
        </w:tc>
        <w:tc>
          <w:tcPr>
            <w:tcW w:w="1460" w:type="dxa"/>
            <w:vAlign w:val="center"/>
          </w:tcPr>
          <w:p w14:paraId="6813FCC4">
            <w:pPr>
              <w:jc w:val="right"/>
            </w:pPr>
            <w:r>
              <w:rPr>
                <w:rFonts w:ascii="宋体" w:hAnsi="宋体" w:eastAsia="宋体" w:cs="宋体"/>
                <w:b w:val="0"/>
                <w:i w:val="0"/>
                <w:color w:val="000000"/>
                <w:sz w:val="17"/>
              </w:rPr>
              <w:t>198.25</w:t>
            </w:r>
          </w:p>
        </w:tc>
        <w:tc>
          <w:tcPr>
            <w:tcW w:w="1460" w:type="dxa"/>
            <w:vAlign w:val="center"/>
          </w:tcPr>
          <w:p w14:paraId="0E4189C0">
            <w:pPr>
              <w:jc w:val="right"/>
            </w:pPr>
            <w:r>
              <w:rPr>
                <w:rFonts w:ascii="宋体" w:hAnsi="宋体" w:eastAsia="宋体" w:cs="宋体"/>
                <w:b w:val="0"/>
                <w:i w:val="0"/>
                <w:color w:val="000000"/>
                <w:sz w:val="17"/>
              </w:rPr>
              <w:t>198.25</w:t>
            </w:r>
          </w:p>
        </w:tc>
        <w:tc>
          <w:tcPr>
            <w:tcW w:w="1460" w:type="dxa"/>
            <w:vAlign w:val="center"/>
          </w:tcPr>
          <w:p w14:paraId="2366505D"/>
        </w:tc>
        <w:tc>
          <w:tcPr>
            <w:tcW w:w="1438" w:type="dxa"/>
            <w:vAlign w:val="center"/>
          </w:tcPr>
          <w:p w14:paraId="021520F4"/>
        </w:tc>
      </w:tr>
      <w:tr w14:paraId="37017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0EDB8B"/>
        </w:tc>
        <w:tc>
          <w:tcPr>
            <w:tcW w:w="420" w:type="dxa"/>
            <w:vAlign w:val="center"/>
          </w:tcPr>
          <w:p w14:paraId="6266CEE5">
            <w:pPr>
              <w:jc w:val="center"/>
            </w:pPr>
            <w:r>
              <w:rPr>
                <w:rFonts w:ascii="宋体" w:hAnsi="宋体" w:eastAsia="宋体" w:cs="宋体"/>
                <w:b w:val="0"/>
                <w:i w:val="0"/>
                <w:color w:val="000000"/>
                <w:sz w:val="17"/>
              </w:rPr>
              <w:t>9</w:t>
            </w:r>
          </w:p>
        </w:tc>
        <w:tc>
          <w:tcPr>
            <w:tcW w:w="1480" w:type="dxa"/>
            <w:vAlign w:val="center"/>
          </w:tcPr>
          <w:p w14:paraId="16127E0A"/>
        </w:tc>
        <w:tc>
          <w:tcPr>
            <w:tcW w:w="2980" w:type="dxa"/>
            <w:vAlign w:val="center"/>
          </w:tcPr>
          <w:p w14:paraId="01BED386">
            <w:pPr>
              <w:jc w:val="left"/>
            </w:pPr>
            <w:r>
              <w:rPr>
                <w:rFonts w:ascii="宋体" w:hAnsi="宋体" w:eastAsia="宋体" w:cs="宋体"/>
                <w:b w:val="0"/>
                <w:i w:val="0"/>
                <w:color w:val="000000"/>
                <w:sz w:val="17"/>
              </w:rPr>
              <w:t>九、卫生健康支出</w:t>
            </w:r>
          </w:p>
        </w:tc>
        <w:tc>
          <w:tcPr>
            <w:tcW w:w="420" w:type="dxa"/>
            <w:vAlign w:val="center"/>
          </w:tcPr>
          <w:p w14:paraId="52726436">
            <w:pPr>
              <w:jc w:val="center"/>
            </w:pPr>
            <w:r>
              <w:rPr>
                <w:rFonts w:ascii="宋体" w:hAnsi="宋体" w:eastAsia="宋体" w:cs="宋体"/>
                <w:b w:val="0"/>
                <w:i w:val="0"/>
                <w:color w:val="000000"/>
                <w:sz w:val="17"/>
              </w:rPr>
              <w:t>41</w:t>
            </w:r>
          </w:p>
        </w:tc>
        <w:tc>
          <w:tcPr>
            <w:tcW w:w="1460" w:type="dxa"/>
            <w:vAlign w:val="center"/>
          </w:tcPr>
          <w:p w14:paraId="49F221A1">
            <w:pPr>
              <w:jc w:val="right"/>
            </w:pPr>
            <w:r>
              <w:rPr>
                <w:rFonts w:ascii="宋体" w:hAnsi="宋体" w:eastAsia="宋体" w:cs="宋体"/>
                <w:b w:val="0"/>
                <w:i w:val="0"/>
                <w:color w:val="000000"/>
                <w:sz w:val="17"/>
              </w:rPr>
              <w:t>40.82</w:t>
            </w:r>
          </w:p>
        </w:tc>
        <w:tc>
          <w:tcPr>
            <w:tcW w:w="1460" w:type="dxa"/>
            <w:vAlign w:val="center"/>
          </w:tcPr>
          <w:p w14:paraId="533B02AD">
            <w:pPr>
              <w:jc w:val="right"/>
            </w:pPr>
            <w:r>
              <w:rPr>
                <w:rFonts w:ascii="宋体" w:hAnsi="宋体" w:eastAsia="宋体" w:cs="宋体"/>
                <w:b w:val="0"/>
                <w:i w:val="0"/>
                <w:color w:val="000000"/>
                <w:sz w:val="17"/>
              </w:rPr>
              <w:t>40.82</w:t>
            </w:r>
          </w:p>
        </w:tc>
        <w:tc>
          <w:tcPr>
            <w:tcW w:w="1460" w:type="dxa"/>
            <w:vAlign w:val="center"/>
          </w:tcPr>
          <w:p w14:paraId="4E4E235D"/>
        </w:tc>
        <w:tc>
          <w:tcPr>
            <w:tcW w:w="1438" w:type="dxa"/>
            <w:vAlign w:val="center"/>
          </w:tcPr>
          <w:p w14:paraId="41DFF1BD"/>
        </w:tc>
      </w:tr>
      <w:tr w14:paraId="6CF35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B8A993C"/>
        </w:tc>
        <w:tc>
          <w:tcPr>
            <w:tcW w:w="420" w:type="dxa"/>
            <w:vAlign w:val="center"/>
          </w:tcPr>
          <w:p w14:paraId="237B3D24">
            <w:pPr>
              <w:jc w:val="center"/>
            </w:pPr>
            <w:r>
              <w:rPr>
                <w:rFonts w:ascii="宋体" w:hAnsi="宋体" w:eastAsia="宋体" w:cs="宋体"/>
                <w:b w:val="0"/>
                <w:i w:val="0"/>
                <w:color w:val="000000"/>
                <w:sz w:val="17"/>
              </w:rPr>
              <w:t>10</w:t>
            </w:r>
          </w:p>
        </w:tc>
        <w:tc>
          <w:tcPr>
            <w:tcW w:w="1480" w:type="dxa"/>
            <w:vAlign w:val="center"/>
          </w:tcPr>
          <w:p w14:paraId="442D3610"/>
        </w:tc>
        <w:tc>
          <w:tcPr>
            <w:tcW w:w="2980" w:type="dxa"/>
            <w:vAlign w:val="center"/>
          </w:tcPr>
          <w:p w14:paraId="2A2E694C">
            <w:pPr>
              <w:jc w:val="left"/>
            </w:pPr>
            <w:r>
              <w:rPr>
                <w:rFonts w:ascii="宋体" w:hAnsi="宋体" w:eastAsia="宋体" w:cs="宋体"/>
                <w:b w:val="0"/>
                <w:i w:val="0"/>
                <w:color w:val="000000"/>
                <w:sz w:val="17"/>
              </w:rPr>
              <w:t>十、节能环保支出</w:t>
            </w:r>
          </w:p>
        </w:tc>
        <w:tc>
          <w:tcPr>
            <w:tcW w:w="420" w:type="dxa"/>
            <w:vAlign w:val="center"/>
          </w:tcPr>
          <w:p w14:paraId="1DCF0A86">
            <w:pPr>
              <w:jc w:val="center"/>
            </w:pPr>
            <w:r>
              <w:rPr>
                <w:rFonts w:ascii="宋体" w:hAnsi="宋体" w:eastAsia="宋体" w:cs="宋体"/>
                <w:b w:val="0"/>
                <w:i w:val="0"/>
                <w:color w:val="000000"/>
                <w:sz w:val="17"/>
              </w:rPr>
              <w:t>42</w:t>
            </w:r>
          </w:p>
        </w:tc>
        <w:tc>
          <w:tcPr>
            <w:tcW w:w="1460" w:type="dxa"/>
            <w:vAlign w:val="center"/>
          </w:tcPr>
          <w:p w14:paraId="4AD33AA5"/>
        </w:tc>
        <w:tc>
          <w:tcPr>
            <w:tcW w:w="1460" w:type="dxa"/>
            <w:vAlign w:val="center"/>
          </w:tcPr>
          <w:p w14:paraId="18BD7AA4"/>
        </w:tc>
        <w:tc>
          <w:tcPr>
            <w:tcW w:w="1460" w:type="dxa"/>
            <w:vAlign w:val="center"/>
          </w:tcPr>
          <w:p w14:paraId="72EB97FE"/>
        </w:tc>
        <w:tc>
          <w:tcPr>
            <w:tcW w:w="1438" w:type="dxa"/>
            <w:vAlign w:val="center"/>
          </w:tcPr>
          <w:p w14:paraId="254A19CB"/>
        </w:tc>
      </w:tr>
      <w:tr w14:paraId="69C5F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3A617F"/>
        </w:tc>
        <w:tc>
          <w:tcPr>
            <w:tcW w:w="420" w:type="dxa"/>
            <w:vAlign w:val="center"/>
          </w:tcPr>
          <w:p w14:paraId="088906F2">
            <w:pPr>
              <w:jc w:val="center"/>
            </w:pPr>
            <w:r>
              <w:rPr>
                <w:rFonts w:ascii="宋体" w:hAnsi="宋体" w:eastAsia="宋体" w:cs="宋体"/>
                <w:b w:val="0"/>
                <w:i w:val="0"/>
                <w:color w:val="000000"/>
                <w:sz w:val="17"/>
              </w:rPr>
              <w:t>11</w:t>
            </w:r>
          </w:p>
        </w:tc>
        <w:tc>
          <w:tcPr>
            <w:tcW w:w="1480" w:type="dxa"/>
            <w:vAlign w:val="center"/>
          </w:tcPr>
          <w:p w14:paraId="57B4DF46"/>
        </w:tc>
        <w:tc>
          <w:tcPr>
            <w:tcW w:w="2980" w:type="dxa"/>
            <w:vAlign w:val="center"/>
          </w:tcPr>
          <w:p w14:paraId="7588B59E">
            <w:pPr>
              <w:jc w:val="left"/>
            </w:pPr>
            <w:r>
              <w:rPr>
                <w:rFonts w:ascii="宋体" w:hAnsi="宋体" w:eastAsia="宋体" w:cs="宋体"/>
                <w:b w:val="0"/>
                <w:i w:val="0"/>
                <w:color w:val="000000"/>
                <w:sz w:val="17"/>
              </w:rPr>
              <w:t>十一、城乡社区支出</w:t>
            </w:r>
          </w:p>
        </w:tc>
        <w:tc>
          <w:tcPr>
            <w:tcW w:w="420" w:type="dxa"/>
            <w:vAlign w:val="center"/>
          </w:tcPr>
          <w:p w14:paraId="034ED621">
            <w:pPr>
              <w:jc w:val="center"/>
            </w:pPr>
            <w:r>
              <w:rPr>
                <w:rFonts w:ascii="宋体" w:hAnsi="宋体" w:eastAsia="宋体" w:cs="宋体"/>
                <w:b w:val="0"/>
                <w:i w:val="0"/>
                <w:color w:val="000000"/>
                <w:sz w:val="17"/>
              </w:rPr>
              <w:t>43</w:t>
            </w:r>
          </w:p>
        </w:tc>
        <w:tc>
          <w:tcPr>
            <w:tcW w:w="1460" w:type="dxa"/>
            <w:vAlign w:val="center"/>
          </w:tcPr>
          <w:p w14:paraId="2E7919CC">
            <w:pPr>
              <w:jc w:val="right"/>
            </w:pPr>
            <w:r>
              <w:rPr>
                <w:rFonts w:ascii="宋体" w:hAnsi="宋体" w:eastAsia="宋体" w:cs="宋体"/>
                <w:b w:val="0"/>
                <w:i w:val="0"/>
                <w:color w:val="000000"/>
                <w:sz w:val="17"/>
              </w:rPr>
              <w:t>7.01</w:t>
            </w:r>
          </w:p>
        </w:tc>
        <w:tc>
          <w:tcPr>
            <w:tcW w:w="1460" w:type="dxa"/>
            <w:vAlign w:val="center"/>
          </w:tcPr>
          <w:p w14:paraId="781F589A"/>
        </w:tc>
        <w:tc>
          <w:tcPr>
            <w:tcW w:w="1460" w:type="dxa"/>
            <w:vAlign w:val="center"/>
          </w:tcPr>
          <w:p w14:paraId="3BF5C2B7">
            <w:pPr>
              <w:jc w:val="right"/>
            </w:pPr>
            <w:r>
              <w:rPr>
                <w:rFonts w:ascii="宋体" w:hAnsi="宋体" w:eastAsia="宋体" w:cs="宋体"/>
                <w:b w:val="0"/>
                <w:i w:val="0"/>
                <w:color w:val="000000"/>
                <w:sz w:val="17"/>
              </w:rPr>
              <w:t>7.01</w:t>
            </w:r>
          </w:p>
        </w:tc>
        <w:tc>
          <w:tcPr>
            <w:tcW w:w="1438" w:type="dxa"/>
            <w:vAlign w:val="center"/>
          </w:tcPr>
          <w:p w14:paraId="2E864753"/>
        </w:tc>
      </w:tr>
      <w:tr w14:paraId="40134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9AA264"/>
        </w:tc>
        <w:tc>
          <w:tcPr>
            <w:tcW w:w="420" w:type="dxa"/>
            <w:vAlign w:val="center"/>
          </w:tcPr>
          <w:p w14:paraId="43FAA097">
            <w:pPr>
              <w:jc w:val="center"/>
            </w:pPr>
            <w:r>
              <w:rPr>
                <w:rFonts w:ascii="宋体" w:hAnsi="宋体" w:eastAsia="宋体" w:cs="宋体"/>
                <w:b w:val="0"/>
                <w:i w:val="0"/>
                <w:color w:val="000000"/>
                <w:sz w:val="17"/>
              </w:rPr>
              <w:t>12</w:t>
            </w:r>
          </w:p>
        </w:tc>
        <w:tc>
          <w:tcPr>
            <w:tcW w:w="1480" w:type="dxa"/>
            <w:vAlign w:val="center"/>
          </w:tcPr>
          <w:p w14:paraId="7C225CFB"/>
        </w:tc>
        <w:tc>
          <w:tcPr>
            <w:tcW w:w="2980" w:type="dxa"/>
            <w:vAlign w:val="center"/>
          </w:tcPr>
          <w:p w14:paraId="065AA851">
            <w:pPr>
              <w:jc w:val="left"/>
            </w:pPr>
            <w:r>
              <w:rPr>
                <w:rFonts w:ascii="宋体" w:hAnsi="宋体" w:eastAsia="宋体" w:cs="宋体"/>
                <w:b w:val="0"/>
                <w:i w:val="0"/>
                <w:color w:val="000000"/>
                <w:sz w:val="17"/>
              </w:rPr>
              <w:t>十二、农林水支出</w:t>
            </w:r>
          </w:p>
        </w:tc>
        <w:tc>
          <w:tcPr>
            <w:tcW w:w="420" w:type="dxa"/>
            <w:vAlign w:val="center"/>
          </w:tcPr>
          <w:p w14:paraId="49FF7ADA">
            <w:pPr>
              <w:jc w:val="center"/>
            </w:pPr>
            <w:r>
              <w:rPr>
                <w:rFonts w:ascii="宋体" w:hAnsi="宋体" w:eastAsia="宋体" w:cs="宋体"/>
                <w:b w:val="0"/>
                <w:i w:val="0"/>
                <w:color w:val="000000"/>
                <w:sz w:val="17"/>
              </w:rPr>
              <w:t>44</w:t>
            </w:r>
          </w:p>
        </w:tc>
        <w:tc>
          <w:tcPr>
            <w:tcW w:w="1460" w:type="dxa"/>
            <w:vAlign w:val="center"/>
          </w:tcPr>
          <w:p w14:paraId="3DA7B49A"/>
        </w:tc>
        <w:tc>
          <w:tcPr>
            <w:tcW w:w="1460" w:type="dxa"/>
            <w:vAlign w:val="center"/>
          </w:tcPr>
          <w:p w14:paraId="29CC42C5"/>
        </w:tc>
        <w:tc>
          <w:tcPr>
            <w:tcW w:w="1460" w:type="dxa"/>
            <w:vAlign w:val="center"/>
          </w:tcPr>
          <w:p w14:paraId="5A3DCBED"/>
        </w:tc>
        <w:tc>
          <w:tcPr>
            <w:tcW w:w="1438" w:type="dxa"/>
            <w:vAlign w:val="center"/>
          </w:tcPr>
          <w:p w14:paraId="42E5774E"/>
        </w:tc>
      </w:tr>
      <w:tr w14:paraId="6ACCD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AAB49A"/>
        </w:tc>
        <w:tc>
          <w:tcPr>
            <w:tcW w:w="420" w:type="dxa"/>
            <w:vAlign w:val="center"/>
          </w:tcPr>
          <w:p w14:paraId="1C624F4C">
            <w:pPr>
              <w:jc w:val="center"/>
            </w:pPr>
            <w:r>
              <w:rPr>
                <w:rFonts w:ascii="宋体" w:hAnsi="宋体" w:eastAsia="宋体" w:cs="宋体"/>
                <w:b w:val="0"/>
                <w:i w:val="0"/>
                <w:color w:val="000000"/>
                <w:sz w:val="17"/>
              </w:rPr>
              <w:t>13</w:t>
            </w:r>
          </w:p>
        </w:tc>
        <w:tc>
          <w:tcPr>
            <w:tcW w:w="1480" w:type="dxa"/>
            <w:vAlign w:val="center"/>
          </w:tcPr>
          <w:p w14:paraId="0A67BA7C"/>
        </w:tc>
        <w:tc>
          <w:tcPr>
            <w:tcW w:w="2980" w:type="dxa"/>
            <w:vAlign w:val="center"/>
          </w:tcPr>
          <w:p w14:paraId="5C11F4ED">
            <w:pPr>
              <w:jc w:val="left"/>
            </w:pPr>
            <w:r>
              <w:rPr>
                <w:rFonts w:ascii="宋体" w:hAnsi="宋体" w:eastAsia="宋体" w:cs="宋体"/>
                <w:b w:val="0"/>
                <w:i w:val="0"/>
                <w:color w:val="000000"/>
                <w:sz w:val="17"/>
              </w:rPr>
              <w:t>十三、交通运输支出</w:t>
            </w:r>
          </w:p>
        </w:tc>
        <w:tc>
          <w:tcPr>
            <w:tcW w:w="420" w:type="dxa"/>
            <w:vAlign w:val="center"/>
          </w:tcPr>
          <w:p w14:paraId="49B9490E">
            <w:pPr>
              <w:jc w:val="center"/>
            </w:pPr>
            <w:r>
              <w:rPr>
                <w:rFonts w:ascii="宋体" w:hAnsi="宋体" w:eastAsia="宋体" w:cs="宋体"/>
                <w:b w:val="0"/>
                <w:i w:val="0"/>
                <w:color w:val="000000"/>
                <w:sz w:val="17"/>
              </w:rPr>
              <w:t>45</w:t>
            </w:r>
          </w:p>
        </w:tc>
        <w:tc>
          <w:tcPr>
            <w:tcW w:w="1460" w:type="dxa"/>
            <w:vAlign w:val="center"/>
          </w:tcPr>
          <w:p w14:paraId="40DAFAEC"/>
        </w:tc>
        <w:tc>
          <w:tcPr>
            <w:tcW w:w="1460" w:type="dxa"/>
            <w:vAlign w:val="center"/>
          </w:tcPr>
          <w:p w14:paraId="5FC31AD0"/>
        </w:tc>
        <w:tc>
          <w:tcPr>
            <w:tcW w:w="1460" w:type="dxa"/>
            <w:vAlign w:val="center"/>
          </w:tcPr>
          <w:p w14:paraId="5B7CBB60"/>
        </w:tc>
        <w:tc>
          <w:tcPr>
            <w:tcW w:w="1438" w:type="dxa"/>
            <w:vAlign w:val="center"/>
          </w:tcPr>
          <w:p w14:paraId="2FE008C8"/>
        </w:tc>
      </w:tr>
      <w:tr w14:paraId="371AB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99B156"/>
        </w:tc>
        <w:tc>
          <w:tcPr>
            <w:tcW w:w="420" w:type="dxa"/>
            <w:vAlign w:val="center"/>
          </w:tcPr>
          <w:p w14:paraId="43CB3785">
            <w:pPr>
              <w:jc w:val="center"/>
            </w:pPr>
            <w:r>
              <w:rPr>
                <w:rFonts w:ascii="宋体" w:hAnsi="宋体" w:eastAsia="宋体" w:cs="宋体"/>
                <w:b w:val="0"/>
                <w:i w:val="0"/>
                <w:color w:val="000000"/>
                <w:sz w:val="17"/>
              </w:rPr>
              <w:t>14</w:t>
            </w:r>
          </w:p>
        </w:tc>
        <w:tc>
          <w:tcPr>
            <w:tcW w:w="1480" w:type="dxa"/>
            <w:vAlign w:val="center"/>
          </w:tcPr>
          <w:p w14:paraId="52B2404F"/>
        </w:tc>
        <w:tc>
          <w:tcPr>
            <w:tcW w:w="2980" w:type="dxa"/>
            <w:vAlign w:val="center"/>
          </w:tcPr>
          <w:p w14:paraId="2B56D9C8">
            <w:pPr>
              <w:jc w:val="left"/>
            </w:pPr>
            <w:r>
              <w:rPr>
                <w:rFonts w:ascii="宋体" w:hAnsi="宋体" w:eastAsia="宋体" w:cs="宋体"/>
                <w:b w:val="0"/>
                <w:i w:val="0"/>
                <w:color w:val="000000"/>
                <w:sz w:val="17"/>
              </w:rPr>
              <w:t>十四、资源勘探工业信息等支出</w:t>
            </w:r>
          </w:p>
        </w:tc>
        <w:tc>
          <w:tcPr>
            <w:tcW w:w="420" w:type="dxa"/>
            <w:vAlign w:val="center"/>
          </w:tcPr>
          <w:p w14:paraId="55C022BF">
            <w:pPr>
              <w:jc w:val="center"/>
            </w:pPr>
            <w:r>
              <w:rPr>
                <w:rFonts w:ascii="宋体" w:hAnsi="宋体" w:eastAsia="宋体" w:cs="宋体"/>
                <w:b w:val="0"/>
                <w:i w:val="0"/>
                <w:color w:val="000000"/>
                <w:sz w:val="17"/>
              </w:rPr>
              <w:t>46</w:t>
            </w:r>
          </w:p>
        </w:tc>
        <w:tc>
          <w:tcPr>
            <w:tcW w:w="1460" w:type="dxa"/>
            <w:vAlign w:val="center"/>
          </w:tcPr>
          <w:p w14:paraId="7CD64E92"/>
        </w:tc>
        <w:tc>
          <w:tcPr>
            <w:tcW w:w="1460" w:type="dxa"/>
            <w:vAlign w:val="center"/>
          </w:tcPr>
          <w:p w14:paraId="23D2E52F"/>
        </w:tc>
        <w:tc>
          <w:tcPr>
            <w:tcW w:w="1460" w:type="dxa"/>
            <w:vAlign w:val="center"/>
          </w:tcPr>
          <w:p w14:paraId="230CD511"/>
        </w:tc>
        <w:tc>
          <w:tcPr>
            <w:tcW w:w="1438" w:type="dxa"/>
            <w:vAlign w:val="center"/>
          </w:tcPr>
          <w:p w14:paraId="000EB197"/>
        </w:tc>
      </w:tr>
      <w:tr w14:paraId="068F8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4E8DFE"/>
        </w:tc>
        <w:tc>
          <w:tcPr>
            <w:tcW w:w="420" w:type="dxa"/>
            <w:vAlign w:val="center"/>
          </w:tcPr>
          <w:p w14:paraId="3749532C">
            <w:pPr>
              <w:jc w:val="center"/>
            </w:pPr>
            <w:r>
              <w:rPr>
                <w:rFonts w:ascii="宋体" w:hAnsi="宋体" w:eastAsia="宋体" w:cs="宋体"/>
                <w:b w:val="0"/>
                <w:i w:val="0"/>
                <w:color w:val="000000"/>
                <w:sz w:val="17"/>
              </w:rPr>
              <w:t>15</w:t>
            </w:r>
          </w:p>
        </w:tc>
        <w:tc>
          <w:tcPr>
            <w:tcW w:w="1480" w:type="dxa"/>
            <w:vAlign w:val="center"/>
          </w:tcPr>
          <w:p w14:paraId="2C2A3A1C"/>
        </w:tc>
        <w:tc>
          <w:tcPr>
            <w:tcW w:w="2980" w:type="dxa"/>
            <w:vAlign w:val="center"/>
          </w:tcPr>
          <w:p w14:paraId="4D71F9A6">
            <w:pPr>
              <w:jc w:val="left"/>
            </w:pPr>
            <w:r>
              <w:rPr>
                <w:rFonts w:ascii="宋体" w:hAnsi="宋体" w:eastAsia="宋体" w:cs="宋体"/>
                <w:b w:val="0"/>
                <w:i w:val="0"/>
                <w:color w:val="000000"/>
                <w:sz w:val="17"/>
              </w:rPr>
              <w:t>十五、商业服务业等支出</w:t>
            </w:r>
          </w:p>
        </w:tc>
        <w:tc>
          <w:tcPr>
            <w:tcW w:w="420" w:type="dxa"/>
            <w:vAlign w:val="center"/>
          </w:tcPr>
          <w:p w14:paraId="53623003">
            <w:pPr>
              <w:jc w:val="center"/>
            </w:pPr>
            <w:r>
              <w:rPr>
                <w:rFonts w:ascii="宋体" w:hAnsi="宋体" w:eastAsia="宋体" w:cs="宋体"/>
                <w:b w:val="0"/>
                <w:i w:val="0"/>
                <w:color w:val="000000"/>
                <w:sz w:val="17"/>
              </w:rPr>
              <w:t>47</w:t>
            </w:r>
          </w:p>
        </w:tc>
        <w:tc>
          <w:tcPr>
            <w:tcW w:w="1460" w:type="dxa"/>
            <w:vAlign w:val="center"/>
          </w:tcPr>
          <w:p w14:paraId="68B024D8"/>
        </w:tc>
        <w:tc>
          <w:tcPr>
            <w:tcW w:w="1460" w:type="dxa"/>
            <w:vAlign w:val="center"/>
          </w:tcPr>
          <w:p w14:paraId="56D12ABB"/>
        </w:tc>
        <w:tc>
          <w:tcPr>
            <w:tcW w:w="1460" w:type="dxa"/>
            <w:vAlign w:val="center"/>
          </w:tcPr>
          <w:p w14:paraId="10D59BBD"/>
        </w:tc>
        <w:tc>
          <w:tcPr>
            <w:tcW w:w="1438" w:type="dxa"/>
            <w:vAlign w:val="center"/>
          </w:tcPr>
          <w:p w14:paraId="242D05FE"/>
        </w:tc>
      </w:tr>
      <w:tr w14:paraId="06D42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944C13"/>
        </w:tc>
        <w:tc>
          <w:tcPr>
            <w:tcW w:w="420" w:type="dxa"/>
            <w:vAlign w:val="center"/>
          </w:tcPr>
          <w:p w14:paraId="50CC0A25">
            <w:pPr>
              <w:jc w:val="center"/>
            </w:pPr>
            <w:r>
              <w:rPr>
                <w:rFonts w:ascii="宋体" w:hAnsi="宋体" w:eastAsia="宋体" w:cs="宋体"/>
                <w:b w:val="0"/>
                <w:i w:val="0"/>
                <w:color w:val="000000"/>
                <w:sz w:val="17"/>
              </w:rPr>
              <w:t>16</w:t>
            </w:r>
          </w:p>
        </w:tc>
        <w:tc>
          <w:tcPr>
            <w:tcW w:w="1480" w:type="dxa"/>
            <w:vAlign w:val="center"/>
          </w:tcPr>
          <w:p w14:paraId="417BC801"/>
        </w:tc>
        <w:tc>
          <w:tcPr>
            <w:tcW w:w="2980" w:type="dxa"/>
            <w:vAlign w:val="center"/>
          </w:tcPr>
          <w:p w14:paraId="56529741">
            <w:pPr>
              <w:jc w:val="left"/>
            </w:pPr>
            <w:r>
              <w:rPr>
                <w:rFonts w:ascii="宋体" w:hAnsi="宋体" w:eastAsia="宋体" w:cs="宋体"/>
                <w:b w:val="0"/>
                <w:i w:val="0"/>
                <w:color w:val="000000"/>
                <w:sz w:val="17"/>
              </w:rPr>
              <w:t>十六、金融支出</w:t>
            </w:r>
          </w:p>
        </w:tc>
        <w:tc>
          <w:tcPr>
            <w:tcW w:w="420" w:type="dxa"/>
            <w:vAlign w:val="center"/>
          </w:tcPr>
          <w:p w14:paraId="77D0BCC3">
            <w:pPr>
              <w:jc w:val="center"/>
            </w:pPr>
            <w:r>
              <w:rPr>
                <w:rFonts w:ascii="宋体" w:hAnsi="宋体" w:eastAsia="宋体" w:cs="宋体"/>
                <w:b w:val="0"/>
                <w:i w:val="0"/>
                <w:color w:val="000000"/>
                <w:sz w:val="17"/>
              </w:rPr>
              <w:t>48</w:t>
            </w:r>
          </w:p>
        </w:tc>
        <w:tc>
          <w:tcPr>
            <w:tcW w:w="1460" w:type="dxa"/>
            <w:vAlign w:val="center"/>
          </w:tcPr>
          <w:p w14:paraId="5EF1ED43"/>
        </w:tc>
        <w:tc>
          <w:tcPr>
            <w:tcW w:w="1460" w:type="dxa"/>
            <w:vAlign w:val="center"/>
          </w:tcPr>
          <w:p w14:paraId="431C5A01"/>
        </w:tc>
        <w:tc>
          <w:tcPr>
            <w:tcW w:w="1460" w:type="dxa"/>
            <w:vAlign w:val="center"/>
          </w:tcPr>
          <w:p w14:paraId="064E03E8"/>
        </w:tc>
        <w:tc>
          <w:tcPr>
            <w:tcW w:w="1438" w:type="dxa"/>
            <w:vAlign w:val="center"/>
          </w:tcPr>
          <w:p w14:paraId="2AD4FA30"/>
        </w:tc>
      </w:tr>
      <w:tr w14:paraId="12502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763705"/>
        </w:tc>
        <w:tc>
          <w:tcPr>
            <w:tcW w:w="420" w:type="dxa"/>
            <w:vAlign w:val="center"/>
          </w:tcPr>
          <w:p w14:paraId="4121EB1F">
            <w:pPr>
              <w:jc w:val="center"/>
            </w:pPr>
            <w:r>
              <w:rPr>
                <w:rFonts w:ascii="宋体" w:hAnsi="宋体" w:eastAsia="宋体" w:cs="宋体"/>
                <w:b w:val="0"/>
                <w:i w:val="0"/>
                <w:color w:val="000000"/>
                <w:sz w:val="17"/>
              </w:rPr>
              <w:t>17</w:t>
            </w:r>
          </w:p>
        </w:tc>
        <w:tc>
          <w:tcPr>
            <w:tcW w:w="1480" w:type="dxa"/>
            <w:vAlign w:val="center"/>
          </w:tcPr>
          <w:p w14:paraId="69A20810"/>
        </w:tc>
        <w:tc>
          <w:tcPr>
            <w:tcW w:w="2980" w:type="dxa"/>
            <w:vAlign w:val="center"/>
          </w:tcPr>
          <w:p w14:paraId="45492143">
            <w:pPr>
              <w:jc w:val="left"/>
            </w:pPr>
            <w:r>
              <w:rPr>
                <w:rFonts w:ascii="宋体" w:hAnsi="宋体" w:eastAsia="宋体" w:cs="宋体"/>
                <w:b w:val="0"/>
                <w:i w:val="0"/>
                <w:color w:val="000000"/>
                <w:sz w:val="17"/>
              </w:rPr>
              <w:t>十七、援助其他地区支出</w:t>
            </w:r>
          </w:p>
        </w:tc>
        <w:tc>
          <w:tcPr>
            <w:tcW w:w="420" w:type="dxa"/>
            <w:vAlign w:val="center"/>
          </w:tcPr>
          <w:p w14:paraId="177F75C3">
            <w:pPr>
              <w:jc w:val="center"/>
            </w:pPr>
            <w:r>
              <w:rPr>
                <w:rFonts w:ascii="宋体" w:hAnsi="宋体" w:eastAsia="宋体" w:cs="宋体"/>
                <w:b w:val="0"/>
                <w:i w:val="0"/>
                <w:color w:val="000000"/>
                <w:sz w:val="17"/>
              </w:rPr>
              <w:t>49</w:t>
            </w:r>
          </w:p>
        </w:tc>
        <w:tc>
          <w:tcPr>
            <w:tcW w:w="1460" w:type="dxa"/>
            <w:vAlign w:val="center"/>
          </w:tcPr>
          <w:p w14:paraId="7C5A7E87"/>
        </w:tc>
        <w:tc>
          <w:tcPr>
            <w:tcW w:w="1460" w:type="dxa"/>
            <w:vAlign w:val="center"/>
          </w:tcPr>
          <w:p w14:paraId="323F09B9"/>
        </w:tc>
        <w:tc>
          <w:tcPr>
            <w:tcW w:w="1460" w:type="dxa"/>
            <w:vAlign w:val="center"/>
          </w:tcPr>
          <w:p w14:paraId="3B3E79CE"/>
        </w:tc>
        <w:tc>
          <w:tcPr>
            <w:tcW w:w="1438" w:type="dxa"/>
            <w:vAlign w:val="center"/>
          </w:tcPr>
          <w:p w14:paraId="2427DA2A"/>
        </w:tc>
      </w:tr>
      <w:tr w14:paraId="4A698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020336"/>
        </w:tc>
        <w:tc>
          <w:tcPr>
            <w:tcW w:w="420" w:type="dxa"/>
            <w:vAlign w:val="center"/>
          </w:tcPr>
          <w:p w14:paraId="4814FA31">
            <w:pPr>
              <w:jc w:val="center"/>
            </w:pPr>
            <w:r>
              <w:rPr>
                <w:rFonts w:ascii="宋体" w:hAnsi="宋体" w:eastAsia="宋体" w:cs="宋体"/>
                <w:b w:val="0"/>
                <w:i w:val="0"/>
                <w:color w:val="000000"/>
                <w:sz w:val="17"/>
              </w:rPr>
              <w:t>18</w:t>
            </w:r>
          </w:p>
        </w:tc>
        <w:tc>
          <w:tcPr>
            <w:tcW w:w="1480" w:type="dxa"/>
            <w:vAlign w:val="center"/>
          </w:tcPr>
          <w:p w14:paraId="0E124D46"/>
        </w:tc>
        <w:tc>
          <w:tcPr>
            <w:tcW w:w="2980" w:type="dxa"/>
            <w:vAlign w:val="center"/>
          </w:tcPr>
          <w:p w14:paraId="218FE74F">
            <w:pPr>
              <w:jc w:val="left"/>
            </w:pPr>
            <w:r>
              <w:rPr>
                <w:rFonts w:ascii="宋体" w:hAnsi="宋体" w:eastAsia="宋体" w:cs="宋体"/>
                <w:b w:val="0"/>
                <w:i w:val="0"/>
                <w:color w:val="000000"/>
                <w:sz w:val="17"/>
              </w:rPr>
              <w:t>十八、自然资源海洋气象等支出</w:t>
            </w:r>
          </w:p>
        </w:tc>
        <w:tc>
          <w:tcPr>
            <w:tcW w:w="420" w:type="dxa"/>
            <w:vAlign w:val="center"/>
          </w:tcPr>
          <w:p w14:paraId="1DAA3070">
            <w:pPr>
              <w:jc w:val="center"/>
            </w:pPr>
            <w:r>
              <w:rPr>
                <w:rFonts w:ascii="宋体" w:hAnsi="宋体" w:eastAsia="宋体" w:cs="宋体"/>
                <w:b w:val="0"/>
                <w:i w:val="0"/>
                <w:color w:val="000000"/>
                <w:sz w:val="17"/>
              </w:rPr>
              <w:t>50</w:t>
            </w:r>
          </w:p>
        </w:tc>
        <w:tc>
          <w:tcPr>
            <w:tcW w:w="1460" w:type="dxa"/>
            <w:vAlign w:val="center"/>
          </w:tcPr>
          <w:p w14:paraId="7931D86B"/>
        </w:tc>
        <w:tc>
          <w:tcPr>
            <w:tcW w:w="1460" w:type="dxa"/>
            <w:vAlign w:val="center"/>
          </w:tcPr>
          <w:p w14:paraId="592F5CDE"/>
        </w:tc>
        <w:tc>
          <w:tcPr>
            <w:tcW w:w="1460" w:type="dxa"/>
            <w:vAlign w:val="center"/>
          </w:tcPr>
          <w:p w14:paraId="4AFDD12D"/>
        </w:tc>
        <w:tc>
          <w:tcPr>
            <w:tcW w:w="1438" w:type="dxa"/>
            <w:vAlign w:val="center"/>
          </w:tcPr>
          <w:p w14:paraId="7651F99A"/>
        </w:tc>
      </w:tr>
      <w:tr w14:paraId="316A7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085C50"/>
        </w:tc>
        <w:tc>
          <w:tcPr>
            <w:tcW w:w="420" w:type="dxa"/>
            <w:vAlign w:val="center"/>
          </w:tcPr>
          <w:p w14:paraId="2FD7341C">
            <w:pPr>
              <w:jc w:val="center"/>
            </w:pPr>
            <w:r>
              <w:rPr>
                <w:rFonts w:ascii="宋体" w:hAnsi="宋体" w:eastAsia="宋体" w:cs="宋体"/>
                <w:b w:val="0"/>
                <w:i w:val="0"/>
                <w:color w:val="000000"/>
                <w:sz w:val="17"/>
              </w:rPr>
              <w:t>19</w:t>
            </w:r>
          </w:p>
        </w:tc>
        <w:tc>
          <w:tcPr>
            <w:tcW w:w="1480" w:type="dxa"/>
            <w:vAlign w:val="center"/>
          </w:tcPr>
          <w:p w14:paraId="130AC1C8"/>
        </w:tc>
        <w:tc>
          <w:tcPr>
            <w:tcW w:w="2980" w:type="dxa"/>
            <w:vAlign w:val="center"/>
          </w:tcPr>
          <w:p w14:paraId="605D363E">
            <w:pPr>
              <w:jc w:val="left"/>
            </w:pPr>
            <w:r>
              <w:rPr>
                <w:rFonts w:ascii="宋体" w:hAnsi="宋体" w:eastAsia="宋体" w:cs="宋体"/>
                <w:b w:val="0"/>
                <w:i w:val="0"/>
                <w:color w:val="000000"/>
                <w:sz w:val="17"/>
              </w:rPr>
              <w:t>十九、住房保障支出</w:t>
            </w:r>
          </w:p>
        </w:tc>
        <w:tc>
          <w:tcPr>
            <w:tcW w:w="420" w:type="dxa"/>
            <w:vAlign w:val="center"/>
          </w:tcPr>
          <w:p w14:paraId="772FDF40">
            <w:pPr>
              <w:jc w:val="center"/>
            </w:pPr>
            <w:r>
              <w:rPr>
                <w:rFonts w:ascii="宋体" w:hAnsi="宋体" w:eastAsia="宋体" w:cs="宋体"/>
                <w:b w:val="0"/>
                <w:i w:val="0"/>
                <w:color w:val="000000"/>
                <w:sz w:val="17"/>
              </w:rPr>
              <w:t>51</w:t>
            </w:r>
          </w:p>
        </w:tc>
        <w:tc>
          <w:tcPr>
            <w:tcW w:w="1460" w:type="dxa"/>
            <w:vAlign w:val="center"/>
          </w:tcPr>
          <w:p w14:paraId="1812AF70">
            <w:pPr>
              <w:jc w:val="right"/>
            </w:pPr>
            <w:r>
              <w:rPr>
                <w:rFonts w:ascii="宋体" w:hAnsi="宋体" w:eastAsia="宋体" w:cs="宋体"/>
                <w:b w:val="0"/>
                <w:i w:val="0"/>
                <w:color w:val="000000"/>
                <w:sz w:val="17"/>
              </w:rPr>
              <w:t>109.57</w:t>
            </w:r>
          </w:p>
        </w:tc>
        <w:tc>
          <w:tcPr>
            <w:tcW w:w="1460" w:type="dxa"/>
            <w:vAlign w:val="center"/>
          </w:tcPr>
          <w:p w14:paraId="0DA439FD">
            <w:pPr>
              <w:jc w:val="right"/>
            </w:pPr>
            <w:r>
              <w:rPr>
                <w:rFonts w:ascii="宋体" w:hAnsi="宋体" w:eastAsia="宋体" w:cs="宋体"/>
                <w:b w:val="0"/>
                <w:i w:val="0"/>
                <w:color w:val="000000"/>
                <w:sz w:val="17"/>
              </w:rPr>
              <w:t>109.57</w:t>
            </w:r>
          </w:p>
        </w:tc>
        <w:tc>
          <w:tcPr>
            <w:tcW w:w="1460" w:type="dxa"/>
            <w:vAlign w:val="center"/>
          </w:tcPr>
          <w:p w14:paraId="081E5816"/>
        </w:tc>
        <w:tc>
          <w:tcPr>
            <w:tcW w:w="1438" w:type="dxa"/>
            <w:vAlign w:val="center"/>
          </w:tcPr>
          <w:p w14:paraId="3E0C784E"/>
        </w:tc>
      </w:tr>
      <w:tr w14:paraId="27881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EDB74E"/>
        </w:tc>
        <w:tc>
          <w:tcPr>
            <w:tcW w:w="420" w:type="dxa"/>
            <w:vAlign w:val="center"/>
          </w:tcPr>
          <w:p w14:paraId="7033F03C">
            <w:pPr>
              <w:jc w:val="center"/>
            </w:pPr>
            <w:r>
              <w:rPr>
                <w:rFonts w:ascii="宋体" w:hAnsi="宋体" w:eastAsia="宋体" w:cs="宋体"/>
                <w:b w:val="0"/>
                <w:i w:val="0"/>
                <w:color w:val="000000"/>
                <w:sz w:val="17"/>
              </w:rPr>
              <w:t>20</w:t>
            </w:r>
          </w:p>
        </w:tc>
        <w:tc>
          <w:tcPr>
            <w:tcW w:w="1480" w:type="dxa"/>
            <w:vAlign w:val="center"/>
          </w:tcPr>
          <w:p w14:paraId="59F3CC02"/>
        </w:tc>
        <w:tc>
          <w:tcPr>
            <w:tcW w:w="2980" w:type="dxa"/>
            <w:vAlign w:val="center"/>
          </w:tcPr>
          <w:p w14:paraId="1FA3AB62">
            <w:pPr>
              <w:jc w:val="left"/>
            </w:pPr>
            <w:r>
              <w:rPr>
                <w:rFonts w:ascii="宋体" w:hAnsi="宋体" w:eastAsia="宋体" w:cs="宋体"/>
                <w:b w:val="0"/>
                <w:i w:val="0"/>
                <w:color w:val="000000"/>
                <w:sz w:val="17"/>
              </w:rPr>
              <w:t>二十、粮油物资储备支出</w:t>
            </w:r>
          </w:p>
        </w:tc>
        <w:tc>
          <w:tcPr>
            <w:tcW w:w="420" w:type="dxa"/>
            <w:vAlign w:val="center"/>
          </w:tcPr>
          <w:p w14:paraId="3A77E9F0">
            <w:pPr>
              <w:jc w:val="center"/>
            </w:pPr>
            <w:r>
              <w:rPr>
                <w:rFonts w:ascii="宋体" w:hAnsi="宋体" w:eastAsia="宋体" w:cs="宋体"/>
                <w:b w:val="0"/>
                <w:i w:val="0"/>
                <w:color w:val="000000"/>
                <w:sz w:val="17"/>
              </w:rPr>
              <w:t>52</w:t>
            </w:r>
          </w:p>
        </w:tc>
        <w:tc>
          <w:tcPr>
            <w:tcW w:w="1460" w:type="dxa"/>
            <w:vAlign w:val="center"/>
          </w:tcPr>
          <w:p w14:paraId="2F23429F"/>
        </w:tc>
        <w:tc>
          <w:tcPr>
            <w:tcW w:w="1460" w:type="dxa"/>
            <w:vAlign w:val="center"/>
          </w:tcPr>
          <w:p w14:paraId="77B15984"/>
        </w:tc>
        <w:tc>
          <w:tcPr>
            <w:tcW w:w="1460" w:type="dxa"/>
            <w:vAlign w:val="center"/>
          </w:tcPr>
          <w:p w14:paraId="3EA094D6"/>
        </w:tc>
        <w:tc>
          <w:tcPr>
            <w:tcW w:w="1438" w:type="dxa"/>
            <w:vAlign w:val="center"/>
          </w:tcPr>
          <w:p w14:paraId="37684193"/>
        </w:tc>
      </w:tr>
      <w:tr w14:paraId="2E102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A1CBF2"/>
        </w:tc>
        <w:tc>
          <w:tcPr>
            <w:tcW w:w="420" w:type="dxa"/>
            <w:vAlign w:val="center"/>
          </w:tcPr>
          <w:p w14:paraId="3B48A0A2">
            <w:pPr>
              <w:jc w:val="center"/>
            </w:pPr>
            <w:r>
              <w:rPr>
                <w:rFonts w:ascii="宋体" w:hAnsi="宋体" w:eastAsia="宋体" w:cs="宋体"/>
                <w:b w:val="0"/>
                <w:i w:val="0"/>
                <w:color w:val="000000"/>
                <w:sz w:val="17"/>
              </w:rPr>
              <w:t>21</w:t>
            </w:r>
          </w:p>
        </w:tc>
        <w:tc>
          <w:tcPr>
            <w:tcW w:w="1480" w:type="dxa"/>
            <w:vAlign w:val="center"/>
          </w:tcPr>
          <w:p w14:paraId="26F22521"/>
        </w:tc>
        <w:tc>
          <w:tcPr>
            <w:tcW w:w="2980" w:type="dxa"/>
            <w:vAlign w:val="center"/>
          </w:tcPr>
          <w:p w14:paraId="428F0C06">
            <w:pPr>
              <w:jc w:val="left"/>
            </w:pPr>
            <w:r>
              <w:rPr>
                <w:rFonts w:ascii="宋体" w:hAnsi="宋体" w:eastAsia="宋体" w:cs="宋体"/>
                <w:b w:val="0"/>
                <w:i w:val="0"/>
                <w:color w:val="000000"/>
                <w:sz w:val="17"/>
              </w:rPr>
              <w:t>二十一、国有资本经营预算支出</w:t>
            </w:r>
          </w:p>
        </w:tc>
        <w:tc>
          <w:tcPr>
            <w:tcW w:w="420" w:type="dxa"/>
            <w:vAlign w:val="center"/>
          </w:tcPr>
          <w:p w14:paraId="26423727">
            <w:pPr>
              <w:jc w:val="center"/>
            </w:pPr>
            <w:r>
              <w:rPr>
                <w:rFonts w:ascii="宋体" w:hAnsi="宋体" w:eastAsia="宋体" w:cs="宋体"/>
                <w:b w:val="0"/>
                <w:i w:val="0"/>
                <w:color w:val="000000"/>
                <w:sz w:val="17"/>
              </w:rPr>
              <w:t>53</w:t>
            </w:r>
          </w:p>
        </w:tc>
        <w:tc>
          <w:tcPr>
            <w:tcW w:w="1460" w:type="dxa"/>
            <w:vAlign w:val="center"/>
          </w:tcPr>
          <w:p w14:paraId="1B5F9216"/>
        </w:tc>
        <w:tc>
          <w:tcPr>
            <w:tcW w:w="1460" w:type="dxa"/>
            <w:vAlign w:val="center"/>
          </w:tcPr>
          <w:p w14:paraId="6DFF2E2E"/>
        </w:tc>
        <w:tc>
          <w:tcPr>
            <w:tcW w:w="1460" w:type="dxa"/>
            <w:vAlign w:val="center"/>
          </w:tcPr>
          <w:p w14:paraId="7AE7DEC2"/>
        </w:tc>
        <w:tc>
          <w:tcPr>
            <w:tcW w:w="1438" w:type="dxa"/>
            <w:vAlign w:val="center"/>
          </w:tcPr>
          <w:p w14:paraId="11788898"/>
        </w:tc>
      </w:tr>
      <w:tr w14:paraId="4036C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04C794"/>
        </w:tc>
        <w:tc>
          <w:tcPr>
            <w:tcW w:w="420" w:type="dxa"/>
            <w:vAlign w:val="center"/>
          </w:tcPr>
          <w:p w14:paraId="07C2F177">
            <w:pPr>
              <w:jc w:val="center"/>
            </w:pPr>
            <w:r>
              <w:rPr>
                <w:rFonts w:ascii="宋体" w:hAnsi="宋体" w:eastAsia="宋体" w:cs="宋体"/>
                <w:b w:val="0"/>
                <w:i w:val="0"/>
                <w:color w:val="000000"/>
                <w:sz w:val="17"/>
              </w:rPr>
              <w:t>22</w:t>
            </w:r>
          </w:p>
        </w:tc>
        <w:tc>
          <w:tcPr>
            <w:tcW w:w="1480" w:type="dxa"/>
            <w:vAlign w:val="center"/>
          </w:tcPr>
          <w:p w14:paraId="515D6E47"/>
        </w:tc>
        <w:tc>
          <w:tcPr>
            <w:tcW w:w="2980" w:type="dxa"/>
            <w:vAlign w:val="center"/>
          </w:tcPr>
          <w:p w14:paraId="73359ACA">
            <w:pPr>
              <w:jc w:val="left"/>
            </w:pPr>
            <w:r>
              <w:rPr>
                <w:rFonts w:ascii="宋体" w:hAnsi="宋体" w:eastAsia="宋体" w:cs="宋体"/>
                <w:b w:val="0"/>
                <w:i w:val="0"/>
                <w:color w:val="000000"/>
                <w:sz w:val="17"/>
              </w:rPr>
              <w:t>二十二、灾害防治及应急管理支出</w:t>
            </w:r>
          </w:p>
        </w:tc>
        <w:tc>
          <w:tcPr>
            <w:tcW w:w="420" w:type="dxa"/>
            <w:vAlign w:val="center"/>
          </w:tcPr>
          <w:p w14:paraId="75B095B5">
            <w:pPr>
              <w:jc w:val="center"/>
            </w:pPr>
            <w:r>
              <w:rPr>
                <w:rFonts w:ascii="宋体" w:hAnsi="宋体" w:eastAsia="宋体" w:cs="宋体"/>
                <w:b w:val="0"/>
                <w:i w:val="0"/>
                <w:color w:val="000000"/>
                <w:sz w:val="17"/>
              </w:rPr>
              <w:t>54</w:t>
            </w:r>
          </w:p>
        </w:tc>
        <w:tc>
          <w:tcPr>
            <w:tcW w:w="1460" w:type="dxa"/>
            <w:vAlign w:val="center"/>
          </w:tcPr>
          <w:p w14:paraId="1716320B"/>
        </w:tc>
        <w:tc>
          <w:tcPr>
            <w:tcW w:w="1460" w:type="dxa"/>
            <w:vAlign w:val="center"/>
          </w:tcPr>
          <w:p w14:paraId="78E97BE5"/>
        </w:tc>
        <w:tc>
          <w:tcPr>
            <w:tcW w:w="1460" w:type="dxa"/>
            <w:vAlign w:val="center"/>
          </w:tcPr>
          <w:p w14:paraId="118036DE"/>
        </w:tc>
        <w:tc>
          <w:tcPr>
            <w:tcW w:w="1438" w:type="dxa"/>
            <w:vAlign w:val="center"/>
          </w:tcPr>
          <w:p w14:paraId="20066C88"/>
        </w:tc>
      </w:tr>
      <w:tr w14:paraId="705C1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A8DBF8"/>
        </w:tc>
        <w:tc>
          <w:tcPr>
            <w:tcW w:w="420" w:type="dxa"/>
            <w:vAlign w:val="center"/>
          </w:tcPr>
          <w:p w14:paraId="7B8E2BD0">
            <w:pPr>
              <w:jc w:val="center"/>
            </w:pPr>
            <w:r>
              <w:rPr>
                <w:rFonts w:ascii="宋体" w:hAnsi="宋体" w:eastAsia="宋体" w:cs="宋体"/>
                <w:b w:val="0"/>
                <w:i w:val="0"/>
                <w:color w:val="000000"/>
                <w:sz w:val="17"/>
              </w:rPr>
              <w:t>23</w:t>
            </w:r>
          </w:p>
        </w:tc>
        <w:tc>
          <w:tcPr>
            <w:tcW w:w="1480" w:type="dxa"/>
            <w:vAlign w:val="center"/>
          </w:tcPr>
          <w:p w14:paraId="2A186427"/>
        </w:tc>
        <w:tc>
          <w:tcPr>
            <w:tcW w:w="2980" w:type="dxa"/>
            <w:vAlign w:val="center"/>
          </w:tcPr>
          <w:p w14:paraId="4372E9A3">
            <w:pPr>
              <w:jc w:val="left"/>
            </w:pPr>
            <w:r>
              <w:rPr>
                <w:rFonts w:ascii="宋体" w:hAnsi="宋体" w:eastAsia="宋体" w:cs="宋体"/>
                <w:b w:val="0"/>
                <w:i w:val="0"/>
                <w:color w:val="000000"/>
                <w:sz w:val="17"/>
              </w:rPr>
              <w:t>二十三、其他支出</w:t>
            </w:r>
          </w:p>
        </w:tc>
        <w:tc>
          <w:tcPr>
            <w:tcW w:w="420" w:type="dxa"/>
            <w:vAlign w:val="center"/>
          </w:tcPr>
          <w:p w14:paraId="08E10850">
            <w:pPr>
              <w:jc w:val="center"/>
            </w:pPr>
            <w:r>
              <w:rPr>
                <w:rFonts w:ascii="宋体" w:hAnsi="宋体" w:eastAsia="宋体" w:cs="宋体"/>
                <w:b w:val="0"/>
                <w:i w:val="0"/>
                <w:color w:val="000000"/>
                <w:sz w:val="17"/>
              </w:rPr>
              <w:t>55</w:t>
            </w:r>
          </w:p>
        </w:tc>
        <w:tc>
          <w:tcPr>
            <w:tcW w:w="1460" w:type="dxa"/>
            <w:vAlign w:val="center"/>
          </w:tcPr>
          <w:p w14:paraId="6DE79EB8"/>
        </w:tc>
        <w:tc>
          <w:tcPr>
            <w:tcW w:w="1460" w:type="dxa"/>
            <w:vAlign w:val="center"/>
          </w:tcPr>
          <w:p w14:paraId="2BEFBE75"/>
        </w:tc>
        <w:tc>
          <w:tcPr>
            <w:tcW w:w="1460" w:type="dxa"/>
            <w:vAlign w:val="center"/>
          </w:tcPr>
          <w:p w14:paraId="7AFC4C46"/>
        </w:tc>
        <w:tc>
          <w:tcPr>
            <w:tcW w:w="1438" w:type="dxa"/>
            <w:vAlign w:val="center"/>
          </w:tcPr>
          <w:p w14:paraId="489992D2"/>
        </w:tc>
      </w:tr>
      <w:tr w14:paraId="3B47C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B96216"/>
        </w:tc>
        <w:tc>
          <w:tcPr>
            <w:tcW w:w="420" w:type="dxa"/>
            <w:vAlign w:val="center"/>
          </w:tcPr>
          <w:p w14:paraId="1428A979">
            <w:pPr>
              <w:jc w:val="center"/>
            </w:pPr>
            <w:r>
              <w:rPr>
                <w:rFonts w:ascii="宋体" w:hAnsi="宋体" w:eastAsia="宋体" w:cs="宋体"/>
                <w:b w:val="0"/>
                <w:i w:val="0"/>
                <w:color w:val="000000"/>
                <w:sz w:val="17"/>
              </w:rPr>
              <w:t>24</w:t>
            </w:r>
          </w:p>
        </w:tc>
        <w:tc>
          <w:tcPr>
            <w:tcW w:w="1480" w:type="dxa"/>
            <w:vAlign w:val="center"/>
          </w:tcPr>
          <w:p w14:paraId="17FB2707"/>
        </w:tc>
        <w:tc>
          <w:tcPr>
            <w:tcW w:w="2980" w:type="dxa"/>
            <w:vAlign w:val="center"/>
          </w:tcPr>
          <w:p w14:paraId="3D976144">
            <w:pPr>
              <w:jc w:val="left"/>
            </w:pPr>
            <w:r>
              <w:rPr>
                <w:rFonts w:ascii="宋体" w:hAnsi="宋体" w:eastAsia="宋体" w:cs="宋体"/>
                <w:b w:val="0"/>
                <w:i w:val="0"/>
                <w:color w:val="000000"/>
                <w:sz w:val="17"/>
              </w:rPr>
              <w:t>二十四、债务还本支出</w:t>
            </w:r>
          </w:p>
        </w:tc>
        <w:tc>
          <w:tcPr>
            <w:tcW w:w="420" w:type="dxa"/>
            <w:vAlign w:val="center"/>
          </w:tcPr>
          <w:p w14:paraId="038645FD">
            <w:pPr>
              <w:jc w:val="center"/>
            </w:pPr>
            <w:r>
              <w:rPr>
                <w:rFonts w:ascii="宋体" w:hAnsi="宋体" w:eastAsia="宋体" w:cs="宋体"/>
                <w:b w:val="0"/>
                <w:i w:val="0"/>
                <w:color w:val="000000"/>
                <w:sz w:val="17"/>
              </w:rPr>
              <w:t>56</w:t>
            </w:r>
          </w:p>
        </w:tc>
        <w:tc>
          <w:tcPr>
            <w:tcW w:w="1460" w:type="dxa"/>
            <w:vAlign w:val="center"/>
          </w:tcPr>
          <w:p w14:paraId="57095E91"/>
        </w:tc>
        <w:tc>
          <w:tcPr>
            <w:tcW w:w="1460" w:type="dxa"/>
            <w:vAlign w:val="center"/>
          </w:tcPr>
          <w:p w14:paraId="7D08E58B"/>
        </w:tc>
        <w:tc>
          <w:tcPr>
            <w:tcW w:w="1460" w:type="dxa"/>
            <w:vAlign w:val="center"/>
          </w:tcPr>
          <w:p w14:paraId="327E0400"/>
        </w:tc>
        <w:tc>
          <w:tcPr>
            <w:tcW w:w="1438" w:type="dxa"/>
            <w:vAlign w:val="center"/>
          </w:tcPr>
          <w:p w14:paraId="2C8B38D1"/>
        </w:tc>
      </w:tr>
      <w:tr w14:paraId="1B248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FC7683"/>
        </w:tc>
        <w:tc>
          <w:tcPr>
            <w:tcW w:w="420" w:type="dxa"/>
            <w:vAlign w:val="center"/>
          </w:tcPr>
          <w:p w14:paraId="663725B7">
            <w:pPr>
              <w:jc w:val="center"/>
            </w:pPr>
            <w:r>
              <w:rPr>
                <w:rFonts w:ascii="宋体" w:hAnsi="宋体" w:eastAsia="宋体" w:cs="宋体"/>
                <w:b w:val="0"/>
                <w:i w:val="0"/>
                <w:color w:val="000000"/>
                <w:sz w:val="17"/>
              </w:rPr>
              <w:t>25</w:t>
            </w:r>
          </w:p>
        </w:tc>
        <w:tc>
          <w:tcPr>
            <w:tcW w:w="1480" w:type="dxa"/>
            <w:vAlign w:val="center"/>
          </w:tcPr>
          <w:p w14:paraId="4A3EB65F"/>
        </w:tc>
        <w:tc>
          <w:tcPr>
            <w:tcW w:w="2980" w:type="dxa"/>
            <w:vAlign w:val="center"/>
          </w:tcPr>
          <w:p w14:paraId="3BB569DB">
            <w:pPr>
              <w:jc w:val="left"/>
            </w:pPr>
            <w:r>
              <w:rPr>
                <w:rFonts w:ascii="宋体" w:hAnsi="宋体" w:eastAsia="宋体" w:cs="宋体"/>
                <w:b w:val="0"/>
                <w:i w:val="0"/>
                <w:color w:val="000000"/>
                <w:sz w:val="17"/>
              </w:rPr>
              <w:t>二十五、债务付息支出</w:t>
            </w:r>
          </w:p>
        </w:tc>
        <w:tc>
          <w:tcPr>
            <w:tcW w:w="420" w:type="dxa"/>
            <w:vAlign w:val="center"/>
          </w:tcPr>
          <w:p w14:paraId="2F3D3A9C">
            <w:pPr>
              <w:jc w:val="center"/>
            </w:pPr>
            <w:r>
              <w:rPr>
                <w:rFonts w:ascii="宋体" w:hAnsi="宋体" w:eastAsia="宋体" w:cs="宋体"/>
                <w:b w:val="0"/>
                <w:i w:val="0"/>
                <w:color w:val="000000"/>
                <w:sz w:val="17"/>
              </w:rPr>
              <w:t>57</w:t>
            </w:r>
          </w:p>
        </w:tc>
        <w:tc>
          <w:tcPr>
            <w:tcW w:w="1460" w:type="dxa"/>
            <w:vAlign w:val="center"/>
          </w:tcPr>
          <w:p w14:paraId="5898AFEE"/>
        </w:tc>
        <w:tc>
          <w:tcPr>
            <w:tcW w:w="1460" w:type="dxa"/>
            <w:vAlign w:val="center"/>
          </w:tcPr>
          <w:p w14:paraId="63EA7BC8"/>
        </w:tc>
        <w:tc>
          <w:tcPr>
            <w:tcW w:w="1460" w:type="dxa"/>
            <w:vAlign w:val="center"/>
          </w:tcPr>
          <w:p w14:paraId="59B16CCA"/>
        </w:tc>
        <w:tc>
          <w:tcPr>
            <w:tcW w:w="1438" w:type="dxa"/>
            <w:vAlign w:val="center"/>
          </w:tcPr>
          <w:p w14:paraId="451901EF"/>
        </w:tc>
      </w:tr>
      <w:tr w14:paraId="5CAB1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BD9B12"/>
        </w:tc>
        <w:tc>
          <w:tcPr>
            <w:tcW w:w="420" w:type="dxa"/>
            <w:vAlign w:val="center"/>
          </w:tcPr>
          <w:p w14:paraId="327139BA">
            <w:pPr>
              <w:jc w:val="center"/>
            </w:pPr>
            <w:r>
              <w:rPr>
                <w:rFonts w:ascii="宋体" w:hAnsi="宋体" w:eastAsia="宋体" w:cs="宋体"/>
                <w:b w:val="0"/>
                <w:i w:val="0"/>
                <w:color w:val="000000"/>
                <w:sz w:val="17"/>
              </w:rPr>
              <w:t>26</w:t>
            </w:r>
          </w:p>
        </w:tc>
        <w:tc>
          <w:tcPr>
            <w:tcW w:w="1480" w:type="dxa"/>
            <w:vAlign w:val="center"/>
          </w:tcPr>
          <w:p w14:paraId="25DFDF08"/>
        </w:tc>
        <w:tc>
          <w:tcPr>
            <w:tcW w:w="2980" w:type="dxa"/>
            <w:vAlign w:val="center"/>
          </w:tcPr>
          <w:p w14:paraId="5727BB3E">
            <w:pPr>
              <w:jc w:val="left"/>
            </w:pPr>
            <w:r>
              <w:rPr>
                <w:rFonts w:ascii="宋体" w:hAnsi="宋体" w:eastAsia="宋体" w:cs="宋体"/>
                <w:b w:val="0"/>
                <w:i w:val="0"/>
                <w:color w:val="000000"/>
                <w:sz w:val="17"/>
              </w:rPr>
              <w:t>二十六、抗疫特别国债安排的支出</w:t>
            </w:r>
          </w:p>
        </w:tc>
        <w:tc>
          <w:tcPr>
            <w:tcW w:w="420" w:type="dxa"/>
            <w:vAlign w:val="center"/>
          </w:tcPr>
          <w:p w14:paraId="6CC52478">
            <w:pPr>
              <w:jc w:val="center"/>
            </w:pPr>
            <w:r>
              <w:rPr>
                <w:rFonts w:ascii="宋体" w:hAnsi="宋体" w:eastAsia="宋体" w:cs="宋体"/>
                <w:b w:val="0"/>
                <w:i w:val="0"/>
                <w:color w:val="000000"/>
                <w:sz w:val="17"/>
              </w:rPr>
              <w:t>58</w:t>
            </w:r>
          </w:p>
        </w:tc>
        <w:tc>
          <w:tcPr>
            <w:tcW w:w="1460" w:type="dxa"/>
            <w:vAlign w:val="center"/>
          </w:tcPr>
          <w:p w14:paraId="09B335BE"/>
        </w:tc>
        <w:tc>
          <w:tcPr>
            <w:tcW w:w="1460" w:type="dxa"/>
            <w:vAlign w:val="center"/>
          </w:tcPr>
          <w:p w14:paraId="045010DF"/>
        </w:tc>
        <w:tc>
          <w:tcPr>
            <w:tcW w:w="1460" w:type="dxa"/>
            <w:vAlign w:val="center"/>
          </w:tcPr>
          <w:p w14:paraId="56A5EDC6"/>
        </w:tc>
        <w:tc>
          <w:tcPr>
            <w:tcW w:w="1438" w:type="dxa"/>
            <w:vAlign w:val="center"/>
          </w:tcPr>
          <w:p w14:paraId="372796DD"/>
        </w:tc>
      </w:tr>
      <w:tr w14:paraId="05C06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6DB464">
            <w:pPr>
              <w:jc w:val="center"/>
            </w:pPr>
            <w:r>
              <w:rPr>
                <w:rFonts w:ascii="宋体" w:hAnsi="宋体" w:eastAsia="宋体" w:cs="宋体"/>
                <w:b/>
                <w:i w:val="0"/>
                <w:color w:val="000000"/>
                <w:sz w:val="17"/>
              </w:rPr>
              <w:t>本年收入合计</w:t>
            </w:r>
          </w:p>
        </w:tc>
        <w:tc>
          <w:tcPr>
            <w:tcW w:w="420" w:type="dxa"/>
            <w:vAlign w:val="center"/>
          </w:tcPr>
          <w:p w14:paraId="5936E863">
            <w:pPr>
              <w:jc w:val="center"/>
            </w:pPr>
            <w:r>
              <w:rPr>
                <w:rFonts w:ascii="宋体" w:hAnsi="宋体" w:eastAsia="宋体" w:cs="宋体"/>
                <w:b w:val="0"/>
                <w:i w:val="0"/>
                <w:color w:val="000000"/>
                <w:sz w:val="17"/>
              </w:rPr>
              <w:t>27</w:t>
            </w:r>
          </w:p>
        </w:tc>
        <w:tc>
          <w:tcPr>
            <w:tcW w:w="1480" w:type="dxa"/>
            <w:vAlign w:val="center"/>
          </w:tcPr>
          <w:p w14:paraId="77AB2A83">
            <w:pPr>
              <w:jc w:val="right"/>
            </w:pPr>
            <w:r>
              <w:rPr>
                <w:rFonts w:ascii="宋体" w:hAnsi="宋体" w:eastAsia="宋体" w:cs="宋体"/>
                <w:b w:val="0"/>
                <w:i w:val="0"/>
                <w:color w:val="000000"/>
                <w:sz w:val="17"/>
              </w:rPr>
              <w:t>2,345.25</w:t>
            </w:r>
          </w:p>
        </w:tc>
        <w:tc>
          <w:tcPr>
            <w:tcW w:w="2980" w:type="dxa"/>
            <w:vAlign w:val="center"/>
          </w:tcPr>
          <w:p w14:paraId="487CD1F6">
            <w:pPr>
              <w:jc w:val="center"/>
            </w:pPr>
            <w:r>
              <w:rPr>
                <w:rFonts w:ascii="宋体" w:hAnsi="宋体" w:eastAsia="宋体" w:cs="宋体"/>
                <w:b/>
                <w:i w:val="0"/>
                <w:color w:val="000000"/>
                <w:sz w:val="17"/>
              </w:rPr>
              <w:t>本年支出合计</w:t>
            </w:r>
          </w:p>
        </w:tc>
        <w:tc>
          <w:tcPr>
            <w:tcW w:w="420" w:type="dxa"/>
            <w:vAlign w:val="center"/>
          </w:tcPr>
          <w:p w14:paraId="02E7F7B9">
            <w:pPr>
              <w:jc w:val="center"/>
            </w:pPr>
            <w:r>
              <w:rPr>
                <w:rFonts w:ascii="宋体" w:hAnsi="宋体" w:eastAsia="宋体" w:cs="宋体"/>
                <w:b w:val="0"/>
                <w:i w:val="0"/>
                <w:color w:val="000000"/>
                <w:sz w:val="17"/>
              </w:rPr>
              <w:t>59</w:t>
            </w:r>
          </w:p>
        </w:tc>
        <w:tc>
          <w:tcPr>
            <w:tcW w:w="1460" w:type="dxa"/>
            <w:vAlign w:val="center"/>
          </w:tcPr>
          <w:p w14:paraId="0DC0663F">
            <w:pPr>
              <w:jc w:val="right"/>
            </w:pPr>
            <w:r>
              <w:rPr>
                <w:rFonts w:ascii="宋体" w:hAnsi="宋体" w:eastAsia="宋体" w:cs="宋体"/>
                <w:b w:val="0"/>
                <w:i w:val="0"/>
                <w:color w:val="000000"/>
                <w:sz w:val="17"/>
              </w:rPr>
              <w:t>2,345.25</w:t>
            </w:r>
          </w:p>
        </w:tc>
        <w:tc>
          <w:tcPr>
            <w:tcW w:w="1460" w:type="dxa"/>
            <w:vAlign w:val="center"/>
          </w:tcPr>
          <w:p w14:paraId="1FD50B9A">
            <w:pPr>
              <w:jc w:val="right"/>
            </w:pPr>
            <w:r>
              <w:rPr>
                <w:rFonts w:ascii="宋体" w:hAnsi="宋体" w:eastAsia="宋体" w:cs="宋体"/>
                <w:b w:val="0"/>
                <w:i w:val="0"/>
                <w:color w:val="000000"/>
                <w:sz w:val="17"/>
              </w:rPr>
              <w:t>2,338.24</w:t>
            </w:r>
          </w:p>
        </w:tc>
        <w:tc>
          <w:tcPr>
            <w:tcW w:w="1460" w:type="dxa"/>
            <w:vAlign w:val="center"/>
          </w:tcPr>
          <w:p w14:paraId="659F7A6F">
            <w:pPr>
              <w:jc w:val="right"/>
            </w:pPr>
            <w:r>
              <w:rPr>
                <w:rFonts w:ascii="宋体" w:hAnsi="宋体" w:eastAsia="宋体" w:cs="宋体"/>
                <w:b w:val="0"/>
                <w:i w:val="0"/>
                <w:color w:val="000000"/>
                <w:sz w:val="17"/>
              </w:rPr>
              <w:t>7.01</w:t>
            </w:r>
          </w:p>
        </w:tc>
        <w:tc>
          <w:tcPr>
            <w:tcW w:w="1438" w:type="dxa"/>
            <w:vAlign w:val="center"/>
          </w:tcPr>
          <w:p w14:paraId="56B20955"/>
        </w:tc>
      </w:tr>
      <w:tr w14:paraId="51E43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DF64A4">
            <w:pPr>
              <w:jc w:val="left"/>
            </w:pPr>
            <w:r>
              <w:rPr>
                <w:rFonts w:ascii="宋体" w:hAnsi="宋体" w:eastAsia="宋体" w:cs="宋体"/>
                <w:b w:val="0"/>
                <w:i w:val="0"/>
                <w:color w:val="000000"/>
                <w:sz w:val="17"/>
              </w:rPr>
              <w:t>年初财政拨款结转和结余</w:t>
            </w:r>
          </w:p>
        </w:tc>
        <w:tc>
          <w:tcPr>
            <w:tcW w:w="420" w:type="dxa"/>
            <w:vAlign w:val="center"/>
          </w:tcPr>
          <w:p w14:paraId="4BAB6426">
            <w:pPr>
              <w:jc w:val="center"/>
            </w:pPr>
            <w:r>
              <w:rPr>
                <w:rFonts w:ascii="宋体" w:hAnsi="宋体" w:eastAsia="宋体" w:cs="宋体"/>
                <w:b w:val="0"/>
                <w:i w:val="0"/>
                <w:color w:val="000000"/>
                <w:sz w:val="17"/>
              </w:rPr>
              <w:t>28</w:t>
            </w:r>
          </w:p>
        </w:tc>
        <w:tc>
          <w:tcPr>
            <w:tcW w:w="1480" w:type="dxa"/>
            <w:vAlign w:val="center"/>
          </w:tcPr>
          <w:p w14:paraId="768D9477"/>
        </w:tc>
        <w:tc>
          <w:tcPr>
            <w:tcW w:w="2980" w:type="dxa"/>
            <w:vAlign w:val="center"/>
          </w:tcPr>
          <w:p w14:paraId="51A323F4">
            <w:pPr>
              <w:jc w:val="left"/>
            </w:pPr>
            <w:r>
              <w:rPr>
                <w:rFonts w:ascii="宋体" w:hAnsi="宋体" w:eastAsia="宋体" w:cs="宋体"/>
                <w:b w:val="0"/>
                <w:i w:val="0"/>
                <w:color w:val="000000"/>
                <w:sz w:val="17"/>
              </w:rPr>
              <w:t>年末财政拨款结转和结余</w:t>
            </w:r>
          </w:p>
        </w:tc>
        <w:tc>
          <w:tcPr>
            <w:tcW w:w="420" w:type="dxa"/>
            <w:vAlign w:val="center"/>
          </w:tcPr>
          <w:p w14:paraId="5B255028">
            <w:pPr>
              <w:jc w:val="center"/>
            </w:pPr>
            <w:r>
              <w:rPr>
                <w:rFonts w:ascii="宋体" w:hAnsi="宋体" w:eastAsia="宋体" w:cs="宋体"/>
                <w:b w:val="0"/>
                <w:i w:val="0"/>
                <w:color w:val="000000"/>
                <w:sz w:val="17"/>
              </w:rPr>
              <w:t>60</w:t>
            </w:r>
          </w:p>
        </w:tc>
        <w:tc>
          <w:tcPr>
            <w:tcW w:w="1460" w:type="dxa"/>
            <w:vAlign w:val="center"/>
          </w:tcPr>
          <w:p w14:paraId="7DEFDD49"/>
        </w:tc>
        <w:tc>
          <w:tcPr>
            <w:tcW w:w="1460" w:type="dxa"/>
            <w:vAlign w:val="center"/>
          </w:tcPr>
          <w:p w14:paraId="509DFBFB"/>
        </w:tc>
        <w:tc>
          <w:tcPr>
            <w:tcW w:w="1460" w:type="dxa"/>
            <w:vAlign w:val="center"/>
          </w:tcPr>
          <w:p w14:paraId="2F1C947D"/>
        </w:tc>
        <w:tc>
          <w:tcPr>
            <w:tcW w:w="1438" w:type="dxa"/>
            <w:vAlign w:val="center"/>
          </w:tcPr>
          <w:p w14:paraId="2BAF9D05"/>
        </w:tc>
      </w:tr>
      <w:tr w14:paraId="7772F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6A4CFE">
            <w:pPr>
              <w:jc w:val="left"/>
            </w:pPr>
            <w:r>
              <w:rPr>
                <w:rFonts w:ascii="宋体" w:hAnsi="宋体" w:eastAsia="宋体" w:cs="宋体"/>
                <w:b w:val="0"/>
                <w:i w:val="0"/>
                <w:color w:val="000000"/>
                <w:sz w:val="17"/>
              </w:rPr>
              <w:t>一、一般公共预算财政拨款</w:t>
            </w:r>
          </w:p>
        </w:tc>
        <w:tc>
          <w:tcPr>
            <w:tcW w:w="420" w:type="dxa"/>
            <w:vAlign w:val="center"/>
          </w:tcPr>
          <w:p w14:paraId="4E23A7DF">
            <w:pPr>
              <w:jc w:val="center"/>
            </w:pPr>
            <w:r>
              <w:rPr>
                <w:rFonts w:ascii="宋体" w:hAnsi="宋体" w:eastAsia="宋体" w:cs="宋体"/>
                <w:b w:val="0"/>
                <w:i w:val="0"/>
                <w:color w:val="000000"/>
                <w:sz w:val="17"/>
              </w:rPr>
              <w:t>29</w:t>
            </w:r>
          </w:p>
        </w:tc>
        <w:tc>
          <w:tcPr>
            <w:tcW w:w="1480" w:type="dxa"/>
            <w:vAlign w:val="center"/>
          </w:tcPr>
          <w:p w14:paraId="31AEEDF1"/>
        </w:tc>
        <w:tc>
          <w:tcPr>
            <w:tcW w:w="2980" w:type="dxa"/>
            <w:vAlign w:val="center"/>
          </w:tcPr>
          <w:p w14:paraId="33491E6D"/>
        </w:tc>
        <w:tc>
          <w:tcPr>
            <w:tcW w:w="420" w:type="dxa"/>
            <w:vAlign w:val="center"/>
          </w:tcPr>
          <w:p w14:paraId="2F5E45F1">
            <w:pPr>
              <w:jc w:val="center"/>
            </w:pPr>
            <w:r>
              <w:rPr>
                <w:rFonts w:ascii="宋体" w:hAnsi="宋体" w:eastAsia="宋体" w:cs="宋体"/>
                <w:b w:val="0"/>
                <w:i w:val="0"/>
                <w:color w:val="000000"/>
                <w:sz w:val="17"/>
              </w:rPr>
              <w:t>61</w:t>
            </w:r>
          </w:p>
        </w:tc>
        <w:tc>
          <w:tcPr>
            <w:tcW w:w="1460" w:type="dxa"/>
            <w:vAlign w:val="center"/>
          </w:tcPr>
          <w:p w14:paraId="6F8553B2"/>
        </w:tc>
        <w:tc>
          <w:tcPr>
            <w:tcW w:w="1460" w:type="dxa"/>
            <w:vAlign w:val="center"/>
          </w:tcPr>
          <w:p w14:paraId="28DBE140"/>
        </w:tc>
        <w:tc>
          <w:tcPr>
            <w:tcW w:w="1460" w:type="dxa"/>
            <w:vAlign w:val="center"/>
          </w:tcPr>
          <w:p w14:paraId="7AC9833B"/>
        </w:tc>
        <w:tc>
          <w:tcPr>
            <w:tcW w:w="1438" w:type="dxa"/>
            <w:vAlign w:val="center"/>
          </w:tcPr>
          <w:p w14:paraId="0306C492"/>
        </w:tc>
      </w:tr>
      <w:tr w14:paraId="53601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86051E">
            <w:pPr>
              <w:jc w:val="left"/>
            </w:pPr>
            <w:r>
              <w:rPr>
                <w:rFonts w:ascii="宋体" w:hAnsi="宋体" w:eastAsia="宋体" w:cs="宋体"/>
                <w:b w:val="0"/>
                <w:i w:val="0"/>
                <w:color w:val="000000"/>
                <w:sz w:val="17"/>
              </w:rPr>
              <w:t>二、政府性基金预算财政拨款</w:t>
            </w:r>
          </w:p>
        </w:tc>
        <w:tc>
          <w:tcPr>
            <w:tcW w:w="420" w:type="dxa"/>
            <w:vAlign w:val="center"/>
          </w:tcPr>
          <w:p w14:paraId="45B31B13">
            <w:pPr>
              <w:jc w:val="center"/>
            </w:pPr>
            <w:r>
              <w:rPr>
                <w:rFonts w:ascii="宋体" w:hAnsi="宋体" w:eastAsia="宋体" w:cs="宋体"/>
                <w:b w:val="0"/>
                <w:i w:val="0"/>
                <w:color w:val="000000"/>
                <w:sz w:val="17"/>
              </w:rPr>
              <w:t>30</w:t>
            </w:r>
          </w:p>
        </w:tc>
        <w:tc>
          <w:tcPr>
            <w:tcW w:w="1480" w:type="dxa"/>
            <w:vAlign w:val="center"/>
          </w:tcPr>
          <w:p w14:paraId="49218A56"/>
        </w:tc>
        <w:tc>
          <w:tcPr>
            <w:tcW w:w="2980" w:type="dxa"/>
            <w:vAlign w:val="center"/>
          </w:tcPr>
          <w:p w14:paraId="446DF483"/>
        </w:tc>
        <w:tc>
          <w:tcPr>
            <w:tcW w:w="420" w:type="dxa"/>
            <w:vAlign w:val="center"/>
          </w:tcPr>
          <w:p w14:paraId="035B5FF6">
            <w:pPr>
              <w:jc w:val="center"/>
            </w:pPr>
            <w:r>
              <w:rPr>
                <w:rFonts w:ascii="宋体" w:hAnsi="宋体" w:eastAsia="宋体" w:cs="宋体"/>
                <w:b w:val="0"/>
                <w:i w:val="0"/>
                <w:color w:val="000000"/>
                <w:sz w:val="17"/>
              </w:rPr>
              <w:t>62</w:t>
            </w:r>
          </w:p>
        </w:tc>
        <w:tc>
          <w:tcPr>
            <w:tcW w:w="1460" w:type="dxa"/>
            <w:vAlign w:val="center"/>
          </w:tcPr>
          <w:p w14:paraId="05B51602"/>
        </w:tc>
        <w:tc>
          <w:tcPr>
            <w:tcW w:w="1460" w:type="dxa"/>
            <w:vAlign w:val="center"/>
          </w:tcPr>
          <w:p w14:paraId="40B4EA53"/>
        </w:tc>
        <w:tc>
          <w:tcPr>
            <w:tcW w:w="1460" w:type="dxa"/>
            <w:vAlign w:val="center"/>
          </w:tcPr>
          <w:p w14:paraId="01845CC9"/>
        </w:tc>
        <w:tc>
          <w:tcPr>
            <w:tcW w:w="1438" w:type="dxa"/>
            <w:vAlign w:val="center"/>
          </w:tcPr>
          <w:p w14:paraId="7FDD0331"/>
        </w:tc>
      </w:tr>
      <w:tr w14:paraId="5FA2E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F3F0616">
            <w:pPr>
              <w:jc w:val="left"/>
            </w:pPr>
            <w:r>
              <w:rPr>
                <w:rFonts w:ascii="宋体" w:hAnsi="宋体" w:eastAsia="宋体" w:cs="宋体"/>
                <w:b w:val="0"/>
                <w:i w:val="0"/>
                <w:color w:val="000000"/>
                <w:sz w:val="17"/>
              </w:rPr>
              <w:t>三、国有资本经营预算财政拨款</w:t>
            </w:r>
          </w:p>
        </w:tc>
        <w:tc>
          <w:tcPr>
            <w:tcW w:w="420" w:type="dxa"/>
            <w:vAlign w:val="center"/>
          </w:tcPr>
          <w:p w14:paraId="39A37D34">
            <w:pPr>
              <w:jc w:val="center"/>
            </w:pPr>
            <w:r>
              <w:rPr>
                <w:rFonts w:ascii="宋体" w:hAnsi="宋体" w:eastAsia="宋体" w:cs="宋体"/>
                <w:b w:val="0"/>
                <w:i w:val="0"/>
                <w:color w:val="000000"/>
                <w:sz w:val="17"/>
              </w:rPr>
              <w:t>31</w:t>
            </w:r>
          </w:p>
        </w:tc>
        <w:tc>
          <w:tcPr>
            <w:tcW w:w="1480" w:type="dxa"/>
            <w:vAlign w:val="center"/>
          </w:tcPr>
          <w:p w14:paraId="792A25AF"/>
        </w:tc>
        <w:tc>
          <w:tcPr>
            <w:tcW w:w="2980" w:type="dxa"/>
            <w:vAlign w:val="center"/>
          </w:tcPr>
          <w:p w14:paraId="617AAD42"/>
        </w:tc>
        <w:tc>
          <w:tcPr>
            <w:tcW w:w="420" w:type="dxa"/>
            <w:vAlign w:val="center"/>
          </w:tcPr>
          <w:p w14:paraId="2959BC8D">
            <w:pPr>
              <w:jc w:val="center"/>
            </w:pPr>
            <w:r>
              <w:rPr>
                <w:rFonts w:ascii="宋体" w:hAnsi="宋体" w:eastAsia="宋体" w:cs="宋体"/>
                <w:b w:val="0"/>
                <w:i w:val="0"/>
                <w:color w:val="000000"/>
                <w:sz w:val="17"/>
              </w:rPr>
              <w:t>63</w:t>
            </w:r>
          </w:p>
        </w:tc>
        <w:tc>
          <w:tcPr>
            <w:tcW w:w="1460" w:type="dxa"/>
            <w:vAlign w:val="center"/>
          </w:tcPr>
          <w:p w14:paraId="5536D0FD"/>
        </w:tc>
        <w:tc>
          <w:tcPr>
            <w:tcW w:w="1460" w:type="dxa"/>
            <w:vAlign w:val="center"/>
          </w:tcPr>
          <w:p w14:paraId="68E9A055"/>
        </w:tc>
        <w:tc>
          <w:tcPr>
            <w:tcW w:w="1460" w:type="dxa"/>
            <w:vAlign w:val="center"/>
          </w:tcPr>
          <w:p w14:paraId="387AD4B4"/>
        </w:tc>
        <w:tc>
          <w:tcPr>
            <w:tcW w:w="1438" w:type="dxa"/>
            <w:vAlign w:val="center"/>
          </w:tcPr>
          <w:p w14:paraId="13197EA3"/>
        </w:tc>
      </w:tr>
      <w:tr w14:paraId="4DD57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3C1C71D">
            <w:pPr>
              <w:jc w:val="center"/>
            </w:pPr>
            <w:r>
              <w:rPr>
                <w:rFonts w:ascii="宋体" w:hAnsi="宋体" w:eastAsia="宋体" w:cs="宋体"/>
                <w:b/>
                <w:i w:val="0"/>
                <w:color w:val="000000"/>
                <w:sz w:val="17"/>
              </w:rPr>
              <w:t>总计</w:t>
            </w:r>
          </w:p>
        </w:tc>
        <w:tc>
          <w:tcPr>
            <w:tcW w:w="420" w:type="dxa"/>
            <w:vAlign w:val="center"/>
          </w:tcPr>
          <w:p w14:paraId="4AE70B97">
            <w:pPr>
              <w:jc w:val="center"/>
            </w:pPr>
            <w:r>
              <w:rPr>
                <w:rFonts w:ascii="宋体" w:hAnsi="宋体" w:eastAsia="宋体" w:cs="宋体"/>
                <w:b w:val="0"/>
                <w:i w:val="0"/>
                <w:color w:val="000000"/>
                <w:sz w:val="17"/>
              </w:rPr>
              <w:t>32</w:t>
            </w:r>
          </w:p>
        </w:tc>
        <w:tc>
          <w:tcPr>
            <w:tcW w:w="1480" w:type="dxa"/>
            <w:vAlign w:val="center"/>
          </w:tcPr>
          <w:p w14:paraId="043EF899">
            <w:pPr>
              <w:jc w:val="right"/>
            </w:pPr>
            <w:r>
              <w:rPr>
                <w:rFonts w:ascii="宋体" w:hAnsi="宋体" w:eastAsia="宋体" w:cs="宋体"/>
                <w:b w:val="0"/>
                <w:i w:val="0"/>
                <w:color w:val="000000"/>
                <w:sz w:val="17"/>
              </w:rPr>
              <w:t>2,345.25</w:t>
            </w:r>
          </w:p>
        </w:tc>
        <w:tc>
          <w:tcPr>
            <w:tcW w:w="2980" w:type="dxa"/>
            <w:vAlign w:val="center"/>
          </w:tcPr>
          <w:p w14:paraId="3BBB8C7D">
            <w:pPr>
              <w:jc w:val="center"/>
            </w:pPr>
            <w:r>
              <w:rPr>
                <w:rFonts w:ascii="宋体" w:hAnsi="宋体" w:eastAsia="宋体" w:cs="宋体"/>
                <w:b/>
                <w:i w:val="0"/>
                <w:color w:val="000000"/>
                <w:sz w:val="17"/>
              </w:rPr>
              <w:t>总计</w:t>
            </w:r>
          </w:p>
        </w:tc>
        <w:tc>
          <w:tcPr>
            <w:tcW w:w="420" w:type="dxa"/>
            <w:vAlign w:val="center"/>
          </w:tcPr>
          <w:p w14:paraId="6E845263">
            <w:pPr>
              <w:jc w:val="center"/>
            </w:pPr>
            <w:r>
              <w:rPr>
                <w:rFonts w:ascii="宋体" w:hAnsi="宋体" w:eastAsia="宋体" w:cs="宋体"/>
                <w:b w:val="0"/>
                <w:i w:val="0"/>
                <w:color w:val="000000"/>
                <w:sz w:val="17"/>
              </w:rPr>
              <w:t>64</w:t>
            </w:r>
          </w:p>
        </w:tc>
        <w:tc>
          <w:tcPr>
            <w:tcW w:w="1460" w:type="dxa"/>
            <w:vAlign w:val="center"/>
          </w:tcPr>
          <w:p w14:paraId="6E66D3EC">
            <w:pPr>
              <w:jc w:val="right"/>
            </w:pPr>
            <w:r>
              <w:rPr>
                <w:rFonts w:ascii="宋体" w:hAnsi="宋体" w:eastAsia="宋体" w:cs="宋体"/>
                <w:b w:val="0"/>
                <w:i w:val="0"/>
                <w:color w:val="000000"/>
                <w:sz w:val="17"/>
              </w:rPr>
              <w:t>2,345.25</w:t>
            </w:r>
          </w:p>
        </w:tc>
        <w:tc>
          <w:tcPr>
            <w:tcW w:w="1460" w:type="dxa"/>
            <w:vAlign w:val="center"/>
          </w:tcPr>
          <w:p w14:paraId="411EDC37">
            <w:pPr>
              <w:jc w:val="right"/>
            </w:pPr>
            <w:r>
              <w:rPr>
                <w:rFonts w:ascii="宋体" w:hAnsi="宋体" w:eastAsia="宋体" w:cs="宋体"/>
                <w:b w:val="0"/>
                <w:i w:val="0"/>
                <w:color w:val="000000"/>
                <w:sz w:val="17"/>
              </w:rPr>
              <w:t>2,338.24</w:t>
            </w:r>
          </w:p>
        </w:tc>
        <w:tc>
          <w:tcPr>
            <w:tcW w:w="1460" w:type="dxa"/>
            <w:vAlign w:val="center"/>
          </w:tcPr>
          <w:p w14:paraId="489D5D47">
            <w:pPr>
              <w:jc w:val="right"/>
            </w:pPr>
            <w:r>
              <w:rPr>
                <w:rFonts w:ascii="宋体" w:hAnsi="宋体" w:eastAsia="宋体" w:cs="宋体"/>
                <w:b w:val="0"/>
                <w:i w:val="0"/>
                <w:color w:val="000000"/>
                <w:sz w:val="17"/>
              </w:rPr>
              <w:t>7.01</w:t>
            </w:r>
          </w:p>
        </w:tc>
        <w:tc>
          <w:tcPr>
            <w:tcW w:w="1438" w:type="dxa"/>
            <w:vAlign w:val="center"/>
          </w:tcPr>
          <w:p w14:paraId="376CBE96"/>
        </w:tc>
      </w:tr>
      <w:tr w14:paraId="4FA29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A20E1E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4C44BA7">
      <w:pPr>
        <w:snapToGrid w:val="0"/>
        <w:spacing w:before="200" w:after="200" w:line="200" w:lineRule="auto"/>
      </w:pPr>
      <w:r>
        <w:rPr>
          <w:sz w:val="8"/>
        </w:rPr>
        <w:t xml:space="preserve"> </w:t>
      </w:r>
    </w:p>
    <w:p w14:paraId="2E29A961">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3AC538A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EC9E7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DA4BB11">
            <w:pPr>
              <w:jc w:val="right"/>
            </w:pPr>
            <w:r>
              <w:rPr>
                <w:rFonts w:ascii="宋体" w:hAnsi="宋体" w:eastAsia="宋体" w:cs="宋体"/>
                <w:sz w:val="20"/>
              </w:rPr>
              <w:t>公开05表</w:t>
            </w:r>
          </w:p>
        </w:tc>
      </w:tr>
      <w:tr w14:paraId="329805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AD249B">
            <w:pPr>
              <w:jc w:val="left"/>
            </w:pPr>
            <w:r>
              <w:rPr>
                <w:rFonts w:ascii="宋体" w:hAnsi="宋体" w:eastAsia="宋体" w:cs="宋体"/>
                <w:sz w:val="20"/>
              </w:rPr>
              <w:t>部门：浮梁县市场监督管理局</w:t>
            </w:r>
          </w:p>
        </w:tc>
        <w:tc>
          <w:tcPr>
            <w:tcW w:w="2000" w:type="dxa"/>
          </w:tcPr>
          <w:p w14:paraId="5F530FB2">
            <w:pPr>
              <w:jc w:val="center"/>
            </w:pPr>
            <w:r>
              <w:rPr>
                <w:rFonts w:ascii="宋体" w:hAnsi="宋体" w:eastAsia="宋体" w:cs="宋体"/>
                <w:sz w:val="20"/>
              </w:rPr>
              <w:t>2023年度</w:t>
            </w:r>
          </w:p>
        </w:tc>
        <w:tc>
          <w:tcPr>
            <w:tcW w:w="3153" w:type="dxa"/>
          </w:tcPr>
          <w:p w14:paraId="1B9A306B">
            <w:pPr>
              <w:jc w:val="right"/>
            </w:pPr>
            <w:r>
              <w:rPr>
                <w:rFonts w:ascii="宋体" w:hAnsi="宋体" w:eastAsia="宋体" w:cs="宋体"/>
                <w:sz w:val="20"/>
              </w:rPr>
              <w:t>金额单位：万元</w:t>
            </w:r>
          </w:p>
        </w:tc>
      </w:tr>
    </w:tbl>
    <w:p w14:paraId="13C17BF5">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2795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7EF5AFA">
            <w:pPr>
              <w:jc w:val="center"/>
            </w:pPr>
            <w:r>
              <w:rPr>
                <w:rFonts w:ascii="宋体" w:hAnsi="宋体" w:eastAsia="宋体" w:cs="宋体"/>
                <w:b w:val="0"/>
                <w:i w:val="0"/>
                <w:color w:val="000000"/>
                <w:sz w:val="16"/>
              </w:rPr>
              <w:t>项    目</w:t>
            </w:r>
          </w:p>
        </w:tc>
        <w:tc>
          <w:tcPr>
            <w:tcW w:w="1420" w:type="dxa"/>
            <w:vMerge w:val="restart"/>
            <w:vAlign w:val="center"/>
          </w:tcPr>
          <w:p w14:paraId="64038004">
            <w:pPr>
              <w:jc w:val="center"/>
            </w:pPr>
            <w:r>
              <w:rPr>
                <w:rFonts w:ascii="宋体" w:hAnsi="宋体" w:eastAsia="宋体" w:cs="宋体"/>
                <w:b w:val="0"/>
                <w:i w:val="0"/>
                <w:color w:val="000000"/>
                <w:sz w:val="16"/>
              </w:rPr>
              <w:t>本年支出合计</w:t>
            </w:r>
          </w:p>
        </w:tc>
        <w:tc>
          <w:tcPr>
            <w:tcW w:w="1520" w:type="dxa"/>
            <w:vMerge w:val="restart"/>
            <w:vAlign w:val="center"/>
          </w:tcPr>
          <w:p w14:paraId="09171752">
            <w:pPr>
              <w:jc w:val="center"/>
            </w:pPr>
            <w:r>
              <w:rPr>
                <w:rFonts w:ascii="宋体" w:hAnsi="宋体" w:eastAsia="宋体" w:cs="宋体"/>
                <w:b w:val="0"/>
                <w:i w:val="0"/>
                <w:color w:val="000000"/>
                <w:sz w:val="16"/>
              </w:rPr>
              <w:t>基本支出</w:t>
            </w:r>
          </w:p>
        </w:tc>
        <w:tc>
          <w:tcPr>
            <w:tcW w:w="1526" w:type="dxa"/>
            <w:vMerge w:val="restart"/>
            <w:vAlign w:val="center"/>
          </w:tcPr>
          <w:p w14:paraId="7C94F0A6">
            <w:pPr>
              <w:jc w:val="center"/>
            </w:pPr>
            <w:r>
              <w:rPr>
                <w:rFonts w:ascii="宋体" w:hAnsi="宋体" w:eastAsia="宋体" w:cs="宋体"/>
                <w:b w:val="0"/>
                <w:i w:val="0"/>
                <w:color w:val="000000"/>
                <w:sz w:val="16"/>
              </w:rPr>
              <w:t>项目支出</w:t>
            </w:r>
          </w:p>
        </w:tc>
      </w:tr>
      <w:tr w14:paraId="7F57B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30167C0">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50DB038">
            <w:pPr>
              <w:jc w:val="center"/>
            </w:pPr>
            <w:r>
              <w:rPr>
                <w:rFonts w:ascii="宋体" w:hAnsi="宋体" w:eastAsia="宋体" w:cs="宋体"/>
                <w:b w:val="0"/>
                <w:i w:val="0"/>
                <w:color w:val="000000"/>
                <w:sz w:val="16"/>
              </w:rPr>
              <w:t>科目名称</w:t>
            </w:r>
          </w:p>
        </w:tc>
        <w:tc>
          <w:tcPr>
            <w:tcW w:w="1420" w:type="dxa"/>
            <w:vMerge w:val="continue"/>
            <w:vAlign w:val="center"/>
          </w:tcPr>
          <w:p w14:paraId="0586EA76"/>
        </w:tc>
        <w:tc>
          <w:tcPr>
            <w:tcW w:w="1520" w:type="dxa"/>
            <w:vMerge w:val="continue"/>
            <w:vAlign w:val="center"/>
          </w:tcPr>
          <w:p w14:paraId="5F2CA74E"/>
        </w:tc>
        <w:tc>
          <w:tcPr>
            <w:tcW w:w="1526" w:type="dxa"/>
            <w:vMerge w:val="continue"/>
            <w:vAlign w:val="center"/>
          </w:tcPr>
          <w:p w14:paraId="1A0973A7"/>
        </w:tc>
      </w:tr>
      <w:tr w14:paraId="3C918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A15C223"/>
        </w:tc>
        <w:tc>
          <w:tcPr>
            <w:tcW w:w="2700" w:type="dxa"/>
            <w:vMerge w:val="continue"/>
            <w:vAlign w:val="center"/>
          </w:tcPr>
          <w:p w14:paraId="484F55B6"/>
        </w:tc>
        <w:tc>
          <w:tcPr>
            <w:tcW w:w="1420" w:type="dxa"/>
            <w:vMerge w:val="continue"/>
            <w:vAlign w:val="center"/>
          </w:tcPr>
          <w:p w14:paraId="75F3D988"/>
        </w:tc>
        <w:tc>
          <w:tcPr>
            <w:tcW w:w="1520" w:type="dxa"/>
            <w:vMerge w:val="continue"/>
            <w:vAlign w:val="center"/>
          </w:tcPr>
          <w:p w14:paraId="7E027BEA"/>
        </w:tc>
        <w:tc>
          <w:tcPr>
            <w:tcW w:w="1526" w:type="dxa"/>
            <w:vMerge w:val="continue"/>
            <w:vAlign w:val="center"/>
          </w:tcPr>
          <w:p w14:paraId="5B23D408"/>
        </w:tc>
      </w:tr>
      <w:tr w14:paraId="4A436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612894E"/>
        </w:tc>
        <w:tc>
          <w:tcPr>
            <w:tcW w:w="2700" w:type="dxa"/>
            <w:vMerge w:val="continue"/>
            <w:vAlign w:val="center"/>
          </w:tcPr>
          <w:p w14:paraId="019FA400"/>
        </w:tc>
        <w:tc>
          <w:tcPr>
            <w:tcW w:w="1420" w:type="dxa"/>
            <w:vMerge w:val="continue"/>
            <w:vAlign w:val="center"/>
          </w:tcPr>
          <w:p w14:paraId="2978D122"/>
        </w:tc>
        <w:tc>
          <w:tcPr>
            <w:tcW w:w="1520" w:type="dxa"/>
            <w:vMerge w:val="continue"/>
            <w:vAlign w:val="center"/>
          </w:tcPr>
          <w:p w14:paraId="51A23984"/>
        </w:tc>
        <w:tc>
          <w:tcPr>
            <w:tcW w:w="1526" w:type="dxa"/>
            <w:vMerge w:val="continue"/>
            <w:vAlign w:val="center"/>
          </w:tcPr>
          <w:p w14:paraId="25455810"/>
        </w:tc>
      </w:tr>
      <w:tr w14:paraId="1743F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2A6084C9">
            <w:pPr>
              <w:jc w:val="center"/>
            </w:pPr>
            <w:r>
              <w:rPr>
                <w:rFonts w:ascii="宋体" w:hAnsi="宋体" w:eastAsia="宋体" w:cs="宋体"/>
                <w:b w:val="0"/>
                <w:i w:val="0"/>
                <w:color w:val="000000"/>
                <w:sz w:val="16"/>
              </w:rPr>
              <w:t>类</w:t>
            </w:r>
          </w:p>
        </w:tc>
        <w:tc>
          <w:tcPr>
            <w:tcW w:w="400" w:type="dxa"/>
            <w:vMerge w:val="restart"/>
            <w:vAlign w:val="center"/>
          </w:tcPr>
          <w:p w14:paraId="6CAE88D0">
            <w:pPr>
              <w:jc w:val="center"/>
            </w:pPr>
            <w:r>
              <w:rPr>
                <w:rFonts w:ascii="宋体" w:hAnsi="宋体" w:eastAsia="宋体" w:cs="宋体"/>
                <w:b w:val="0"/>
                <w:i w:val="0"/>
                <w:color w:val="000000"/>
                <w:sz w:val="16"/>
              </w:rPr>
              <w:t>款</w:t>
            </w:r>
          </w:p>
        </w:tc>
        <w:tc>
          <w:tcPr>
            <w:tcW w:w="380" w:type="dxa"/>
            <w:vMerge w:val="restart"/>
            <w:vAlign w:val="center"/>
          </w:tcPr>
          <w:p w14:paraId="12E3892F">
            <w:pPr>
              <w:jc w:val="center"/>
            </w:pPr>
            <w:r>
              <w:rPr>
                <w:rFonts w:ascii="宋体" w:hAnsi="宋体" w:eastAsia="宋体" w:cs="宋体"/>
                <w:b w:val="0"/>
                <w:i w:val="0"/>
                <w:color w:val="000000"/>
                <w:sz w:val="16"/>
              </w:rPr>
              <w:t>项</w:t>
            </w:r>
          </w:p>
        </w:tc>
        <w:tc>
          <w:tcPr>
            <w:tcW w:w="2700" w:type="dxa"/>
            <w:vAlign w:val="center"/>
          </w:tcPr>
          <w:p w14:paraId="572670DC">
            <w:pPr>
              <w:jc w:val="center"/>
            </w:pPr>
            <w:r>
              <w:rPr>
                <w:rFonts w:ascii="宋体" w:hAnsi="宋体" w:eastAsia="宋体" w:cs="宋体"/>
                <w:b w:val="0"/>
                <w:i w:val="0"/>
                <w:color w:val="000000"/>
                <w:sz w:val="16"/>
              </w:rPr>
              <w:t>栏次</w:t>
            </w:r>
          </w:p>
        </w:tc>
        <w:tc>
          <w:tcPr>
            <w:tcW w:w="1420" w:type="dxa"/>
            <w:vAlign w:val="center"/>
          </w:tcPr>
          <w:p w14:paraId="5F9ECC49">
            <w:pPr>
              <w:jc w:val="center"/>
            </w:pPr>
            <w:r>
              <w:rPr>
                <w:rFonts w:ascii="宋体" w:hAnsi="宋体" w:eastAsia="宋体" w:cs="宋体"/>
                <w:b w:val="0"/>
                <w:i w:val="0"/>
                <w:color w:val="000000"/>
                <w:sz w:val="16"/>
              </w:rPr>
              <w:t>1</w:t>
            </w:r>
          </w:p>
        </w:tc>
        <w:tc>
          <w:tcPr>
            <w:tcW w:w="1520" w:type="dxa"/>
            <w:vAlign w:val="center"/>
          </w:tcPr>
          <w:p w14:paraId="75AE4D2B">
            <w:pPr>
              <w:jc w:val="center"/>
            </w:pPr>
            <w:r>
              <w:rPr>
                <w:rFonts w:ascii="宋体" w:hAnsi="宋体" w:eastAsia="宋体" w:cs="宋体"/>
                <w:b w:val="0"/>
                <w:i w:val="0"/>
                <w:color w:val="000000"/>
                <w:sz w:val="16"/>
              </w:rPr>
              <w:t>2</w:t>
            </w:r>
          </w:p>
        </w:tc>
        <w:tc>
          <w:tcPr>
            <w:tcW w:w="1526" w:type="dxa"/>
            <w:vAlign w:val="center"/>
          </w:tcPr>
          <w:p w14:paraId="772F6F53">
            <w:pPr>
              <w:jc w:val="center"/>
            </w:pPr>
            <w:r>
              <w:rPr>
                <w:rFonts w:ascii="宋体" w:hAnsi="宋体" w:eastAsia="宋体" w:cs="宋体"/>
                <w:b w:val="0"/>
                <w:i w:val="0"/>
                <w:color w:val="000000"/>
                <w:sz w:val="16"/>
              </w:rPr>
              <w:t>3</w:t>
            </w:r>
          </w:p>
        </w:tc>
      </w:tr>
      <w:tr w14:paraId="0A5C1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D65C544"/>
        </w:tc>
        <w:tc>
          <w:tcPr>
            <w:tcW w:w="400" w:type="dxa"/>
            <w:vMerge w:val="continue"/>
            <w:vAlign w:val="center"/>
          </w:tcPr>
          <w:p w14:paraId="25C7F800"/>
        </w:tc>
        <w:tc>
          <w:tcPr>
            <w:tcW w:w="380" w:type="dxa"/>
            <w:vMerge w:val="continue"/>
            <w:vAlign w:val="center"/>
          </w:tcPr>
          <w:p w14:paraId="7FFF922E"/>
        </w:tc>
        <w:tc>
          <w:tcPr>
            <w:tcW w:w="2700" w:type="dxa"/>
            <w:vAlign w:val="center"/>
          </w:tcPr>
          <w:p w14:paraId="24CD608C">
            <w:pPr>
              <w:jc w:val="center"/>
            </w:pPr>
            <w:r>
              <w:rPr>
                <w:rFonts w:ascii="宋体" w:hAnsi="宋体" w:eastAsia="宋体" w:cs="宋体"/>
                <w:b w:val="0"/>
                <w:i w:val="0"/>
                <w:color w:val="000000"/>
                <w:sz w:val="16"/>
              </w:rPr>
              <w:t>合计</w:t>
            </w:r>
          </w:p>
        </w:tc>
        <w:tc>
          <w:tcPr>
            <w:tcW w:w="1420" w:type="dxa"/>
            <w:vAlign w:val="center"/>
          </w:tcPr>
          <w:p w14:paraId="34FC45C9">
            <w:pPr>
              <w:jc w:val="right"/>
            </w:pPr>
            <w:r>
              <w:rPr>
                <w:rFonts w:ascii="宋体" w:hAnsi="宋体" w:eastAsia="宋体" w:cs="宋体"/>
                <w:b w:val="0"/>
                <w:i w:val="0"/>
                <w:color w:val="000000"/>
                <w:sz w:val="16"/>
              </w:rPr>
              <w:t>2,338.24</w:t>
            </w:r>
          </w:p>
        </w:tc>
        <w:tc>
          <w:tcPr>
            <w:tcW w:w="1520" w:type="dxa"/>
            <w:vAlign w:val="center"/>
          </w:tcPr>
          <w:p w14:paraId="72AB719D">
            <w:pPr>
              <w:jc w:val="right"/>
            </w:pPr>
            <w:r>
              <w:rPr>
                <w:rFonts w:ascii="宋体" w:hAnsi="宋体" w:eastAsia="宋体" w:cs="宋体"/>
                <w:b w:val="0"/>
                <w:i w:val="0"/>
                <w:color w:val="000000"/>
                <w:sz w:val="16"/>
              </w:rPr>
              <w:t>1,630.14</w:t>
            </w:r>
          </w:p>
        </w:tc>
        <w:tc>
          <w:tcPr>
            <w:tcW w:w="1526" w:type="dxa"/>
            <w:vAlign w:val="center"/>
          </w:tcPr>
          <w:p w14:paraId="1E23CCF7">
            <w:pPr>
              <w:jc w:val="right"/>
            </w:pPr>
            <w:r>
              <w:rPr>
                <w:rFonts w:ascii="宋体" w:hAnsi="宋体" w:eastAsia="宋体" w:cs="宋体"/>
                <w:b w:val="0"/>
                <w:i w:val="0"/>
                <w:color w:val="000000"/>
                <w:sz w:val="16"/>
              </w:rPr>
              <w:t>708.09</w:t>
            </w:r>
          </w:p>
        </w:tc>
      </w:tr>
      <w:tr w14:paraId="03E85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378300">
            <w:pPr>
              <w:jc w:val="left"/>
            </w:pPr>
            <w:r>
              <w:rPr>
                <w:rFonts w:ascii="宋体" w:hAnsi="宋体" w:eastAsia="宋体" w:cs="宋体"/>
                <w:b w:val="0"/>
                <w:i w:val="0"/>
                <w:color w:val="000000"/>
                <w:sz w:val="16"/>
              </w:rPr>
              <w:t>201</w:t>
            </w:r>
          </w:p>
        </w:tc>
        <w:tc>
          <w:tcPr>
            <w:tcW w:w="2700" w:type="dxa"/>
            <w:vAlign w:val="center"/>
          </w:tcPr>
          <w:p w14:paraId="2900BB24">
            <w:pPr>
              <w:jc w:val="left"/>
            </w:pPr>
            <w:r>
              <w:rPr>
                <w:rFonts w:ascii="宋体" w:hAnsi="宋体" w:eastAsia="宋体" w:cs="宋体"/>
                <w:b w:val="0"/>
                <w:i w:val="0"/>
                <w:color w:val="000000"/>
                <w:sz w:val="16"/>
              </w:rPr>
              <w:t>一般公共服务支出</w:t>
            </w:r>
          </w:p>
        </w:tc>
        <w:tc>
          <w:tcPr>
            <w:tcW w:w="1420" w:type="dxa"/>
            <w:vAlign w:val="center"/>
          </w:tcPr>
          <w:p w14:paraId="42F6A8A4">
            <w:pPr>
              <w:jc w:val="right"/>
            </w:pPr>
            <w:r>
              <w:rPr>
                <w:rFonts w:ascii="宋体" w:hAnsi="宋体" w:eastAsia="宋体" w:cs="宋体"/>
                <w:b w:val="0"/>
                <w:i w:val="0"/>
                <w:color w:val="000000"/>
                <w:sz w:val="16"/>
              </w:rPr>
              <w:t>1,989.59</w:t>
            </w:r>
          </w:p>
        </w:tc>
        <w:tc>
          <w:tcPr>
            <w:tcW w:w="1520" w:type="dxa"/>
            <w:vAlign w:val="center"/>
          </w:tcPr>
          <w:p w14:paraId="30167A72">
            <w:pPr>
              <w:jc w:val="right"/>
            </w:pPr>
            <w:r>
              <w:rPr>
                <w:rFonts w:ascii="宋体" w:hAnsi="宋体" w:eastAsia="宋体" w:cs="宋体"/>
                <w:b w:val="0"/>
                <w:i w:val="0"/>
                <w:color w:val="000000"/>
                <w:sz w:val="16"/>
              </w:rPr>
              <w:t>1,281.50</w:t>
            </w:r>
          </w:p>
        </w:tc>
        <w:tc>
          <w:tcPr>
            <w:tcW w:w="1526" w:type="dxa"/>
            <w:vAlign w:val="center"/>
          </w:tcPr>
          <w:p w14:paraId="430B2B57">
            <w:pPr>
              <w:jc w:val="right"/>
            </w:pPr>
            <w:r>
              <w:rPr>
                <w:rFonts w:ascii="宋体" w:hAnsi="宋体" w:eastAsia="宋体" w:cs="宋体"/>
                <w:b w:val="0"/>
                <w:i w:val="0"/>
                <w:color w:val="000000"/>
                <w:sz w:val="16"/>
              </w:rPr>
              <w:t>708.09</w:t>
            </w:r>
          </w:p>
        </w:tc>
      </w:tr>
      <w:tr w14:paraId="51239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628BF6">
            <w:pPr>
              <w:jc w:val="left"/>
            </w:pPr>
            <w:r>
              <w:rPr>
                <w:rFonts w:ascii="宋体" w:hAnsi="宋体" w:eastAsia="宋体" w:cs="宋体"/>
                <w:b w:val="0"/>
                <w:i w:val="0"/>
                <w:color w:val="000000"/>
                <w:sz w:val="16"/>
              </w:rPr>
              <w:t>20114</w:t>
            </w:r>
          </w:p>
        </w:tc>
        <w:tc>
          <w:tcPr>
            <w:tcW w:w="2700" w:type="dxa"/>
            <w:vAlign w:val="center"/>
          </w:tcPr>
          <w:p w14:paraId="1F65A07C">
            <w:pPr>
              <w:jc w:val="left"/>
            </w:pPr>
            <w:r>
              <w:rPr>
                <w:rFonts w:ascii="宋体" w:hAnsi="宋体" w:eastAsia="宋体" w:cs="宋体"/>
                <w:b w:val="0"/>
                <w:i w:val="0"/>
                <w:color w:val="000000"/>
                <w:sz w:val="16"/>
              </w:rPr>
              <w:t>知识产权事务</w:t>
            </w:r>
          </w:p>
        </w:tc>
        <w:tc>
          <w:tcPr>
            <w:tcW w:w="1420" w:type="dxa"/>
            <w:vAlign w:val="center"/>
          </w:tcPr>
          <w:p w14:paraId="4A04161A">
            <w:pPr>
              <w:jc w:val="right"/>
            </w:pPr>
            <w:r>
              <w:rPr>
                <w:rFonts w:ascii="宋体" w:hAnsi="宋体" w:eastAsia="宋体" w:cs="宋体"/>
                <w:b w:val="0"/>
                <w:i w:val="0"/>
                <w:color w:val="000000"/>
                <w:sz w:val="16"/>
              </w:rPr>
              <w:t>23.35</w:t>
            </w:r>
          </w:p>
        </w:tc>
        <w:tc>
          <w:tcPr>
            <w:tcW w:w="1520" w:type="dxa"/>
            <w:vAlign w:val="center"/>
          </w:tcPr>
          <w:p w14:paraId="5D0ADE49"/>
        </w:tc>
        <w:tc>
          <w:tcPr>
            <w:tcW w:w="1526" w:type="dxa"/>
            <w:vAlign w:val="center"/>
          </w:tcPr>
          <w:p w14:paraId="2DD2BE83">
            <w:pPr>
              <w:jc w:val="right"/>
            </w:pPr>
            <w:r>
              <w:rPr>
                <w:rFonts w:ascii="宋体" w:hAnsi="宋体" w:eastAsia="宋体" w:cs="宋体"/>
                <w:b w:val="0"/>
                <w:i w:val="0"/>
                <w:color w:val="000000"/>
                <w:sz w:val="16"/>
              </w:rPr>
              <w:t>23.35</w:t>
            </w:r>
          </w:p>
        </w:tc>
      </w:tr>
      <w:tr w14:paraId="738C2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E6EDA8">
            <w:pPr>
              <w:jc w:val="left"/>
            </w:pPr>
            <w:r>
              <w:rPr>
                <w:rFonts w:ascii="宋体" w:hAnsi="宋体" w:eastAsia="宋体" w:cs="宋体"/>
                <w:b w:val="0"/>
                <w:i w:val="0"/>
                <w:color w:val="000000"/>
                <w:sz w:val="16"/>
              </w:rPr>
              <w:t>2011499</w:t>
            </w:r>
          </w:p>
        </w:tc>
        <w:tc>
          <w:tcPr>
            <w:tcW w:w="2700" w:type="dxa"/>
            <w:vAlign w:val="center"/>
          </w:tcPr>
          <w:p w14:paraId="2DE9B561">
            <w:pPr>
              <w:jc w:val="left"/>
            </w:pPr>
            <w:r>
              <w:rPr>
                <w:rFonts w:ascii="宋体" w:hAnsi="宋体" w:eastAsia="宋体" w:cs="宋体"/>
                <w:b w:val="0"/>
                <w:i w:val="0"/>
                <w:color w:val="000000"/>
                <w:sz w:val="16"/>
              </w:rPr>
              <w:t>其他知识产权事务支出</w:t>
            </w:r>
          </w:p>
        </w:tc>
        <w:tc>
          <w:tcPr>
            <w:tcW w:w="1420" w:type="dxa"/>
            <w:vAlign w:val="center"/>
          </w:tcPr>
          <w:p w14:paraId="1FB448FD">
            <w:pPr>
              <w:jc w:val="right"/>
            </w:pPr>
            <w:r>
              <w:rPr>
                <w:rFonts w:ascii="宋体" w:hAnsi="宋体" w:eastAsia="宋体" w:cs="宋体"/>
                <w:b w:val="0"/>
                <w:i w:val="0"/>
                <w:color w:val="000000"/>
                <w:sz w:val="16"/>
              </w:rPr>
              <w:t>23.35</w:t>
            </w:r>
          </w:p>
        </w:tc>
        <w:tc>
          <w:tcPr>
            <w:tcW w:w="1520" w:type="dxa"/>
            <w:vAlign w:val="center"/>
          </w:tcPr>
          <w:p w14:paraId="43F3F918"/>
        </w:tc>
        <w:tc>
          <w:tcPr>
            <w:tcW w:w="1526" w:type="dxa"/>
            <w:vAlign w:val="center"/>
          </w:tcPr>
          <w:p w14:paraId="3D24ED08">
            <w:pPr>
              <w:jc w:val="right"/>
            </w:pPr>
            <w:r>
              <w:rPr>
                <w:rFonts w:ascii="宋体" w:hAnsi="宋体" w:eastAsia="宋体" w:cs="宋体"/>
                <w:b w:val="0"/>
                <w:i w:val="0"/>
                <w:color w:val="000000"/>
                <w:sz w:val="16"/>
              </w:rPr>
              <w:t>23.35</w:t>
            </w:r>
          </w:p>
        </w:tc>
      </w:tr>
      <w:tr w14:paraId="2A1E9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478856">
            <w:pPr>
              <w:jc w:val="left"/>
            </w:pPr>
            <w:r>
              <w:rPr>
                <w:rFonts w:ascii="宋体" w:hAnsi="宋体" w:eastAsia="宋体" w:cs="宋体"/>
                <w:b w:val="0"/>
                <w:i w:val="0"/>
                <w:color w:val="000000"/>
                <w:sz w:val="16"/>
              </w:rPr>
              <w:t>20138</w:t>
            </w:r>
          </w:p>
        </w:tc>
        <w:tc>
          <w:tcPr>
            <w:tcW w:w="2700" w:type="dxa"/>
            <w:vAlign w:val="center"/>
          </w:tcPr>
          <w:p w14:paraId="03FCC973">
            <w:pPr>
              <w:jc w:val="left"/>
            </w:pPr>
            <w:r>
              <w:rPr>
                <w:rFonts w:ascii="宋体" w:hAnsi="宋体" w:eastAsia="宋体" w:cs="宋体"/>
                <w:b w:val="0"/>
                <w:i w:val="0"/>
                <w:color w:val="000000"/>
                <w:sz w:val="16"/>
              </w:rPr>
              <w:t>市场监督管理事务</w:t>
            </w:r>
          </w:p>
        </w:tc>
        <w:tc>
          <w:tcPr>
            <w:tcW w:w="1420" w:type="dxa"/>
            <w:vAlign w:val="center"/>
          </w:tcPr>
          <w:p w14:paraId="039A3F4D">
            <w:pPr>
              <w:jc w:val="right"/>
            </w:pPr>
            <w:r>
              <w:rPr>
                <w:rFonts w:ascii="宋体" w:hAnsi="宋体" w:eastAsia="宋体" w:cs="宋体"/>
                <w:b w:val="0"/>
                <w:i w:val="0"/>
                <w:color w:val="000000"/>
                <w:sz w:val="16"/>
              </w:rPr>
              <w:t>1,966.24</w:t>
            </w:r>
          </w:p>
        </w:tc>
        <w:tc>
          <w:tcPr>
            <w:tcW w:w="1520" w:type="dxa"/>
            <w:vAlign w:val="center"/>
          </w:tcPr>
          <w:p w14:paraId="0E2574BD">
            <w:pPr>
              <w:jc w:val="right"/>
            </w:pPr>
            <w:r>
              <w:rPr>
                <w:rFonts w:ascii="宋体" w:hAnsi="宋体" w:eastAsia="宋体" w:cs="宋体"/>
                <w:b w:val="0"/>
                <w:i w:val="0"/>
                <w:color w:val="000000"/>
                <w:sz w:val="16"/>
              </w:rPr>
              <w:t>1,281.50</w:t>
            </w:r>
          </w:p>
        </w:tc>
        <w:tc>
          <w:tcPr>
            <w:tcW w:w="1526" w:type="dxa"/>
            <w:vAlign w:val="center"/>
          </w:tcPr>
          <w:p w14:paraId="629E19EE">
            <w:pPr>
              <w:jc w:val="right"/>
            </w:pPr>
            <w:r>
              <w:rPr>
                <w:rFonts w:ascii="宋体" w:hAnsi="宋体" w:eastAsia="宋体" w:cs="宋体"/>
                <w:b w:val="0"/>
                <w:i w:val="0"/>
                <w:color w:val="000000"/>
                <w:sz w:val="16"/>
              </w:rPr>
              <w:t>684.74</w:t>
            </w:r>
          </w:p>
        </w:tc>
      </w:tr>
      <w:tr w14:paraId="2B4F0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26205E">
            <w:pPr>
              <w:jc w:val="left"/>
            </w:pPr>
            <w:r>
              <w:rPr>
                <w:rFonts w:ascii="宋体" w:hAnsi="宋体" w:eastAsia="宋体" w:cs="宋体"/>
                <w:b w:val="0"/>
                <w:i w:val="0"/>
                <w:color w:val="000000"/>
                <w:sz w:val="16"/>
              </w:rPr>
              <w:t>2013801</w:t>
            </w:r>
          </w:p>
        </w:tc>
        <w:tc>
          <w:tcPr>
            <w:tcW w:w="2700" w:type="dxa"/>
            <w:vAlign w:val="center"/>
          </w:tcPr>
          <w:p w14:paraId="62CE4C5F">
            <w:pPr>
              <w:jc w:val="left"/>
            </w:pPr>
            <w:r>
              <w:rPr>
                <w:rFonts w:ascii="宋体" w:hAnsi="宋体" w:eastAsia="宋体" w:cs="宋体"/>
                <w:b w:val="0"/>
                <w:i w:val="0"/>
                <w:color w:val="000000"/>
                <w:sz w:val="16"/>
              </w:rPr>
              <w:t>行政运行</w:t>
            </w:r>
          </w:p>
        </w:tc>
        <w:tc>
          <w:tcPr>
            <w:tcW w:w="1420" w:type="dxa"/>
            <w:vAlign w:val="center"/>
          </w:tcPr>
          <w:p w14:paraId="4F9E9C93">
            <w:pPr>
              <w:jc w:val="right"/>
            </w:pPr>
            <w:r>
              <w:rPr>
                <w:rFonts w:ascii="宋体" w:hAnsi="宋体" w:eastAsia="宋体" w:cs="宋体"/>
                <w:b w:val="0"/>
                <w:i w:val="0"/>
                <w:color w:val="000000"/>
                <w:sz w:val="16"/>
              </w:rPr>
              <w:t>1,032.54</w:t>
            </w:r>
          </w:p>
        </w:tc>
        <w:tc>
          <w:tcPr>
            <w:tcW w:w="1520" w:type="dxa"/>
            <w:vAlign w:val="center"/>
          </w:tcPr>
          <w:p w14:paraId="5FB7500C">
            <w:pPr>
              <w:jc w:val="right"/>
            </w:pPr>
            <w:r>
              <w:rPr>
                <w:rFonts w:ascii="宋体" w:hAnsi="宋体" w:eastAsia="宋体" w:cs="宋体"/>
                <w:b w:val="0"/>
                <w:i w:val="0"/>
                <w:color w:val="000000"/>
                <w:sz w:val="16"/>
              </w:rPr>
              <w:t>943.79</w:t>
            </w:r>
          </w:p>
        </w:tc>
        <w:tc>
          <w:tcPr>
            <w:tcW w:w="1526" w:type="dxa"/>
            <w:vAlign w:val="center"/>
          </w:tcPr>
          <w:p w14:paraId="23A48E6C">
            <w:pPr>
              <w:jc w:val="right"/>
            </w:pPr>
            <w:r>
              <w:rPr>
                <w:rFonts w:ascii="宋体" w:hAnsi="宋体" w:eastAsia="宋体" w:cs="宋体"/>
                <w:b w:val="0"/>
                <w:i w:val="0"/>
                <w:color w:val="000000"/>
                <w:sz w:val="16"/>
              </w:rPr>
              <w:t>88.75</w:t>
            </w:r>
          </w:p>
        </w:tc>
      </w:tr>
      <w:tr w14:paraId="427DA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B7FB93">
            <w:pPr>
              <w:jc w:val="left"/>
            </w:pPr>
            <w:r>
              <w:rPr>
                <w:rFonts w:ascii="宋体" w:hAnsi="宋体" w:eastAsia="宋体" w:cs="宋体"/>
                <w:b w:val="0"/>
                <w:i w:val="0"/>
                <w:color w:val="000000"/>
                <w:sz w:val="16"/>
              </w:rPr>
              <w:t>2013850</w:t>
            </w:r>
          </w:p>
        </w:tc>
        <w:tc>
          <w:tcPr>
            <w:tcW w:w="2700" w:type="dxa"/>
            <w:vAlign w:val="center"/>
          </w:tcPr>
          <w:p w14:paraId="6E163CD1">
            <w:pPr>
              <w:jc w:val="left"/>
            </w:pPr>
            <w:r>
              <w:rPr>
                <w:rFonts w:ascii="宋体" w:hAnsi="宋体" w:eastAsia="宋体" w:cs="宋体"/>
                <w:b w:val="0"/>
                <w:i w:val="0"/>
                <w:color w:val="000000"/>
                <w:sz w:val="16"/>
              </w:rPr>
              <w:t>事业运行</w:t>
            </w:r>
          </w:p>
        </w:tc>
        <w:tc>
          <w:tcPr>
            <w:tcW w:w="1420" w:type="dxa"/>
            <w:vAlign w:val="center"/>
          </w:tcPr>
          <w:p w14:paraId="4D0AA6C3">
            <w:pPr>
              <w:jc w:val="right"/>
            </w:pPr>
            <w:r>
              <w:rPr>
                <w:rFonts w:ascii="宋体" w:hAnsi="宋体" w:eastAsia="宋体" w:cs="宋体"/>
                <w:b w:val="0"/>
                <w:i w:val="0"/>
                <w:color w:val="000000"/>
                <w:sz w:val="16"/>
              </w:rPr>
              <w:t>357.78</w:t>
            </w:r>
          </w:p>
        </w:tc>
        <w:tc>
          <w:tcPr>
            <w:tcW w:w="1520" w:type="dxa"/>
            <w:vAlign w:val="center"/>
          </w:tcPr>
          <w:p w14:paraId="7CAA6BAB">
            <w:pPr>
              <w:jc w:val="right"/>
            </w:pPr>
            <w:r>
              <w:rPr>
                <w:rFonts w:ascii="宋体" w:hAnsi="宋体" w:eastAsia="宋体" w:cs="宋体"/>
                <w:b w:val="0"/>
                <w:i w:val="0"/>
                <w:color w:val="000000"/>
                <w:sz w:val="16"/>
              </w:rPr>
              <w:t>263.91</w:t>
            </w:r>
          </w:p>
        </w:tc>
        <w:tc>
          <w:tcPr>
            <w:tcW w:w="1526" w:type="dxa"/>
            <w:vAlign w:val="center"/>
          </w:tcPr>
          <w:p w14:paraId="764FFB4A">
            <w:pPr>
              <w:jc w:val="right"/>
            </w:pPr>
            <w:r>
              <w:rPr>
                <w:rFonts w:ascii="宋体" w:hAnsi="宋体" w:eastAsia="宋体" w:cs="宋体"/>
                <w:b w:val="0"/>
                <w:i w:val="0"/>
                <w:color w:val="000000"/>
                <w:sz w:val="16"/>
              </w:rPr>
              <w:t>93.87</w:t>
            </w:r>
          </w:p>
        </w:tc>
      </w:tr>
      <w:tr w14:paraId="47D76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52DDF7">
            <w:pPr>
              <w:jc w:val="left"/>
            </w:pPr>
            <w:r>
              <w:rPr>
                <w:rFonts w:ascii="宋体" w:hAnsi="宋体" w:eastAsia="宋体" w:cs="宋体"/>
                <w:b w:val="0"/>
                <w:i w:val="0"/>
                <w:color w:val="000000"/>
                <w:sz w:val="16"/>
              </w:rPr>
              <w:t>2013899</w:t>
            </w:r>
          </w:p>
        </w:tc>
        <w:tc>
          <w:tcPr>
            <w:tcW w:w="2700" w:type="dxa"/>
            <w:vAlign w:val="center"/>
          </w:tcPr>
          <w:p w14:paraId="5D0F5438">
            <w:pPr>
              <w:jc w:val="left"/>
            </w:pPr>
            <w:r>
              <w:rPr>
                <w:rFonts w:ascii="宋体" w:hAnsi="宋体" w:eastAsia="宋体" w:cs="宋体"/>
                <w:b w:val="0"/>
                <w:i w:val="0"/>
                <w:color w:val="000000"/>
                <w:sz w:val="16"/>
              </w:rPr>
              <w:t>其他市场监督管理事务</w:t>
            </w:r>
          </w:p>
        </w:tc>
        <w:tc>
          <w:tcPr>
            <w:tcW w:w="1420" w:type="dxa"/>
            <w:vAlign w:val="center"/>
          </w:tcPr>
          <w:p w14:paraId="105A24A9">
            <w:pPr>
              <w:jc w:val="right"/>
            </w:pPr>
            <w:r>
              <w:rPr>
                <w:rFonts w:ascii="宋体" w:hAnsi="宋体" w:eastAsia="宋体" w:cs="宋体"/>
                <w:b w:val="0"/>
                <w:i w:val="0"/>
                <w:color w:val="000000"/>
                <w:sz w:val="16"/>
              </w:rPr>
              <w:t>575.92</w:t>
            </w:r>
          </w:p>
        </w:tc>
        <w:tc>
          <w:tcPr>
            <w:tcW w:w="1520" w:type="dxa"/>
            <w:vAlign w:val="center"/>
          </w:tcPr>
          <w:p w14:paraId="3D504D81">
            <w:pPr>
              <w:jc w:val="right"/>
            </w:pPr>
            <w:r>
              <w:rPr>
                <w:rFonts w:ascii="宋体" w:hAnsi="宋体" w:eastAsia="宋体" w:cs="宋体"/>
                <w:b w:val="0"/>
                <w:i w:val="0"/>
                <w:color w:val="000000"/>
                <w:sz w:val="16"/>
              </w:rPr>
              <w:t>73.79</w:t>
            </w:r>
          </w:p>
        </w:tc>
        <w:tc>
          <w:tcPr>
            <w:tcW w:w="1526" w:type="dxa"/>
            <w:vAlign w:val="center"/>
          </w:tcPr>
          <w:p w14:paraId="528648E3">
            <w:pPr>
              <w:jc w:val="right"/>
            </w:pPr>
            <w:r>
              <w:rPr>
                <w:rFonts w:ascii="宋体" w:hAnsi="宋体" w:eastAsia="宋体" w:cs="宋体"/>
                <w:b w:val="0"/>
                <w:i w:val="0"/>
                <w:color w:val="000000"/>
                <w:sz w:val="16"/>
              </w:rPr>
              <w:t>502.13</w:t>
            </w:r>
          </w:p>
        </w:tc>
      </w:tr>
      <w:tr w14:paraId="74983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C3F1C8">
            <w:pPr>
              <w:jc w:val="left"/>
            </w:pPr>
            <w:r>
              <w:rPr>
                <w:rFonts w:ascii="宋体" w:hAnsi="宋体" w:eastAsia="宋体" w:cs="宋体"/>
                <w:b w:val="0"/>
                <w:i w:val="0"/>
                <w:color w:val="000000"/>
                <w:sz w:val="16"/>
              </w:rPr>
              <w:t>208</w:t>
            </w:r>
          </w:p>
        </w:tc>
        <w:tc>
          <w:tcPr>
            <w:tcW w:w="2700" w:type="dxa"/>
            <w:vAlign w:val="center"/>
          </w:tcPr>
          <w:p w14:paraId="48193197">
            <w:pPr>
              <w:jc w:val="left"/>
            </w:pPr>
            <w:r>
              <w:rPr>
                <w:rFonts w:ascii="宋体" w:hAnsi="宋体" w:eastAsia="宋体" w:cs="宋体"/>
                <w:b w:val="0"/>
                <w:i w:val="0"/>
                <w:color w:val="000000"/>
                <w:sz w:val="16"/>
              </w:rPr>
              <w:t>社会保障和就业支出</w:t>
            </w:r>
          </w:p>
        </w:tc>
        <w:tc>
          <w:tcPr>
            <w:tcW w:w="1420" w:type="dxa"/>
            <w:vAlign w:val="center"/>
          </w:tcPr>
          <w:p w14:paraId="5F9FF382">
            <w:pPr>
              <w:jc w:val="right"/>
            </w:pPr>
            <w:r>
              <w:rPr>
                <w:rFonts w:ascii="宋体" w:hAnsi="宋体" w:eastAsia="宋体" w:cs="宋体"/>
                <w:b w:val="0"/>
                <w:i w:val="0"/>
                <w:color w:val="000000"/>
                <w:sz w:val="16"/>
              </w:rPr>
              <w:t>198.25</w:t>
            </w:r>
          </w:p>
        </w:tc>
        <w:tc>
          <w:tcPr>
            <w:tcW w:w="1520" w:type="dxa"/>
            <w:vAlign w:val="center"/>
          </w:tcPr>
          <w:p w14:paraId="688104E0">
            <w:pPr>
              <w:jc w:val="right"/>
            </w:pPr>
            <w:r>
              <w:rPr>
                <w:rFonts w:ascii="宋体" w:hAnsi="宋体" w:eastAsia="宋体" w:cs="宋体"/>
                <w:b w:val="0"/>
                <w:i w:val="0"/>
                <w:color w:val="000000"/>
                <w:sz w:val="16"/>
              </w:rPr>
              <w:t>198.25</w:t>
            </w:r>
          </w:p>
        </w:tc>
        <w:tc>
          <w:tcPr>
            <w:tcW w:w="1526" w:type="dxa"/>
            <w:vAlign w:val="center"/>
          </w:tcPr>
          <w:p w14:paraId="57D7AF16"/>
        </w:tc>
      </w:tr>
      <w:tr w14:paraId="48126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7C3202">
            <w:pPr>
              <w:jc w:val="left"/>
            </w:pPr>
            <w:r>
              <w:rPr>
                <w:rFonts w:ascii="宋体" w:hAnsi="宋体" w:eastAsia="宋体" w:cs="宋体"/>
                <w:b w:val="0"/>
                <w:i w:val="0"/>
                <w:color w:val="000000"/>
                <w:sz w:val="16"/>
              </w:rPr>
              <w:t>20805</w:t>
            </w:r>
          </w:p>
        </w:tc>
        <w:tc>
          <w:tcPr>
            <w:tcW w:w="2700" w:type="dxa"/>
            <w:vAlign w:val="center"/>
          </w:tcPr>
          <w:p w14:paraId="75882BCD">
            <w:pPr>
              <w:jc w:val="left"/>
            </w:pPr>
            <w:r>
              <w:rPr>
                <w:rFonts w:ascii="宋体" w:hAnsi="宋体" w:eastAsia="宋体" w:cs="宋体"/>
                <w:b w:val="0"/>
                <w:i w:val="0"/>
                <w:color w:val="000000"/>
                <w:sz w:val="16"/>
              </w:rPr>
              <w:t>行政事业单位养老支出</w:t>
            </w:r>
          </w:p>
        </w:tc>
        <w:tc>
          <w:tcPr>
            <w:tcW w:w="1420" w:type="dxa"/>
            <w:vAlign w:val="center"/>
          </w:tcPr>
          <w:p w14:paraId="27C16AFE">
            <w:pPr>
              <w:jc w:val="right"/>
            </w:pPr>
            <w:r>
              <w:rPr>
                <w:rFonts w:ascii="宋体" w:hAnsi="宋体" w:eastAsia="宋体" w:cs="宋体"/>
                <w:b w:val="0"/>
                <w:i w:val="0"/>
                <w:color w:val="000000"/>
                <w:sz w:val="16"/>
              </w:rPr>
              <w:t>198.25</w:t>
            </w:r>
          </w:p>
        </w:tc>
        <w:tc>
          <w:tcPr>
            <w:tcW w:w="1520" w:type="dxa"/>
            <w:vAlign w:val="center"/>
          </w:tcPr>
          <w:p w14:paraId="726D1349">
            <w:pPr>
              <w:jc w:val="right"/>
            </w:pPr>
            <w:r>
              <w:rPr>
                <w:rFonts w:ascii="宋体" w:hAnsi="宋体" w:eastAsia="宋体" w:cs="宋体"/>
                <w:b w:val="0"/>
                <w:i w:val="0"/>
                <w:color w:val="000000"/>
                <w:sz w:val="16"/>
              </w:rPr>
              <w:t>198.25</w:t>
            </w:r>
          </w:p>
        </w:tc>
        <w:tc>
          <w:tcPr>
            <w:tcW w:w="1526" w:type="dxa"/>
            <w:vAlign w:val="center"/>
          </w:tcPr>
          <w:p w14:paraId="7A27B8BC"/>
        </w:tc>
      </w:tr>
      <w:tr w14:paraId="2711B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374155">
            <w:pPr>
              <w:jc w:val="left"/>
            </w:pPr>
            <w:r>
              <w:rPr>
                <w:rFonts w:ascii="宋体" w:hAnsi="宋体" w:eastAsia="宋体" w:cs="宋体"/>
                <w:b w:val="0"/>
                <w:i w:val="0"/>
                <w:color w:val="000000"/>
                <w:sz w:val="16"/>
              </w:rPr>
              <w:t>2080505</w:t>
            </w:r>
          </w:p>
        </w:tc>
        <w:tc>
          <w:tcPr>
            <w:tcW w:w="2700" w:type="dxa"/>
            <w:vAlign w:val="center"/>
          </w:tcPr>
          <w:p w14:paraId="53336A1A">
            <w:pPr>
              <w:jc w:val="left"/>
            </w:pPr>
            <w:r>
              <w:rPr>
                <w:rFonts w:ascii="宋体" w:hAnsi="宋体" w:eastAsia="宋体" w:cs="宋体"/>
                <w:b w:val="0"/>
                <w:i w:val="0"/>
                <w:color w:val="000000"/>
                <w:sz w:val="16"/>
              </w:rPr>
              <w:t>机关事业单位基本养老保险缴费支出</w:t>
            </w:r>
          </w:p>
        </w:tc>
        <w:tc>
          <w:tcPr>
            <w:tcW w:w="1420" w:type="dxa"/>
            <w:vAlign w:val="center"/>
          </w:tcPr>
          <w:p w14:paraId="5EA57DA5">
            <w:pPr>
              <w:jc w:val="right"/>
            </w:pPr>
            <w:r>
              <w:rPr>
                <w:rFonts w:ascii="宋体" w:hAnsi="宋体" w:eastAsia="宋体" w:cs="宋体"/>
                <w:b w:val="0"/>
                <w:i w:val="0"/>
                <w:color w:val="000000"/>
                <w:sz w:val="16"/>
              </w:rPr>
              <w:t>132.17</w:t>
            </w:r>
          </w:p>
        </w:tc>
        <w:tc>
          <w:tcPr>
            <w:tcW w:w="1520" w:type="dxa"/>
            <w:vAlign w:val="center"/>
          </w:tcPr>
          <w:p w14:paraId="72A50705">
            <w:pPr>
              <w:jc w:val="right"/>
            </w:pPr>
            <w:r>
              <w:rPr>
                <w:rFonts w:ascii="宋体" w:hAnsi="宋体" w:eastAsia="宋体" w:cs="宋体"/>
                <w:b w:val="0"/>
                <w:i w:val="0"/>
                <w:color w:val="000000"/>
                <w:sz w:val="16"/>
              </w:rPr>
              <w:t>132.17</w:t>
            </w:r>
          </w:p>
        </w:tc>
        <w:tc>
          <w:tcPr>
            <w:tcW w:w="1526" w:type="dxa"/>
            <w:vAlign w:val="center"/>
          </w:tcPr>
          <w:p w14:paraId="726CA312"/>
        </w:tc>
      </w:tr>
      <w:tr w14:paraId="29FD1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8F185B">
            <w:pPr>
              <w:jc w:val="left"/>
            </w:pPr>
            <w:r>
              <w:rPr>
                <w:rFonts w:ascii="宋体" w:hAnsi="宋体" w:eastAsia="宋体" w:cs="宋体"/>
                <w:b w:val="0"/>
                <w:i w:val="0"/>
                <w:color w:val="000000"/>
                <w:sz w:val="16"/>
              </w:rPr>
              <w:t>2080506</w:t>
            </w:r>
          </w:p>
        </w:tc>
        <w:tc>
          <w:tcPr>
            <w:tcW w:w="2700" w:type="dxa"/>
            <w:vAlign w:val="center"/>
          </w:tcPr>
          <w:p w14:paraId="62B7EE5A">
            <w:pPr>
              <w:jc w:val="left"/>
            </w:pPr>
            <w:r>
              <w:rPr>
                <w:rFonts w:ascii="宋体" w:hAnsi="宋体" w:eastAsia="宋体" w:cs="宋体"/>
                <w:b w:val="0"/>
                <w:i w:val="0"/>
                <w:color w:val="000000"/>
                <w:sz w:val="16"/>
              </w:rPr>
              <w:t>机关事业单位职业年金缴费支出</w:t>
            </w:r>
          </w:p>
        </w:tc>
        <w:tc>
          <w:tcPr>
            <w:tcW w:w="1420" w:type="dxa"/>
            <w:vAlign w:val="center"/>
          </w:tcPr>
          <w:p w14:paraId="679A25FB">
            <w:pPr>
              <w:jc w:val="right"/>
            </w:pPr>
            <w:r>
              <w:rPr>
                <w:rFonts w:ascii="宋体" w:hAnsi="宋体" w:eastAsia="宋体" w:cs="宋体"/>
                <w:b w:val="0"/>
                <w:i w:val="0"/>
                <w:color w:val="000000"/>
                <w:sz w:val="16"/>
              </w:rPr>
              <w:t>66.08</w:t>
            </w:r>
          </w:p>
        </w:tc>
        <w:tc>
          <w:tcPr>
            <w:tcW w:w="1520" w:type="dxa"/>
            <w:vAlign w:val="center"/>
          </w:tcPr>
          <w:p w14:paraId="4E314927">
            <w:pPr>
              <w:jc w:val="right"/>
            </w:pPr>
            <w:r>
              <w:rPr>
                <w:rFonts w:ascii="宋体" w:hAnsi="宋体" w:eastAsia="宋体" w:cs="宋体"/>
                <w:b w:val="0"/>
                <w:i w:val="0"/>
                <w:color w:val="000000"/>
                <w:sz w:val="16"/>
              </w:rPr>
              <w:t>66.08</w:t>
            </w:r>
          </w:p>
        </w:tc>
        <w:tc>
          <w:tcPr>
            <w:tcW w:w="1526" w:type="dxa"/>
            <w:vAlign w:val="center"/>
          </w:tcPr>
          <w:p w14:paraId="0D6599CD"/>
        </w:tc>
      </w:tr>
      <w:tr w14:paraId="66E24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DF0CAF">
            <w:pPr>
              <w:jc w:val="left"/>
            </w:pPr>
            <w:r>
              <w:rPr>
                <w:rFonts w:ascii="宋体" w:hAnsi="宋体" w:eastAsia="宋体" w:cs="宋体"/>
                <w:b w:val="0"/>
                <w:i w:val="0"/>
                <w:color w:val="000000"/>
                <w:sz w:val="16"/>
              </w:rPr>
              <w:t>210</w:t>
            </w:r>
          </w:p>
        </w:tc>
        <w:tc>
          <w:tcPr>
            <w:tcW w:w="2700" w:type="dxa"/>
            <w:vAlign w:val="center"/>
          </w:tcPr>
          <w:p w14:paraId="3A1ACEBE">
            <w:pPr>
              <w:jc w:val="left"/>
            </w:pPr>
            <w:r>
              <w:rPr>
                <w:rFonts w:ascii="宋体" w:hAnsi="宋体" w:eastAsia="宋体" w:cs="宋体"/>
                <w:b w:val="0"/>
                <w:i w:val="0"/>
                <w:color w:val="000000"/>
                <w:sz w:val="16"/>
              </w:rPr>
              <w:t>卫生健康支出</w:t>
            </w:r>
          </w:p>
        </w:tc>
        <w:tc>
          <w:tcPr>
            <w:tcW w:w="1420" w:type="dxa"/>
            <w:vAlign w:val="center"/>
          </w:tcPr>
          <w:p w14:paraId="7249A0B1">
            <w:pPr>
              <w:jc w:val="right"/>
            </w:pPr>
            <w:r>
              <w:rPr>
                <w:rFonts w:ascii="宋体" w:hAnsi="宋体" w:eastAsia="宋体" w:cs="宋体"/>
                <w:b w:val="0"/>
                <w:i w:val="0"/>
                <w:color w:val="000000"/>
                <w:sz w:val="16"/>
              </w:rPr>
              <w:t>40.82</w:t>
            </w:r>
          </w:p>
        </w:tc>
        <w:tc>
          <w:tcPr>
            <w:tcW w:w="1520" w:type="dxa"/>
            <w:vAlign w:val="center"/>
          </w:tcPr>
          <w:p w14:paraId="52D15317">
            <w:pPr>
              <w:jc w:val="right"/>
            </w:pPr>
            <w:r>
              <w:rPr>
                <w:rFonts w:ascii="宋体" w:hAnsi="宋体" w:eastAsia="宋体" w:cs="宋体"/>
                <w:b w:val="0"/>
                <w:i w:val="0"/>
                <w:color w:val="000000"/>
                <w:sz w:val="16"/>
              </w:rPr>
              <w:t>40.82</w:t>
            </w:r>
          </w:p>
        </w:tc>
        <w:tc>
          <w:tcPr>
            <w:tcW w:w="1526" w:type="dxa"/>
            <w:vAlign w:val="center"/>
          </w:tcPr>
          <w:p w14:paraId="1C661438"/>
        </w:tc>
      </w:tr>
      <w:tr w14:paraId="7BA7D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9F0899">
            <w:pPr>
              <w:jc w:val="left"/>
            </w:pPr>
            <w:r>
              <w:rPr>
                <w:rFonts w:ascii="宋体" w:hAnsi="宋体" w:eastAsia="宋体" w:cs="宋体"/>
                <w:b w:val="0"/>
                <w:i w:val="0"/>
                <w:color w:val="000000"/>
                <w:sz w:val="16"/>
              </w:rPr>
              <w:t>21011</w:t>
            </w:r>
          </w:p>
        </w:tc>
        <w:tc>
          <w:tcPr>
            <w:tcW w:w="2700" w:type="dxa"/>
            <w:vAlign w:val="center"/>
          </w:tcPr>
          <w:p w14:paraId="0D9FD477">
            <w:pPr>
              <w:jc w:val="left"/>
            </w:pPr>
            <w:r>
              <w:rPr>
                <w:rFonts w:ascii="宋体" w:hAnsi="宋体" w:eastAsia="宋体" w:cs="宋体"/>
                <w:b w:val="0"/>
                <w:i w:val="0"/>
                <w:color w:val="000000"/>
                <w:sz w:val="16"/>
              </w:rPr>
              <w:t>行政事业单位医疗</w:t>
            </w:r>
          </w:p>
        </w:tc>
        <w:tc>
          <w:tcPr>
            <w:tcW w:w="1420" w:type="dxa"/>
            <w:vAlign w:val="center"/>
          </w:tcPr>
          <w:p w14:paraId="3762BEB7">
            <w:pPr>
              <w:jc w:val="right"/>
            </w:pPr>
            <w:r>
              <w:rPr>
                <w:rFonts w:ascii="宋体" w:hAnsi="宋体" w:eastAsia="宋体" w:cs="宋体"/>
                <w:b w:val="0"/>
                <w:i w:val="0"/>
                <w:color w:val="000000"/>
                <w:sz w:val="16"/>
              </w:rPr>
              <w:t>40.82</w:t>
            </w:r>
          </w:p>
        </w:tc>
        <w:tc>
          <w:tcPr>
            <w:tcW w:w="1520" w:type="dxa"/>
            <w:vAlign w:val="center"/>
          </w:tcPr>
          <w:p w14:paraId="44B67DAE">
            <w:pPr>
              <w:jc w:val="right"/>
            </w:pPr>
            <w:r>
              <w:rPr>
                <w:rFonts w:ascii="宋体" w:hAnsi="宋体" w:eastAsia="宋体" w:cs="宋体"/>
                <w:b w:val="0"/>
                <w:i w:val="0"/>
                <w:color w:val="000000"/>
                <w:sz w:val="16"/>
              </w:rPr>
              <w:t>40.82</w:t>
            </w:r>
          </w:p>
        </w:tc>
        <w:tc>
          <w:tcPr>
            <w:tcW w:w="1526" w:type="dxa"/>
            <w:vAlign w:val="center"/>
          </w:tcPr>
          <w:p w14:paraId="584D6FD4"/>
        </w:tc>
      </w:tr>
      <w:tr w14:paraId="6C817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AB92F0">
            <w:pPr>
              <w:jc w:val="left"/>
            </w:pPr>
            <w:r>
              <w:rPr>
                <w:rFonts w:ascii="宋体" w:hAnsi="宋体" w:eastAsia="宋体" w:cs="宋体"/>
                <w:b w:val="0"/>
                <w:i w:val="0"/>
                <w:color w:val="000000"/>
                <w:sz w:val="16"/>
              </w:rPr>
              <w:t>2101101</w:t>
            </w:r>
          </w:p>
        </w:tc>
        <w:tc>
          <w:tcPr>
            <w:tcW w:w="2700" w:type="dxa"/>
            <w:vAlign w:val="center"/>
          </w:tcPr>
          <w:p w14:paraId="08C0F52C">
            <w:pPr>
              <w:jc w:val="left"/>
            </w:pPr>
            <w:r>
              <w:rPr>
                <w:rFonts w:ascii="宋体" w:hAnsi="宋体" w:eastAsia="宋体" w:cs="宋体"/>
                <w:b w:val="0"/>
                <w:i w:val="0"/>
                <w:color w:val="000000"/>
                <w:sz w:val="16"/>
              </w:rPr>
              <w:t>行政单位医疗</w:t>
            </w:r>
          </w:p>
        </w:tc>
        <w:tc>
          <w:tcPr>
            <w:tcW w:w="1420" w:type="dxa"/>
            <w:vAlign w:val="center"/>
          </w:tcPr>
          <w:p w14:paraId="2C189B4F">
            <w:pPr>
              <w:jc w:val="right"/>
            </w:pPr>
            <w:r>
              <w:rPr>
                <w:rFonts w:ascii="宋体" w:hAnsi="宋体" w:eastAsia="宋体" w:cs="宋体"/>
                <w:b w:val="0"/>
                <w:i w:val="0"/>
                <w:color w:val="000000"/>
                <w:sz w:val="16"/>
              </w:rPr>
              <w:t>29.66</w:t>
            </w:r>
          </w:p>
        </w:tc>
        <w:tc>
          <w:tcPr>
            <w:tcW w:w="1520" w:type="dxa"/>
            <w:vAlign w:val="center"/>
          </w:tcPr>
          <w:p w14:paraId="17BA201C">
            <w:pPr>
              <w:jc w:val="right"/>
            </w:pPr>
            <w:r>
              <w:rPr>
                <w:rFonts w:ascii="宋体" w:hAnsi="宋体" w:eastAsia="宋体" w:cs="宋体"/>
                <w:b w:val="0"/>
                <w:i w:val="0"/>
                <w:color w:val="000000"/>
                <w:sz w:val="16"/>
              </w:rPr>
              <w:t>29.66</w:t>
            </w:r>
          </w:p>
        </w:tc>
        <w:tc>
          <w:tcPr>
            <w:tcW w:w="1526" w:type="dxa"/>
            <w:vAlign w:val="center"/>
          </w:tcPr>
          <w:p w14:paraId="129DD95F"/>
        </w:tc>
      </w:tr>
      <w:tr w14:paraId="410C8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3C16C5">
            <w:pPr>
              <w:jc w:val="left"/>
            </w:pPr>
            <w:r>
              <w:rPr>
                <w:rFonts w:ascii="宋体" w:hAnsi="宋体" w:eastAsia="宋体" w:cs="宋体"/>
                <w:b w:val="0"/>
                <w:i w:val="0"/>
                <w:color w:val="000000"/>
                <w:sz w:val="16"/>
              </w:rPr>
              <w:t>2101102</w:t>
            </w:r>
          </w:p>
        </w:tc>
        <w:tc>
          <w:tcPr>
            <w:tcW w:w="2700" w:type="dxa"/>
            <w:vAlign w:val="center"/>
          </w:tcPr>
          <w:p w14:paraId="2030CFCB">
            <w:pPr>
              <w:jc w:val="left"/>
            </w:pPr>
            <w:r>
              <w:rPr>
                <w:rFonts w:ascii="宋体" w:hAnsi="宋体" w:eastAsia="宋体" w:cs="宋体"/>
                <w:b w:val="0"/>
                <w:i w:val="0"/>
                <w:color w:val="000000"/>
                <w:sz w:val="16"/>
              </w:rPr>
              <w:t>事业单位医疗</w:t>
            </w:r>
          </w:p>
        </w:tc>
        <w:tc>
          <w:tcPr>
            <w:tcW w:w="1420" w:type="dxa"/>
            <w:vAlign w:val="center"/>
          </w:tcPr>
          <w:p w14:paraId="50EFE647">
            <w:pPr>
              <w:jc w:val="right"/>
            </w:pPr>
            <w:r>
              <w:rPr>
                <w:rFonts w:ascii="宋体" w:hAnsi="宋体" w:eastAsia="宋体" w:cs="宋体"/>
                <w:b w:val="0"/>
                <w:i w:val="0"/>
                <w:color w:val="000000"/>
                <w:sz w:val="16"/>
              </w:rPr>
              <w:t>9.50</w:t>
            </w:r>
          </w:p>
        </w:tc>
        <w:tc>
          <w:tcPr>
            <w:tcW w:w="1520" w:type="dxa"/>
            <w:vAlign w:val="center"/>
          </w:tcPr>
          <w:p w14:paraId="43D48643">
            <w:pPr>
              <w:jc w:val="right"/>
            </w:pPr>
            <w:r>
              <w:rPr>
                <w:rFonts w:ascii="宋体" w:hAnsi="宋体" w:eastAsia="宋体" w:cs="宋体"/>
                <w:b w:val="0"/>
                <w:i w:val="0"/>
                <w:color w:val="000000"/>
                <w:sz w:val="16"/>
              </w:rPr>
              <w:t>9.50</w:t>
            </w:r>
          </w:p>
        </w:tc>
        <w:tc>
          <w:tcPr>
            <w:tcW w:w="1526" w:type="dxa"/>
            <w:vAlign w:val="center"/>
          </w:tcPr>
          <w:p w14:paraId="5C176129"/>
        </w:tc>
      </w:tr>
      <w:tr w14:paraId="58623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268C3F">
            <w:pPr>
              <w:jc w:val="left"/>
            </w:pPr>
            <w:r>
              <w:rPr>
                <w:rFonts w:ascii="宋体" w:hAnsi="宋体" w:eastAsia="宋体" w:cs="宋体"/>
                <w:b w:val="0"/>
                <w:i w:val="0"/>
                <w:color w:val="000000"/>
                <w:sz w:val="16"/>
              </w:rPr>
              <w:t>2101199</w:t>
            </w:r>
          </w:p>
        </w:tc>
        <w:tc>
          <w:tcPr>
            <w:tcW w:w="2700" w:type="dxa"/>
            <w:vAlign w:val="center"/>
          </w:tcPr>
          <w:p w14:paraId="3FEC645C">
            <w:pPr>
              <w:jc w:val="left"/>
            </w:pPr>
            <w:r>
              <w:rPr>
                <w:rFonts w:ascii="宋体" w:hAnsi="宋体" w:eastAsia="宋体" w:cs="宋体"/>
                <w:b w:val="0"/>
                <w:i w:val="0"/>
                <w:color w:val="000000"/>
                <w:sz w:val="16"/>
              </w:rPr>
              <w:t>其他行政事业单位医疗支出</w:t>
            </w:r>
          </w:p>
        </w:tc>
        <w:tc>
          <w:tcPr>
            <w:tcW w:w="1420" w:type="dxa"/>
            <w:vAlign w:val="center"/>
          </w:tcPr>
          <w:p w14:paraId="23933B4A">
            <w:pPr>
              <w:jc w:val="right"/>
            </w:pPr>
            <w:r>
              <w:rPr>
                <w:rFonts w:ascii="宋体" w:hAnsi="宋体" w:eastAsia="宋体" w:cs="宋体"/>
                <w:b w:val="0"/>
                <w:i w:val="0"/>
                <w:color w:val="000000"/>
                <w:sz w:val="16"/>
              </w:rPr>
              <w:t>1.65</w:t>
            </w:r>
          </w:p>
        </w:tc>
        <w:tc>
          <w:tcPr>
            <w:tcW w:w="1520" w:type="dxa"/>
            <w:vAlign w:val="center"/>
          </w:tcPr>
          <w:p w14:paraId="05A5CD8C">
            <w:pPr>
              <w:jc w:val="right"/>
            </w:pPr>
            <w:r>
              <w:rPr>
                <w:rFonts w:ascii="宋体" w:hAnsi="宋体" w:eastAsia="宋体" w:cs="宋体"/>
                <w:b w:val="0"/>
                <w:i w:val="0"/>
                <w:color w:val="000000"/>
                <w:sz w:val="16"/>
              </w:rPr>
              <w:t>1.65</w:t>
            </w:r>
          </w:p>
        </w:tc>
        <w:tc>
          <w:tcPr>
            <w:tcW w:w="1526" w:type="dxa"/>
            <w:vAlign w:val="center"/>
          </w:tcPr>
          <w:p w14:paraId="3F181699"/>
        </w:tc>
      </w:tr>
      <w:tr w14:paraId="32670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AD5969">
            <w:pPr>
              <w:jc w:val="left"/>
            </w:pPr>
            <w:r>
              <w:rPr>
                <w:rFonts w:ascii="宋体" w:hAnsi="宋体" w:eastAsia="宋体" w:cs="宋体"/>
                <w:b w:val="0"/>
                <w:i w:val="0"/>
                <w:color w:val="000000"/>
                <w:sz w:val="16"/>
              </w:rPr>
              <w:t>221</w:t>
            </w:r>
          </w:p>
        </w:tc>
        <w:tc>
          <w:tcPr>
            <w:tcW w:w="2700" w:type="dxa"/>
            <w:vAlign w:val="center"/>
          </w:tcPr>
          <w:p w14:paraId="2F7935DC">
            <w:pPr>
              <w:jc w:val="left"/>
            </w:pPr>
            <w:r>
              <w:rPr>
                <w:rFonts w:ascii="宋体" w:hAnsi="宋体" w:eastAsia="宋体" w:cs="宋体"/>
                <w:b w:val="0"/>
                <w:i w:val="0"/>
                <w:color w:val="000000"/>
                <w:sz w:val="16"/>
              </w:rPr>
              <w:t>住房保障支出</w:t>
            </w:r>
          </w:p>
        </w:tc>
        <w:tc>
          <w:tcPr>
            <w:tcW w:w="1420" w:type="dxa"/>
            <w:vAlign w:val="center"/>
          </w:tcPr>
          <w:p w14:paraId="3E6DD40E">
            <w:pPr>
              <w:jc w:val="right"/>
            </w:pPr>
            <w:r>
              <w:rPr>
                <w:rFonts w:ascii="宋体" w:hAnsi="宋体" w:eastAsia="宋体" w:cs="宋体"/>
                <w:b w:val="0"/>
                <w:i w:val="0"/>
                <w:color w:val="000000"/>
                <w:sz w:val="16"/>
              </w:rPr>
              <w:t>109.57</w:t>
            </w:r>
          </w:p>
        </w:tc>
        <w:tc>
          <w:tcPr>
            <w:tcW w:w="1520" w:type="dxa"/>
            <w:vAlign w:val="center"/>
          </w:tcPr>
          <w:p w14:paraId="419C22CB">
            <w:pPr>
              <w:jc w:val="right"/>
            </w:pPr>
            <w:r>
              <w:rPr>
                <w:rFonts w:ascii="宋体" w:hAnsi="宋体" w:eastAsia="宋体" w:cs="宋体"/>
                <w:b w:val="0"/>
                <w:i w:val="0"/>
                <w:color w:val="000000"/>
                <w:sz w:val="16"/>
              </w:rPr>
              <w:t>109.57</w:t>
            </w:r>
          </w:p>
        </w:tc>
        <w:tc>
          <w:tcPr>
            <w:tcW w:w="1526" w:type="dxa"/>
            <w:vAlign w:val="center"/>
          </w:tcPr>
          <w:p w14:paraId="6128BE53"/>
        </w:tc>
      </w:tr>
      <w:tr w14:paraId="7E76C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2A3453">
            <w:pPr>
              <w:jc w:val="left"/>
            </w:pPr>
            <w:r>
              <w:rPr>
                <w:rFonts w:ascii="宋体" w:hAnsi="宋体" w:eastAsia="宋体" w:cs="宋体"/>
                <w:b w:val="0"/>
                <w:i w:val="0"/>
                <w:color w:val="000000"/>
                <w:sz w:val="16"/>
              </w:rPr>
              <w:t>22102</w:t>
            </w:r>
          </w:p>
        </w:tc>
        <w:tc>
          <w:tcPr>
            <w:tcW w:w="2700" w:type="dxa"/>
            <w:vAlign w:val="center"/>
          </w:tcPr>
          <w:p w14:paraId="4978F01F">
            <w:pPr>
              <w:jc w:val="left"/>
            </w:pPr>
            <w:r>
              <w:rPr>
                <w:rFonts w:ascii="宋体" w:hAnsi="宋体" w:eastAsia="宋体" w:cs="宋体"/>
                <w:b w:val="0"/>
                <w:i w:val="0"/>
                <w:color w:val="000000"/>
                <w:sz w:val="16"/>
              </w:rPr>
              <w:t>住房改革支出</w:t>
            </w:r>
          </w:p>
        </w:tc>
        <w:tc>
          <w:tcPr>
            <w:tcW w:w="1420" w:type="dxa"/>
            <w:vAlign w:val="center"/>
          </w:tcPr>
          <w:p w14:paraId="7E592843">
            <w:pPr>
              <w:jc w:val="right"/>
            </w:pPr>
            <w:r>
              <w:rPr>
                <w:rFonts w:ascii="宋体" w:hAnsi="宋体" w:eastAsia="宋体" w:cs="宋体"/>
                <w:b w:val="0"/>
                <w:i w:val="0"/>
                <w:color w:val="000000"/>
                <w:sz w:val="16"/>
              </w:rPr>
              <w:t>109.57</w:t>
            </w:r>
          </w:p>
        </w:tc>
        <w:tc>
          <w:tcPr>
            <w:tcW w:w="1520" w:type="dxa"/>
            <w:vAlign w:val="center"/>
          </w:tcPr>
          <w:p w14:paraId="6FE54D12">
            <w:pPr>
              <w:jc w:val="right"/>
            </w:pPr>
            <w:r>
              <w:rPr>
                <w:rFonts w:ascii="宋体" w:hAnsi="宋体" w:eastAsia="宋体" w:cs="宋体"/>
                <w:b w:val="0"/>
                <w:i w:val="0"/>
                <w:color w:val="000000"/>
                <w:sz w:val="16"/>
              </w:rPr>
              <w:t>109.57</w:t>
            </w:r>
          </w:p>
        </w:tc>
        <w:tc>
          <w:tcPr>
            <w:tcW w:w="1526" w:type="dxa"/>
            <w:vAlign w:val="center"/>
          </w:tcPr>
          <w:p w14:paraId="0545ECDE"/>
        </w:tc>
      </w:tr>
      <w:tr w14:paraId="6B03F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77FF76">
            <w:pPr>
              <w:jc w:val="left"/>
            </w:pPr>
            <w:r>
              <w:rPr>
                <w:rFonts w:ascii="宋体" w:hAnsi="宋体" w:eastAsia="宋体" w:cs="宋体"/>
                <w:b w:val="0"/>
                <w:i w:val="0"/>
                <w:color w:val="000000"/>
                <w:sz w:val="16"/>
              </w:rPr>
              <w:t>2210201</w:t>
            </w:r>
          </w:p>
        </w:tc>
        <w:tc>
          <w:tcPr>
            <w:tcW w:w="2700" w:type="dxa"/>
            <w:vAlign w:val="center"/>
          </w:tcPr>
          <w:p w14:paraId="0ED41B6E">
            <w:pPr>
              <w:jc w:val="left"/>
            </w:pPr>
            <w:r>
              <w:rPr>
                <w:rFonts w:ascii="宋体" w:hAnsi="宋体" w:eastAsia="宋体" w:cs="宋体"/>
                <w:b w:val="0"/>
                <w:i w:val="0"/>
                <w:color w:val="000000"/>
                <w:sz w:val="16"/>
              </w:rPr>
              <w:t>住房公积金</w:t>
            </w:r>
          </w:p>
        </w:tc>
        <w:tc>
          <w:tcPr>
            <w:tcW w:w="1420" w:type="dxa"/>
            <w:vAlign w:val="center"/>
          </w:tcPr>
          <w:p w14:paraId="67159B85">
            <w:pPr>
              <w:jc w:val="right"/>
            </w:pPr>
            <w:r>
              <w:rPr>
                <w:rFonts w:ascii="宋体" w:hAnsi="宋体" w:eastAsia="宋体" w:cs="宋体"/>
                <w:b w:val="0"/>
                <w:i w:val="0"/>
                <w:color w:val="000000"/>
                <w:sz w:val="16"/>
              </w:rPr>
              <w:t>109.57</w:t>
            </w:r>
          </w:p>
        </w:tc>
        <w:tc>
          <w:tcPr>
            <w:tcW w:w="1520" w:type="dxa"/>
            <w:vAlign w:val="center"/>
          </w:tcPr>
          <w:p w14:paraId="51877C74">
            <w:pPr>
              <w:jc w:val="right"/>
            </w:pPr>
            <w:r>
              <w:rPr>
                <w:rFonts w:ascii="宋体" w:hAnsi="宋体" w:eastAsia="宋体" w:cs="宋体"/>
                <w:b w:val="0"/>
                <w:i w:val="0"/>
                <w:color w:val="000000"/>
                <w:sz w:val="16"/>
              </w:rPr>
              <w:t>109.57</w:t>
            </w:r>
          </w:p>
        </w:tc>
        <w:tc>
          <w:tcPr>
            <w:tcW w:w="1526" w:type="dxa"/>
            <w:vAlign w:val="center"/>
          </w:tcPr>
          <w:p w14:paraId="32D4A60E"/>
        </w:tc>
      </w:tr>
      <w:tr w14:paraId="39A14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DC0DB75">
            <w:pPr>
              <w:jc w:val="left"/>
            </w:pPr>
            <w:r>
              <w:rPr>
                <w:rFonts w:ascii="宋体" w:hAnsi="宋体" w:eastAsia="宋体" w:cs="宋体"/>
                <w:b w:val="0"/>
                <w:i w:val="0"/>
                <w:color w:val="000000"/>
                <w:sz w:val="16"/>
              </w:rPr>
              <w:t>注：本表反映部门(单位)本年度一般公共预算财政拨款支出情况。</w:t>
            </w:r>
          </w:p>
        </w:tc>
      </w:tr>
    </w:tbl>
    <w:p w14:paraId="3981F771">
      <w:pPr>
        <w:snapToGrid w:val="0"/>
        <w:spacing w:before="200" w:after="200" w:line="200" w:lineRule="auto"/>
      </w:pPr>
      <w:r>
        <w:rPr>
          <w:sz w:val="8"/>
        </w:rPr>
        <w:t xml:space="preserve"> </w:t>
      </w:r>
    </w:p>
    <w:p w14:paraId="4348DF9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C14F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5A12443">
            <w:pPr>
              <w:jc w:val="right"/>
            </w:pPr>
            <w:r>
              <w:rPr>
                <w:rFonts w:ascii="宋体" w:hAnsi="宋体" w:eastAsia="宋体" w:cs="宋体"/>
                <w:sz w:val="20"/>
              </w:rPr>
              <w:t>公开06表</w:t>
            </w:r>
          </w:p>
        </w:tc>
      </w:tr>
      <w:tr w14:paraId="759A5E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A6DF557">
            <w:pPr>
              <w:jc w:val="left"/>
            </w:pPr>
            <w:r>
              <w:rPr>
                <w:rFonts w:ascii="宋体" w:hAnsi="宋体" w:eastAsia="宋体" w:cs="宋体"/>
                <w:sz w:val="20"/>
              </w:rPr>
              <w:t>部门：浮梁县市场监督管理局</w:t>
            </w:r>
          </w:p>
        </w:tc>
        <w:tc>
          <w:tcPr>
            <w:tcW w:w="2000" w:type="dxa"/>
          </w:tcPr>
          <w:p w14:paraId="2F037D85">
            <w:pPr>
              <w:jc w:val="center"/>
            </w:pPr>
            <w:r>
              <w:rPr>
                <w:rFonts w:ascii="宋体" w:hAnsi="宋体" w:eastAsia="宋体" w:cs="宋体"/>
                <w:sz w:val="20"/>
              </w:rPr>
              <w:t>2023年度</w:t>
            </w:r>
          </w:p>
        </w:tc>
        <w:tc>
          <w:tcPr>
            <w:tcW w:w="3153" w:type="dxa"/>
          </w:tcPr>
          <w:p w14:paraId="0476DB90">
            <w:pPr>
              <w:jc w:val="right"/>
            </w:pPr>
            <w:r>
              <w:rPr>
                <w:rFonts w:ascii="宋体" w:hAnsi="宋体" w:eastAsia="宋体" w:cs="宋体"/>
                <w:sz w:val="20"/>
              </w:rPr>
              <w:t>金额单位：万元</w:t>
            </w:r>
          </w:p>
        </w:tc>
      </w:tr>
    </w:tbl>
    <w:p w14:paraId="01945737">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4BF6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75C6747E">
            <w:pPr>
              <w:jc w:val="center"/>
            </w:pPr>
            <w:r>
              <w:rPr>
                <w:rFonts w:ascii="宋体" w:hAnsi="宋体" w:eastAsia="宋体" w:cs="宋体"/>
                <w:b w:val="0"/>
                <w:i w:val="0"/>
                <w:color w:val="000000"/>
                <w:sz w:val="9"/>
              </w:rPr>
              <w:t>人员经费</w:t>
            </w:r>
          </w:p>
        </w:tc>
        <w:tc>
          <w:tcPr>
            <w:tcW w:w="540" w:type="dxa"/>
            <w:gridSpan w:val="6"/>
            <w:vAlign w:val="center"/>
          </w:tcPr>
          <w:p w14:paraId="43ED4C69">
            <w:pPr>
              <w:jc w:val="center"/>
            </w:pPr>
            <w:r>
              <w:rPr>
                <w:rFonts w:ascii="宋体" w:hAnsi="宋体" w:eastAsia="宋体" w:cs="宋体"/>
                <w:b w:val="0"/>
                <w:i w:val="0"/>
                <w:color w:val="000000"/>
                <w:sz w:val="9"/>
              </w:rPr>
              <w:t>公用经费</w:t>
            </w:r>
          </w:p>
        </w:tc>
      </w:tr>
      <w:tr w14:paraId="3B8B4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701AEBF">
            <w:pPr>
              <w:jc w:val="center"/>
            </w:pPr>
            <w:r>
              <w:rPr>
                <w:rFonts w:ascii="宋体" w:hAnsi="宋体" w:eastAsia="宋体" w:cs="宋体"/>
                <w:b w:val="0"/>
                <w:i w:val="0"/>
                <w:color w:val="000000"/>
                <w:sz w:val="9"/>
              </w:rPr>
              <w:t>经济分类科目编码</w:t>
            </w:r>
          </w:p>
        </w:tc>
        <w:tc>
          <w:tcPr>
            <w:tcW w:w="1740" w:type="dxa"/>
            <w:vAlign w:val="center"/>
          </w:tcPr>
          <w:p w14:paraId="191C711F">
            <w:pPr>
              <w:jc w:val="center"/>
            </w:pPr>
            <w:r>
              <w:rPr>
                <w:rFonts w:ascii="宋体" w:hAnsi="宋体" w:eastAsia="宋体" w:cs="宋体"/>
                <w:b w:val="0"/>
                <w:i w:val="0"/>
                <w:color w:val="000000"/>
                <w:sz w:val="9"/>
              </w:rPr>
              <w:t>科目名称</w:t>
            </w:r>
          </w:p>
        </w:tc>
        <w:tc>
          <w:tcPr>
            <w:tcW w:w="800" w:type="dxa"/>
            <w:vAlign w:val="center"/>
          </w:tcPr>
          <w:p w14:paraId="7E34BF0A">
            <w:pPr>
              <w:jc w:val="center"/>
            </w:pPr>
            <w:r>
              <w:rPr>
                <w:rFonts w:ascii="宋体" w:hAnsi="宋体" w:eastAsia="宋体" w:cs="宋体"/>
                <w:b w:val="0"/>
                <w:i w:val="0"/>
                <w:color w:val="000000"/>
                <w:sz w:val="9"/>
              </w:rPr>
              <w:t>金额</w:t>
            </w:r>
          </w:p>
        </w:tc>
        <w:tc>
          <w:tcPr>
            <w:tcW w:w="540" w:type="dxa"/>
            <w:vAlign w:val="center"/>
          </w:tcPr>
          <w:p w14:paraId="2487AA2B">
            <w:pPr>
              <w:jc w:val="center"/>
            </w:pPr>
            <w:r>
              <w:rPr>
                <w:rFonts w:ascii="宋体" w:hAnsi="宋体" w:eastAsia="宋体" w:cs="宋体"/>
                <w:b w:val="0"/>
                <w:i w:val="0"/>
                <w:color w:val="000000"/>
                <w:sz w:val="9"/>
              </w:rPr>
              <w:t>经济分类科目编码</w:t>
            </w:r>
          </w:p>
        </w:tc>
        <w:tc>
          <w:tcPr>
            <w:tcW w:w="1380" w:type="dxa"/>
            <w:vAlign w:val="center"/>
          </w:tcPr>
          <w:p w14:paraId="49B78373">
            <w:pPr>
              <w:jc w:val="center"/>
            </w:pPr>
            <w:r>
              <w:rPr>
                <w:rFonts w:ascii="宋体" w:hAnsi="宋体" w:eastAsia="宋体" w:cs="宋体"/>
                <w:b w:val="0"/>
                <w:i w:val="0"/>
                <w:color w:val="000000"/>
                <w:sz w:val="9"/>
              </w:rPr>
              <w:t>科目名称</w:t>
            </w:r>
          </w:p>
        </w:tc>
        <w:tc>
          <w:tcPr>
            <w:tcW w:w="820" w:type="dxa"/>
            <w:vAlign w:val="center"/>
          </w:tcPr>
          <w:p w14:paraId="45C66D74">
            <w:pPr>
              <w:jc w:val="center"/>
            </w:pPr>
            <w:r>
              <w:rPr>
                <w:rFonts w:ascii="宋体" w:hAnsi="宋体" w:eastAsia="宋体" w:cs="宋体"/>
                <w:b w:val="0"/>
                <w:i w:val="0"/>
                <w:color w:val="000000"/>
                <w:sz w:val="9"/>
              </w:rPr>
              <w:t>金额</w:t>
            </w:r>
          </w:p>
        </w:tc>
        <w:tc>
          <w:tcPr>
            <w:tcW w:w="540" w:type="dxa"/>
            <w:vAlign w:val="center"/>
          </w:tcPr>
          <w:p w14:paraId="46A21B06">
            <w:pPr>
              <w:jc w:val="center"/>
            </w:pPr>
            <w:r>
              <w:rPr>
                <w:rFonts w:ascii="宋体" w:hAnsi="宋体" w:eastAsia="宋体" w:cs="宋体"/>
                <w:b w:val="0"/>
                <w:i w:val="0"/>
                <w:color w:val="000000"/>
                <w:sz w:val="9"/>
              </w:rPr>
              <w:t>经济分类科目编码</w:t>
            </w:r>
          </w:p>
        </w:tc>
        <w:tc>
          <w:tcPr>
            <w:tcW w:w="1260" w:type="dxa"/>
            <w:vAlign w:val="center"/>
          </w:tcPr>
          <w:p w14:paraId="2E7554D1">
            <w:pPr>
              <w:jc w:val="center"/>
            </w:pPr>
            <w:r>
              <w:rPr>
                <w:rFonts w:ascii="宋体" w:hAnsi="宋体" w:eastAsia="宋体" w:cs="宋体"/>
                <w:b w:val="0"/>
                <w:i w:val="0"/>
                <w:color w:val="000000"/>
                <w:sz w:val="9"/>
              </w:rPr>
              <w:t>科目名称</w:t>
            </w:r>
          </w:p>
        </w:tc>
        <w:tc>
          <w:tcPr>
            <w:tcW w:w="786" w:type="dxa"/>
            <w:vAlign w:val="center"/>
          </w:tcPr>
          <w:p w14:paraId="1352EEF4">
            <w:pPr>
              <w:jc w:val="center"/>
            </w:pPr>
            <w:r>
              <w:rPr>
                <w:rFonts w:ascii="宋体" w:hAnsi="宋体" w:eastAsia="宋体" w:cs="宋体"/>
                <w:b w:val="0"/>
                <w:i w:val="0"/>
                <w:color w:val="000000"/>
                <w:sz w:val="9"/>
              </w:rPr>
              <w:t>金额</w:t>
            </w:r>
          </w:p>
        </w:tc>
      </w:tr>
      <w:tr w14:paraId="23780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515CB5">
            <w:pPr>
              <w:jc w:val="left"/>
            </w:pPr>
            <w:r>
              <w:rPr>
                <w:rFonts w:ascii="宋体" w:hAnsi="宋体" w:eastAsia="宋体" w:cs="宋体"/>
                <w:b/>
                <w:i w:val="0"/>
                <w:color w:val="000000"/>
                <w:sz w:val="9"/>
              </w:rPr>
              <w:t>301</w:t>
            </w:r>
          </w:p>
        </w:tc>
        <w:tc>
          <w:tcPr>
            <w:tcW w:w="1740" w:type="dxa"/>
            <w:vAlign w:val="center"/>
          </w:tcPr>
          <w:p w14:paraId="77607223">
            <w:pPr>
              <w:jc w:val="left"/>
            </w:pPr>
            <w:r>
              <w:rPr>
                <w:rFonts w:ascii="宋体" w:hAnsi="宋体" w:eastAsia="宋体" w:cs="宋体"/>
                <w:b/>
                <w:i w:val="0"/>
                <w:color w:val="000000"/>
                <w:sz w:val="9"/>
              </w:rPr>
              <w:t>工资福利支出</w:t>
            </w:r>
          </w:p>
        </w:tc>
        <w:tc>
          <w:tcPr>
            <w:tcW w:w="800" w:type="dxa"/>
            <w:vAlign w:val="center"/>
          </w:tcPr>
          <w:p w14:paraId="6A2A5D1A">
            <w:pPr>
              <w:jc w:val="right"/>
            </w:pPr>
            <w:r>
              <w:rPr>
                <w:rFonts w:ascii="宋体" w:hAnsi="宋体" w:eastAsia="宋体" w:cs="宋体"/>
                <w:b w:val="0"/>
                <w:i w:val="0"/>
                <w:color w:val="000000"/>
                <w:sz w:val="9"/>
              </w:rPr>
              <w:t>1,370.73</w:t>
            </w:r>
          </w:p>
        </w:tc>
        <w:tc>
          <w:tcPr>
            <w:tcW w:w="540" w:type="dxa"/>
            <w:vAlign w:val="center"/>
          </w:tcPr>
          <w:p w14:paraId="2A44FD58">
            <w:pPr>
              <w:jc w:val="left"/>
            </w:pPr>
            <w:r>
              <w:rPr>
                <w:rFonts w:ascii="宋体" w:hAnsi="宋体" w:eastAsia="宋体" w:cs="宋体"/>
                <w:b/>
                <w:i w:val="0"/>
                <w:color w:val="000000"/>
                <w:sz w:val="9"/>
              </w:rPr>
              <w:t>302</w:t>
            </w:r>
          </w:p>
        </w:tc>
        <w:tc>
          <w:tcPr>
            <w:tcW w:w="1380" w:type="dxa"/>
            <w:vAlign w:val="center"/>
          </w:tcPr>
          <w:p w14:paraId="20296BD2">
            <w:pPr>
              <w:jc w:val="left"/>
            </w:pPr>
            <w:r>
              <w:rPr>
                <w:rFonts w:ascii="宋体" w:hAnsi="宋体" w:eastAsia="宋体" w:cs="宋体"/>
                <w:b/>
                <w:i w:val="0"/>
                <w:color w:val="000000"/>
                <w:sz w:val="9"/>
              </w:rPr>
              <w:t>商品和服务支出</w:t>
            </w:r>
          </w:p>
        </w:tc>
        <w:tc>
          <w:tcPr>
            <w:tcW w:w="820" w:type="dxa"/>
            <w:vAlign w:val="center"/>
          </w:tcPr>
          <w:p w14:paraId="54FA5482">
            <w:pPr>
              <w:jc w:val="right"/>
            </w:pPr>
            <w:r>
              <w:rPr>
                <w:rFonts w:ascii="宋体" w:hAnsi="宋体" w:eastAsia="宋体" w:cs="宋体"/>
                <w:b w:val="0"/>
                <w:i w:val="0"/>
                <w:color w:val="000000"/>
                <w:sz w:val="9"/>
              </w:rPr>
              <w:t>149.08</w:t>
            </w:r>
          </w:p>
        </w:tc>
        <w:tc>
          <w:tcPr>
            <w:tcW w:w="540" w:type="dxa"/>
            <w:vAlign w:val="center"/>
          </w:tcPr>
          <w:p w14:paraId="07CC5331">
            <w:pPr>
              <w:jc w:val="left"/>
            </w:pPr>
            <w:r>
              <w:rPr>
                <w:rFonts w:ascii="宋体" w:hAnsi="宋体" w:eastAsia="宋体" w:cs="宋体"/>
                <w:b/>
                <w:i w:val="0"/>
                <w:color w:val="000000"/>
                <w:sz w:val="9"/>
              </w:rPr>
              <w:t>307</w:t>
            </w:r>
          </w:p>
        </w:tc>
        <w:tc>
          <w:tcPr>
            <w:tcW w:w="1260" w:type="dxa"/>
            <w:vAlign w:val="center"/>
          </w:tcPr>
          <w:p w14:paraId="29FB4151">
            <w:pPr>
              <w:jc w:val="left"/>
            </w:pPr>
            <w:r>
              <w:rPr>
                <w:rFonts w:ascii="宋体" w:hAnsi="宋体" w:eastAsia="宋体" w:cs="宋体"/>
                <w:b/>
                <w:i w:val="0"/>
                <w:color w:val="000000"/>
                <w:sz w:val="9"/>
              </w:rPr>
              <w:t>债务利息及费用支出</w:t>
            </w:r>
          </w:p>
        </w:tc>
        <w:tc>
          <w:tcPr>
            <w:tcW w:w="786" w:type="dxa"/>
            <w:vAlign w:val="center"/>
          </w:tcPr>
          <w:p w14:paraId="4229054F"/>
        </w:tc>
      </w:tr>
      <w:tr w14:paraId="0306B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385E40">
            <w:pPr>
              <w:jc w:val="left"/>
            </w:pPr>
            <w:r>
              <w:rPr>
                <w:rFonts w:ascii="宋体" w:hAnsi="宋体" w:eastAsia="宋体" w:cs="宋体"/>
                <w:b w:val="0"/>
                <w:i w:val="0"/>
                <w:color w:val="000000"/>
                <w:sz w:val="9"/>
              </w:rPr>
              <w:t>30101</w:t>
            </w:r>
          </w:p>
        </w:tc>
        <w:tc>
          <w:tcPr>
            <w:tcW w:w="1740" w:type="dxa"/>
            <w:vAlign w:val="center"/>
          </w:tcPr>
          <w:p w14:paraId="78233959">
            <w:pPr>
              <w:jc w:val="left"/>
            </w:pPr>
            <w:r>
              <w:rPr>
                <w:rFonts w:ascii="宋体" w:hAnsi="宋体" w:eastAsia="宋体" w:cs="宋体"/>
                <w:b w:val="0"/>
                <w:i w:val="0"/>
                <w:color w:val="000000"/>
                <w:sz w:val="9"/>
              </w:rPr>
              <w:t xml:space="preserve">  基本工资</w:t>
            </w:r>
          </w:p>
        </w:tc>
        <w:tc>
          <w:tcPr>
            <w:tcW w:w="800" w:type="dxa"/>
            <w:vAlign w:val="center"/>
          </w:tcPr>
          <w:p w14:paraId="1B656396">
            <w:pPr>
              <w:jc w:val="right"/>
            </w:pPr>
            <w:r>
              <w:rPr>
                <w:rFonts w:ascii="宋体" w:hAnsi="宋体" w:eastAsia="宋体" w:cs="宋体"/>
                <w:b w:val="0"/>
                <w:i w:val="0"/>
                <w:color w:val="000000"/>
                <w:sz w:val="9"/>
              </w:rPr>
              <w:t>425.68</w:t>
            </w:r>
          </w:p>
        </w:tc>
        <w:tc>
          <w:tcPr>
            <w:tcW w:w="540" w:type="dxa"/>
            <w:vAlign w:val="center"/>
          </w:tcPr>
          <w:p w14:paraId="30F2A83E">
            <w:pPr>
              <w:jc w:val="left"/>
            </w:pPr>
            <w:r>
              <w:rPr>
                <w:rFonts w:ascii="宋体" w:hAnsi="宋体" w:eastAsia="宋体" w:cs="宋体"/>
                <w:b w:val="0"/>
                <w:i w:val="0"/>
                <w:color w:val="000000"/>
                <w:sz w:val="9"/>
              </w:rPr>
              <w:t>30201</w:t>
            </w:r>
          </w:p>
        </w:tc>
        <w:tc>
          <w:tcPr>
            <w:tcW w:w="1380" w:type="dxa"/>
            <w:vAlign w:val="center"/>
          </w:tcPr>
          <w:p w14:paraId="0AFBEC74">
            <w:pPr>
              <w:jc w:val="left"/>
            </w:pPr>
            <w:r>
              <w:rPr>
                <w:rFonts w:ascii="宋体" w:hAnsi="宋体" w:eastAsia="宋体" w:cs="宋体"/>
                <w:b w:val="0"/>
                <w:i w:val="0"/>
                <w:color w:val="000000"/>
                <w:sz w:val="9"/>
              </w:rPr>
              <w:t xml:space="preserve">  办公费</w:t>
            </w:r>
          </w:p>
        </w:tc>
        <w:tc>
          <w:tcPr>
            <w:tcW w:w="820" w:type="dxa"/>
            <w:vAlign w:val="center"/>
          </w:tcPr>
          <w:p w14:paraId="32B9D18C">
            <w:pPr>
              <w:jc w:val="right"/>
            </w:pPr>
            <w:r>
              <w:rPr>
                <w:rFonts w:ascii="宋体" w:hAnsi="宋体" w:eastAsia="宋体" w:cs="宋体"/>
                <w:b w:val="0"/>
                <w:i w:val="0"/>
                <w:color w:val="000000"/>
                <w:sz w:val="9"/>
              </w:rPr>
              <w:t>25.97</w:t>
            </w:r>
          </w:p>
        </w:tc>
        <w:tc>
          <w:tcPr>
            <w:tcW w:w="540" w:type="dxa"/>
            <w:vAlign w:val="center"/>
          </w:tcPr>
          <w:p w14:paraId="0802A01C">
            <w:pPr>
              <w:jc w:val="left"/>
            </w:pPr>
            <w:r>
              <w:rPr>
                <w:rFonts w:ascii="宋体" w:hAnsi="宋体" w:eastAsia="宋体" w:cs="宋体"/>
                <w:b w:val="0"/>
                <w:i w:val="0"/>
                <w:color w:val="000000"/>
                <w:sz w:val="9"/>
              </w:rPr>
              <w:t>30701</w:t>
            </w:r>
          </w:p>
        </w:tc>
        <w:tc>
          <w:tcPr>
            <w:tcW w:w="1260" w:type="dxa"/>
            <w:vAlign w:val="center"/>
          </w:tcPr>
          <w:p w14:paraId="4BC30152">
            <w:pPr>
              <w:jc w:val="left"/>
            </w:pPr>
            <w:r>
              <w:rPr>
                <w:rFonts w:ascii="宋体" w:hAnsi="宋体" w:eastAsia="宋体" w:cs="宋体"/>
                <w:b w:val="0"/>
                <w:i w:val="0"/>
                <w:color w:val="000000"/>
                <w:sz w:val="9"/>
              </w:rPr>
              <w:t xml:space="preserve">  国内债务付息</w:t>
            </w:r>
          </w:p>
        </w:tc>
        <w:tc>
          <w:tcPr>
            <w:tcW w:w="786" w:type="dxa"/>
            <w:vAlign w:val="center"/>
          </w:tcPr>
          <w:p w14:paraId="1759673C"/>
        </w:tc>
      </w:tr>
      <w:tr w14:paraId="69F5E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48B1D5">
            <w:pPr>
              <w:jc w:val="left"/>
            </w:pPr>
            <w:r>
              <w:rPr>
                <w:rFonts w:ascii="宋体" w:hAnsi="宋体" w:eastAsia="宋体" w:cs="宋体"/>
                <w:b w:val="0"/>
                <w:i w:val="0"/>
                <w:color w:val="000000"/>
                <w:sz w:val="9"/>
              </w:rPr>
              <w:t>30102</w:t>
            </w:r>
          </w:p>
        </w:tc>
        <w:tc>
          <w:tcPr>
            <w:tcW w:w="1740" w:type="dxa"/>
            <w:vAlign w:val="center"/>
          </w:tcPr>
          <w:p w14:paraId="1EF6FF9A">
            <w:pPr>
              <w:jc w:val="left"/>
            </w:pPr>
            <w:r>
              <w:rPr>
                <w:rFonts w:ascii="宋体" w:hAnsi="宋体" w:eastAsia="宋体" w:cs="宋体"/>
                <w:b w:val="0"/>
                <w:i w:val="0"/>
                <w:color w:val="000000"/>
                <w:sz w:val="9"/>
              </w:rPr>
              <w:t xml:space="preserve">  津贴补贴</w:t>
            </w:r>
          </w:p>
        </w:tc>
        <w:tc>
          <w:tcPr>
            <w:tcW w:w="800" w:type="dxa"/>
            <w:vAlign w:val="center"/>
          </w:tcPr>
          <w:p w14:paraId="5987ADA9">
            <w:pPr>
              <w:jc w:val="right"/>
            </w:pPr>
            <w:r>
              <w:rPr>
                <w:rFonts w:ascii="宋体" w:hAnsi="宋体" w:eastAsia="宋体" w:cs="宋体"/>
                <w:b w:val="0"/>
                <w:i w:val="0"/>
                <w:color w:val="000000"/>
                <w:sz w:val="9"/>
              </w:rPr>
              <w:t>303.47</w:t>
            </w:r>
          </w:p>
        </w:tc>
        <w:tc>
          <w:tcPr>
            <w:tcW w:w="540" w:type="dxa"/>
            <w:vAlign w:val="center"/>
          </w:tcPr>
          <w:p w14:paraId="1B3C10FC">
            <w:pPr>
              <w:jc w:val="left"/>
            </w:pPr>
            <w:r>
              <w:rPr>
                <w:rFonts w:ascii="宋体" w:hAnsi="宋体" w:eastAsia="宋体" w:cs="宋体"/>
                <w:b w:val="0"/>
                <w:i w:val="0"/>
                <w:color w:val="000000"/>
                <w:sz w:val="9"/>
              </w:rPr>
              <w:t>30202</w:t>
            </w:r>
          </w:p>
        </w:tc>
        <w:tc>
          <w:tcPr>
            <w:tcW w:w="1380" w:type="dxa"/>
            <w:vAlign w:val="center"/>
          </w:tcPr>
          <w:p w14:paraId="47E1187B">
            <w:pPr>
              <w:jc w:val="left"/>
            </w:pPr>
            <w:r>
              <w:rPr>
                <w:rFonts w:ascii="宋体" w:hAnsi="宋体" w:eastAsia="宋体" w:cs="宋体"/>
                <w:b w:val="0"/>
                <w:i w:val="0"/>
                <w:color w:val="000000"/>
                <w:sz w:val="9"/>
              </w:rPr>
              <w:t xml:space="preserve">  印刷费</w:t>
            </w:r>
          </w:p>
        </w:tc>
        <w:tc>
          <w:tcPr>
            <w:tcW w:w="820" w:type="dxa"/>
            <w:vAlign w:val="center"/>
          </w:tcPr>
          <w:p w14:paraId="6630B496">
            <w:pPr>
              <w:jc w:val="right"/>
            </w:pPr>
            <w:r>
              <w:rPr>
                <w:rFonts w:ascii="宋体" w:hAnsi="宋体" w:eastAsia="宋体" w:cs="宋体"/>
                <w:b w:val="0"/>
                <w:i w:val="0"/>
                <w:color w:val="000000"/>
                <w:sz w:val="9"/>
              </w:rPr>
              <w:t>4.59</w:t>
            </w:r>
          </w:p>
        </w:tc>
        <w:tc>
          <w:tcPr>
            <w:tcW w:w="540" w:type="dxa"/>
            <w:vAlign w:val="center"/>
          </w:tcPr>
          <w:p w14:paraId="055E8FE0">
            <w:pPr>
              <w:jc w:val="left"/>
            </w:pPr>
            <w:r>
              <w:rPr>
                <w:rFonts w:ascii="宋体" w:hAnsi="宋体" w:eastAsia="宋体" w:cs="宋体"/>
                <w:b w:val="0"/>
                <w:i w:val="0"/>
                <w:color w:val="000000"/>
                <w:sz w:val="9"/>
              </w:rPr>
              <w:t>30702</w:t>
            </w:r>
          </w:p>
        </w:tc>
        <w:tc>
          <w:tcPr>
            <w:tcW w:w="1260" w:type="dxa"/>
            <w:vAlign w:val="center"/>
          </w:tcPr>
          <w:p w14:paraId="4B0D694E">
            <w:pPr>
              <w:jc w:val="left"/>
            </w:pPr>
            <w:r>
              <w:rPr>
                <w:rFonts w:ascii="宋体" w:hAnsi="宋体" w:eastAsia="宋体" w:cs="宋体"/>
                <w:b w:val="0"/>
                <w:i w:val="0"/>
                <w:color w:val="000000"/>
                <w:sz w:val="9"/>
              </w:rPr>
              <w:t xml:space="preserve">  国外债务付息</w:t>
            </w:r>
          </w:p>
        </w:tc>
        <w:tc>
          <w:tcPr>
            <w:tcW w:w="786" w:type="dxa"/>
            <w:vAlign w:val="center"/>
          </w:tcPr>
          <w:p w14:paraId="65F3E987"/>
        </w:tc>
      </w:tr>
      <w:tr w14:paraId="10A5F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B95233">
            <w:pPr>
              <w:jc w:val="left"/>
            </w:pPr>
            <w:r>
              <w:rPr>
                <w:rFonts w:ascii="宋体" w:hAnsi="宋体" w:eastAsia="宋体" w:cs="宋体"/>
                <w:b w:val="0"/>
                <w:i w:val="0"/>
                <w:color w:val="000000"/>
                <w:sz w:val="9"/>
              </w:rPr>
              <w:t>30103</w:t>
            </w:r>
          </w:p>
        </w:tc>
        <w:tc>
          <w:tcPr>
            <w:tcW w:w="1740" w:type="dxa"/>
            <w:vAlign w:val="center"/>
          </w:tcPr>
          <w:p w14:paraId="77177574">
            <w:pPr>
              <w:jc w:val="left"/>
            </w:pPr>
            <w:r>
              <w:rPr>
                <w:rFonts w:ascii="宋体" w:hAnsi="宋体" w:eastAsia="宋体" w:cs="宋体"/>
                <w:b w:val="0"/>
                <w:i w:val="0"/>
                <w:color w:val="000000"/>
                <w:sz w:val="9"/>
              </w:rPr>
              <w:t xml:space="preserve">  奖金</w:t>
            </w:r>
          </w:p>
        </w:tc>
        <w:tc>
          <w:tcPr>
            <w:tcW w:w="800" w:type="dxa"/>
            <w:vAlign w:val="center"/>
          </w:tcPr>
          <w:p w14:paraId="643EA81B">
            <w:pPr>
              <w:jc w:val="right"/>
            </w:pPr>
            <w:r>
              <w:rPr>
                <w:rFonts w:ascii="宋体" w:hAnsi="宋体" w:eastAsia="宋体" w:cs="宋体"/>
                <w:b w:val="0"/>
                <w:i w:val="0"/>
                <w:color w:val="000000"/>
                <w:sz w:val="9"/>
              </w:rPr>
              <w:t>15.06</w:t>
            </w:r>
          </w:p>
        </w:tc>
        <w:tc>
          <w:tcPr>
            <w:tcW w:w="540" w:type="dxa"/>
            <w:vAlign w:val="center"/>
          </w:tcPr>
          <w:p w14:paraId="45E7A723">
            <w:pPr>
              <w:jc w:val="left"/>
            </w:pPr>
            <w:r>
              <w:rPr>
                <w:rFonts w:ascii="宋体" w:hAnsi="宋体" w:eastAsia="宋体" w:cs="宋体"/>
                <w:b w:val="0"/>
                <w:i w:val="0"/>
                <w:color w:val="000000"/>
                <w:sz w:val="9"/>
              </w:rPr>
              <w:t>30203</w:t>
            </w:r>
          </w:p>
        </w:tc>
        <w:tc>
          <w:tcPr>
            <w:tcW w:w="1380" w:type="dxa"/>
            <w:vAlign w:val="center"/>
          </w:tcPr>
          <w:p w14:paraId="079ABE44">
            <w:pPr>
              <w:jc w:val="left"/>
            </w:pPr>
            <w:r>
              <w:rPr>
                <w:rFonts w:ascii="宋体" w:hAnsi="宋体" w:eastAsia="宋体" w:cs="宋体"/>
                <w:b w:val="0"/>
                <w:i w:val="0"/>
                <w:color w:val="000000"/>
                <w:sz w:val="9"/>
              </w:rPr>
              <w:t xml:space="preserve">  咨询费</w:t>
            </w:r>
          </w:p>
        </w:tc>
        <w:tc>
          <w:tcPr>
            <w:tcW w:w="820" w:type="dxa"/>
            <w:vAlign w:val="center"/>
          </w:tcPr>
          <w:p w14:paraId="02CCBF7D">
            <w:pPr>
              <w:jc w:val="right"/>
            </w:pPr>
            <w:r>
              <w:rPr>
                <w:rFonts w:ascii="宋体" w:hAnsi="宋体" w:eastAsia="宋体" w:cs="宋体"/>
                <w:b w:val="0"/>
                <w:i w:val="0"/>
                <w:color w:val="000000"/>
                <w:sz w:val="9"/>
              </w:rPr>
              <w:t>9.83</w:t>
            </w:r>
          </w:p>
        </w:tc>
        <w:tc>
          <w:tcPr>
            <w:tcW w:w="540" w:type="dxa"/>
            <w:vAlign w:val="center"/>
          </w:tcPr>
          <w:p w14:paraId="2029D5A5">
            <w:pPr>
              <w:jc w:val="left"/>
            </w:pPr>
            <w:r>
              <w:rPr>
                <w:rFonts w:ascii="宋体" w:hAnsi="宋体" w:eastAsia="宋体" w:cs="宋体"/>
                <w:b w:val="0"/>
                <w:i w:val="0"/>
                <w:color w:val="000000"/>
                <w:sz w:val="9"/>
              </w:rPr>
              <w:t>30703</w:t>
            </w:r>
          </w:p>
        </w:tc>
        <w:tc>
          <w:tcPr>
            <w:tcW w:w="1260" w:type="dxa"/>
            <w:vAlign w:val="center"/>
          </w:tcPr>
          <w:p w14:paraId="3C53E7C7">
            <w:pPr>
              <w:jc w:val="left"/>
            </w:pPr>
            <w:r>
              <w:rPr>
                <w:rFonts w:ascii="宋体" w:hAnsi="宋体" w:eastAsia="宋体" w:cs="宋体"/>
                <w:b w:val="0"/>
                <w:i w:val="0"/>
                <w:color w:val="000000"/>
                <w:sz w:val="9"/>
              </w:rPr>
              <w:t xml:space="preserve">  国内债务发行费用</w:t>
            </w:r>
          </w:p>
        </w:tc>
        <w:tc>
          <w:tcPr>
            <w:tcW w:w="786" w:type="dxa"/>
            <w:vAlign w:val="center"/>
          </w:tcPr>
          <w:p w14:paraId="5FE01E20"/>
        </w:tc>
      </w:tr>
      <w:tr w14:paraId="3CB71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BB580B">
            <w:pPr>
              <w:jc w:val="left"/>
            </w:pPr>
            <w:r>
              <w:rPr>
                <w:rFonts w:ascii="宋体" w:hAnsi="宋体" w:eastAsia="宋体" w:cs="宋体"/>
                <w:b w:val="0"/>
                <w:i w:val="0"/>
                <w:color w:val="000000"/>
                <w:sz w:val="9"/>
              </w:rPr>
              <w:t>30106</w:t>
            </w:r>
          </w:p>
        </w:tc>
        <w:tc>
          <w:tcPr>
            <w:tcW w:w="1740" w:type="dxa"/>
            <w:vAlign w:val="center"/>
          </w:tcPr>
          <w:p w14:paraId="0B04ED05">
            <w:pPr>
              <w:jc w:val="left"/>
            </w:pPr>
            <w:r>
              <w:rPr>
                <w:rFonts w:ascii="宋体" w:hAnsi="宋体" w:eastAsia="宋体" w:cs="宋体"/>
                <w:b w:val="0"/>
                <w:i w:val="0"/>
                <w:color w:val="000000"/>
                <w:sz w:val="9"/>
              </w:rPr>
              <w:t xml:space="preserve">  伙食补助费</w:t>
            </w:r>
          </w:p>
        </w:tc>
        <w:tc>
          <w:tcPr>
            <w:tcW w:w="800" w:type="dxa"/>
            <w:vAlign w:val="center"/>
          </w:tcPr>
          <w:p w14:paraId="6C8D77DB">
            <w:pPr>
              <w:jc w:val="right"/>
            </w:pPr>
            <w:r>
              <w:rPr>
                <w:rFonts w:ascii="宋体" w:hAnsi="宋体" w:eastAsia="宋体" w:cs="宋体"/>
                <w:b w:val="0"/>
                <w:i w:val="0"/>
                <w:color w:val="000000"/>
                <w:sz w:val="9"/>
              </w:rPr>
              <w:t>32.11</w:t>
            </w:r>
          </w:p>
        </w:tc>
        <w:tc>
          <w:tcPr>
            <w:tcW w:w="540" w:type="dxa"/>
            <w:vAlign w:val="center"/>
          </w:tcPr>
          <w:p w14:paraId="4CE3FE1C">
            <w:pPr>
              <w:jc w:val="left"/>
            </w:pPr>
            <w:r>
              <w:rPr>
                <w:rFonts w:ascii="宋体" w:hAnsi="宋体" w:eastAsia="宋体" w:cs="宋体"/>
                <w:b w:val="0"/>
                <w:i w:val="0"/>
                <w:color w:val="000000"/>
                <w:sz w:val="9"/>
              </w:rPr>
              <w:t>30204</w:t>
            </w:r>
          </w:p>
        </w:tc>
        <w:tc>
          <w:tcPr>
            <w:tcW w:w="1380" w:type="dxa"/>
            <w:vAlign w:val="center"/>
          </w:tcPr>
          <w:p w14:paraId="22FF2976">
            <w:pPr>
              <w:jc w:val="left"/>
            </w:pPr>
            <w:r>
              <w:rPr>
                <w:rFonts w:ascii="宋体" w:hAnsi="宋体" w:eastAsia="宋体" w:cs="宋体"/>
                <w:b w:val="0"/>
                <w:i w:val="0"/>
                <w:color w:val="000000"/>
                <w:sz w:val="9"/>
              </w:rPr>
              <w:t xml:space="preserve">  手续费</w:t>
            </w:r>
          </w:p>
        </w:tc>
        <w:tc>
          <w:tcPr>
            <w:tcW w:w="820" w:type="dxa"/>
            <w:vAlign w:val="center"/>
          </w:tcPr>
          <w:p w14:paraId="0397DC5C"/>
        </w:tc>
        <w:tc>
          <w:tcPr>
            <w:tcW w:w="540" w:type="dxa"/>
            <w:vAlign w:val="center"/>
          </w:tcPr>
          <w:p w14:paraId="412E8B8B">
            <w:pPr>
              <w:jc w:val="left"/>
            </w:pPr>
            <w:r>
              <w:rPr>
                <w:rFonts w:ascii="宋体" w:hAnsi="宋体" w:eastAsia="宋体" w:cs="宋体"/>
                <w:b w:val="0"/>
                <w:i w:val="0"/>
                <w:color w:val="000000"/>
                <w:sz w:val="9"/>
              </w:rPr>
              <w:t>30704</w:t>
            </w:r>
          </w:p>
        </w:tc>
        <w:tc>
          <w:tcPr>
            <w:tcW w:w="1260" w:type="dxa"/>
            <w:vAlign w:val="center"/>
          </w:tcPr>
          <w:p w14:paraId="604E378F">
            <w:pPr>
              <w:jc w:val="left"/>
            </w:pPr>
            <w:r>
              <w:rPr>
                <w:rFonts w:ascii="宋体" w:hAnsi="宋体" w:eastAsia="宋体" w:cs="宋体"/>
                <w:b w:val="0"/>
                <w:i w:val="0"/>
                <w:color w:val="000000"/>
                <w:sz w:val="9"/>
              </w:rPr>
              <w:t xml:space="preserve">  国外债务发行费用</w:t>
            </w:r>
          </w:p>
        </w:tc>
        <w:tc>
          <w:tcPr>
            <w:tcW w:w="786" w:type="dxa"/>
            <w:vAlign w:val="center"/>
          </w:tcPr>
          <w:p w14:paraId="61166CF7"/>
        </w:tc>
      </w:tr>
      <w:tr w14:paraId="3C549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E1D03C">
            <w:pPr>
              <w:jc w:val="left"/>
            </w:pPr>
            <w:r>
              <w:rPr>
                <w:rFonts w:ascii="宋体" w:hAnsi="宋体" w:eastAsia="宋体" w:cs="宋体"/>
                <w:b w:val="0"/>
                <w:i w:val="0"/>
                <w:color w:val="000000"/>
                <w:sz w:val="9"/>
              </w:rPr>
              <w:t>30107</w:t>
            </w:r>
          </w:p>
        </w:tc>
        <w:tc>
          <w:tcPr>
            <w:tcW w:w="1740" w:type="dxa"/>
            <w:vAlign w:val="center"/>
          </w:tcPr>
          <w:p w14:paraId="7670EDAF">
            <w:pPr>
              <w:jc w:val="left"/>
            </w:pPr>
            <w:r>
              <w:rPr>
                <w:rFonts w:ascii="宋体" w:hAnsi="宋体" w:eastAsia="宋体" w:cs="宋体"/>
                <w:b w:val="0"/>
                <w:i w:val="0"/>
                <w:color w:val="000000"/>
                <w:sz w:val="9"/>
              </w:rPr>
              <w:t xml:space="preserve">  绩效工资</w:t>
            </w:r>
          </w:p>
        </w:tc>
        <w:tc>
          <w:tcPr>
            <w:tcW w:w="800" w:type="dxa"/>
            <w:vAlign w:val="center"/>
          </w:tcPr>
          <w:p w14:paraId="536B88C4">
            <w:pPr>
              <w:jc w:val="right"/>
            </w:pPr>
            <w:r>
              <w:rPr>
                <w:rFonts w:ascii="宋体" w:hAnsi="宋体" w:eastAsia="宋体" w:cs="宋体"/>
                <w:b w:val="0"/>
                <w:i w:val="0"/>
                <w:color w:val="000000"/>
                <w:sz w:val="9"/>
              </w:rPr>
              <w:t>255.53</w:t>
            </w:r>
          </w:p>
        </w:tc>
        <w:tc>
          <w:tcPr>
            <w:tcW w:w="540" w:type="dxa"/>
            <w:vAlign w:val="center"/>
          </w:tcPr>
          <w:p w14:paraId="5566F091">
            <w:pPr>
              <w:jc w:val="left"/>
            </w:pPr>
            <w:r>
              <w:rPr>
                <w:rFonts w:ascii="宋体" w:hAnsi="宋体" w:eastAsia="宋体" w:cs="宋体"/>
                <w:b w:val="0"/>
                <w:i w:val="0"/>
                <w:color w:val="000000"/>
                <w:sz w:val="9"/>
              </w:rPr>
              <w:t>30205</w:t>
            </w:r>
          </w:p>
        </w:tc>
        <w:tc>
          <w:tcPr>
            <w:tcW w:w="1380" w:type="dxa"/>
            <w:vAlign w:val="center"/>
          </w:tcPr>
          <w:p w14:paraId="432F214B">
            <w:pPr>
              <w:jc w:val="left"/>
            </w:pPr>
            <w:r>
              <w:rPr>
                <w:rFonts w:ascii="宋体" w:hAnsi="宋体" w:eastAsia="宋体" w:cs="宋体"/>
                <w:b w:val="0"/>
                <w:i w:val="0"/>
                <w:color w:val="000000"/>
                <w:sz w:val="9"/>
              </w:rPr>
              <w:t xml:space="preserve">  水费</w:t>
            </w:r>
          </w:p>
        </w:tc>
        <w:tc>
          <w:tcPr>
            <w:tcW w:w="820" w:type="dxa"/>
            <w:vAlign w:val="center"/>
          </w:tcPr>
          <w:p w14:paraId="3BF2B771">
            <w:pPr>
              <w:jc w:val="right"/>
            </w:pPr>
            <w:r>
              <w:rPr>
                <w:rFonts w:ascii="宋体" w:hAnsi="宋体" w:eastAsia="宋体" w:cs="宋体"/>
                <w:b w:val="0"/>
                <w:i w:val="0"/>
                <w:color w:val="000000"/>
                <w:sz w:val="9"/>
              </w:rPr>
              <w:t>0.34</w:t>
            </w:r>
          </w:p>
        </w:tc>
        <w:tc>
          <w:tcPr>
            <w:tcW w:w="540" w:type="dxa"/>
            <w:vAlign w:val="center"/>
          </w:tcPr>
          <w:p w14:paraId="323162EF">
            <w:pPr>
              <w:jc w:val="left"/>
            </w:pPr>
            <w:r>
              <w:rPr>
                <w:rFonts w:ascii="宋体" w:hAnsi="宋体" w:eastAsia="宋体" w:cs="宋体"/>
                <w:b/>
                <w:i w:val="0"/>
                <w:color w:val="000000"/>
                <w:sz w:val="9"/>
              </w:rPr>
              <w:t>310</w:t>
            </w:r>
          </w:p>
        </w:tc>
        <w:tc>
          <w:tcPr>
            <w:tcW w:w="1260" w:type="dxa"/>
            <w:vAlign w:val="center"/>
          </w:tcPr>
          <w:p w14:paraId="21D05519">
            <w:pPr>
              <w:jc w:val="left"/>
            </w:pPr>
            <w:r>
              <w:rPr>
                <w:rFonts w:ascii="宋体" w:hAnsi="宋体" w:eastAsia="宋体" w:cs="宋体"/>
                <w:b/>
                <w:i w:val="0"/>
                <w:color w:val="000000"/>
                <w:sz w:val="9"/>
              </w:rPr>
              <w:t>资本性支出</w:t>
            </w:r>
          </w:p>
        </w:tc>
        <w:tc>
          <w:tcPr>
            <w:tcW w:w="786" w:type="dxa"/>
            <w:vAlign w:val="center"/>
          </w:tcPr>
          <w:p w14:paraId="4D2B0207">
            <w:pPr>
              <w:jc w:val="right"/>
            </w:pPr>
            <w:r>
              <w:rPr>
                <w:rFonts w:ascii="宋体" w:hAnsi="宋体" w:eastAsia="宋体" w:cs="宋体"/>
                <w:b w:val="0"/>
                <w:i w:val="0"/>
                <w:color w:val="000000"/>
                <w:sz w:val="9"/>
              </w:rPr>
              <w:t>34.30</w:t>
            </w:r>
          </w:p>
        </w:tc>
      </w:tr>
      <w:tr w14:paraId="02CBA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569C3E">
            <w:pPr>
              <w:jc w:val="left"/>
            </w:pPr>
            <w:r>
              <w:rPr>
                <w:rFonts w:ascii="宋体" w:hAnsi="宋体" w:eastAsia="宋体" w:cs="宋体"/>
                <w:b w:val="0"/>
                <w:i w:val="0"/>
                <w:color w:val="000000"/>
                <w:sz w:val="9"/>
              </w:rPr>
              <w:t>30108</w:t>
            </w:r>
          </w:p>
        </w:tc>
        <w:tc>
          <w:tcPr>
            <w:tcW w:w="1740" w:type="dxa"/>
            <w:vAlign w:val="center"/>
          </w:tcPr>
          <w:p w14:paraId="4CBCF0F6">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8F75E1B">
            <w:pPr>
              <w:jc w:val="right"/>
            </w:pPr>
            <w:r>
              <w:rPr>
                <w:rFonts w:ascii="宋体" w:hAnsi="宋体" w:eastAsia="宋体" w:cs="宋体"/>
                <w:b w:val="0"/>
                <w:i w:val="0"/>
                <w:color w:val="000000"/>
                <w:sz w:val="9"/>
              </w:rPr>
              <w:t>132.17</w:t>
            </w:r>
          </w:p>
        </w:tc>
        <w:tc>
          <w:tcPr>
            <w:tcW w:w="540" w:type="dxa"/>
            <w:vAlign w:val="center"/>
          </w:tcPr>
          <w:p w14:paraId="2254CD33">
            <w:pPr>
              <w:jc w:val="left"/>
            </w:pPr>
            <w:r>
              <w:rPr>
                <w:rFonts w:ascii="宋体" w:hAnsi="宋体" w:eastAsia="宋体" w:cs="宋体"/>
                <w:b w:val="0"/>
                <w:i w:val="0"/>
                <w:color w:val="000000"/>
                <w:sz w:val="9"/>
              </w:rPr>
              <w:t>30206</w:t>
            </w:r>
          </w:p>
        </w:tc>
        <w:tc>
          <w:tcPr>
            <w:tcW w:w="1380" w:type="dxa"/>
            <w:vAlign w:val="center"/>
          </w:tcPr>
          <w:p w14:paraId="2D92C7BC">
            <w:pPr>
              <w:jc w:val="left"/>
            </w:pPr>
            <w:r>
              <w:rPr>
                <w:rFonts w:ascii="宋体" w:hAnsi="宋体" w:eastAsia="宋体" w:cs="宋体"/>
                <w:b w:val="0"/>
                <w:i w:val="0"/>
                <w:color w:val="000000"/>
                <w:sz w:val="9"/>
              </w:rPr>
              <w:t xml:space="preserve">  电费</w:t>
            </w:r>
          </w:p>
        </w:tc>
        <w:tc>
          <w:tcPr>
            <w:tcW w:w="820" w:type="dxa"/>
            <w:vAlign w:val="center"/>
          </w:tcPr>
          <w:p w14:paraId="09E196A5">
            <w:pPr>
              <w:jc w:val="right"/>
            </w:pPr>
            <w:r>
              <w:rPr>
                <w:rFonts w:ascii="宋体" w:hAnsi="宋体" w:eastAsia="宋体" w:cs="宋体"/>
                <w:b w:val="0"/>
                <w:i w:val="0"/>
                <w:color w:val="000000"/>
                <w:sz w:val="9"/>
              </w:rPr>
              <w:t>6.64</w:t>
            </w:r>
          </w:p>
        </w:tc>
        <w:tc>
          <w:tcPr>
            <w:tcW w:w="540" w:type="dxa"/>
            <w:vAlign w:val="center"/>
          </w:tcPr>
          <w:p w14:paraId="6E0CD3D9">
            <w:pPr>
              <w:jc w:val="left"/>
            </w:pPr>
            <w:r>
              <w:rPr>
                <w:rFonts w:ascii="宋体" w:hAnsi="宋体" w:eastAsia="宋体" w:cs="宋体"/>
                <w:b w:val="0"/>
                <w:i w:val="0"/>
                <w:color w:val="000000"/>
                <w:sz w:val="9"/>
              </w:rPr>
              <w:t>31001</w:t>
            </w:r>
          </w:p>
        </w:tc>
        <w:tc>
          <w:tcPr>
            <w:tcW w:w="1260" w:type="dxa"/>
            <w:vAlign w:val="center"/>
          </w:tcPr>
          <w:p w14:paraId="79BC3377">
            <w:pPr>
              <w:jc w:val="left"/>
            </w:pPr>
            <w:r>
              <w:rPr>
                <w:rFonts w:ascii="宋体" w:hAnsi="宋体" w:eastAsia="宋体" w:cs="宋体"/>
                <w:b w:val="0"/>
                <w:i w:val="0"/>
                <w:color w:val="000000"/>
                <w:sz w:val="9"/>
              </w:rPr>
              <w:t xml:space="preserve">  房屋建筑物购建</w:t>
            </w:r>
          </w:p>
        </w:tc>
        <w:tc>
          <w:tcPr>
            <w:tcW w:w="786" w:type="dxa"/>
            <w:vAlign w:val="center"/>
          </w:tcPr>
          <w:p w14:paraId="0A97117E"/>
        </w:tc>
      </w:tr>
      <w:tr w14:paraId="24E9F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0F2A103">
            <w:pPr>
              <w:jc w:val="left"/>
            </w:pPr>
            <w:r>
              <w:rPr>
                <w:rFonts w:ascii="宋体" w:hAnsi="宋体" w:eastAsia="宋体" w:cs="宋体"/>
                <w:b w:val="0"/>
                <w:i w:val="0"/>
                <w:color w:val="000000"/>
                <w:sz w:val="9"/>
              </w:rPr>
              <w:t>30109</w:t>
            </w:r>
          </w:p>
        </w:tc>
        <w:tc>
          <w:tcPr>
            <w:tcW w:w="1740" w:type="dxa"/>
            <w:vAlign w:val="center"/>
          </w:tcPr>
          <w:p w14:paraId="72A2E621">
            <w:pPr>
              <w:jc w:val="left"/>
            </w:pPr>
            <w:r>
              <w:rPr>
                <w:rFonts w:ascii="宋体" w:hAnsi="宋体" w:eastAsia="宋体" w:cs="宋体"/>
                <w:b w:val="0"/>
                <w:i w:val="0"/>
                <w:color w:val="000000"/>
                <w:sz w:val="9"/>
              </w:rPr>
              <w:t xml:space="preserve">  职业年金缴费</w:t>
            </w:r>
          </w:p>
        </w:tc>
        <w:tc>
          <w:tcPr>
            <w:tcW w:w="800" w:type="dxa"/>
            <w:vAlign w:val="center"/>
          </w:tcPr>
          <w:p w14:paraId="3F1F7D87">
            <w:pPr>
              <w:jc w:val="right"/>
            </w:pPr>
            <w:r>
              <w:rPr>
                <w:rFonts w:ascii="宋体" w:hAnsi="宋体" w:eastAsia="宋体" w:cs="宋体"/>
                <w:b w:val="0"/>
                <w:i w:val="0"/>
                <w:color w:val="000000"/>
                <w:sz w:val="9"/>
              </w:rPr>
              <w:t>39.69</w:t>
            </w:r>
          </w:p>
        </w:tc>
        <w:tc>
          <w:tcPr>
            <w:tcW w:w="540" w:type="dxa"/>
            <w:vAlign w:val="center"/>
          </w:tcPr>
          <w:p w14:paraId="3D1FB689">
            <w:pPr>
              <w:jc w:val="left"/>
            </w:pPr>
            <w:r>
              <w:rPr>
                <w:rFonts w:ascii="宋体" w:hAnsi="宋体" w:eastAsia="宋体" w:cs="宋体"/>
                <w:b w:val="0"/>
                <w:i w:val="0"/>
                <w:color w:val="000000"/>
                <w:sz w:val="9"/>
              </w:rPr>
              <w:t>30207</w:t>
            </w:r>
          </w:p>
        </w:tc>
        <w:tc>
          <w:tcPr>
            <w:tcW w:w="1380" w:type="dxa"/>
            <w:vAlign w:val="center"/>
          </w:tcPr>
          <w:p w14:paraId="61C58CF3">
            <w:pPr>
              <w:jc w:val="left"/>
            </w:pPr>
            <w:r>
              <w:rPr>
                <w:rFonts w:ascii="宋体" w:hAnsi="宋体" w:eastAsia="宋体" w:cs="宋体"/>
                <w:b w:val="0"/>
                <w:i w:val="0"/>
                <w:color w:val="000000"/>
                <w:sz w:val="9"/>
              </w:rPr>
              <w:t xml:space="preserve">  邮电费</w:t>
            </w:r>
          </w:p>
        </w:tc>
        <w:tc>
          <w:tcPr>
            <w:tcW w:w="820" w:type="dxa"/>
            <w:vAlign w:val="center"/>
          </w:tcPr>
          <w:p w14:paraId="404A9DA1">
            <w:pPr>
              <w:jc w:val="right"/>
            </w:pPr>
            <w:r>
              <w:rPr>
                <w:rFonts w:ascii="宋体" w:hAnsi="宋体" w:eastAsia="宋体" w:cs="宋体"/>
                <w:b w:val="0"/>
                <w:i w:val="0"/>
                <w:color w:val="000000"/>
                <w:sz w:val="9"/>
              </w:rPr>
              <w:t>4.30</w:t>
            </w:r>
          </w:p>
        </w:tc>
        <w:tc>
          <w:tcPr>
            <w:tcW w:w="540" w:type="dxa"/>
            <w:vAlign w:val="center"/>
          </w:tcPr>
          <w:p w14:paraId="42888C80">
            <w:pPr>
              <w:jc w:val="left"/>
            </w:pPr>
            <w:r>
              <w:rPr>
                <w:rFonts w:ascii="宋体" w:hAnsi="宋体" w:eastAsia="宋体" w:cs="宋体"/>
                <w:b w:val="0"/>
                <w:i w:val="0"/>
                <w:color w:val="000000"/>
                <w:sz w:val="9"/>
              </w:rPr>
              <w:t>31002</w:t>
            </w:r>
          </w:p>
        </w:tc>
        <w:tc>
          <w:tcPr>
            <w:tcW w:w="1260" w:type="dxa"/>
            <w:vAlign w:val="center"/>
          </w:tcPr>
          <w:p w14:paraId="6AB2F93C">
            <w:pPr>
              <w:jc w:val="left"/>
            </w:pPr>
            <w:r>
              <w:rPr>
                <w:rFonts w:ascii="宋体" w:hAnsi="宋体" w:eastAsia="宋体" w:cs="宋体"/>
                <w:b w:val="0"/>
                <w:i w:val="0"/>
                <w:color w:val="000000"/>
                <w:sz w:val="9"/>
              </w:rPr>
              <w:t xml:space="preserve">  办公设备购置</w:t>
            </w:r>
          </w:p>
        </w:tc>
        <w:tc>
          <w:tcPr>
            <w:tcW w:w="786" w:type="dxa"/>
            <w:vAlign w:val="center"/>
          </w:tcPr>
          <w:p w14:paraId="2E8BA3E4">
            <w:pPr>
              <w:jc w:val="right"/>
            </w:pPr>
            <w:r>
              <w:rPr>
                <w:rFonts w:ascii="宋体" w:hAnsi="宋体" w:eastAsia="宋体" w:cs="宋体"/>
                <w:b w:val="0"/>
                <w:i w:val="0"/>
                <w:color w:val="000000"/>
                <w:sz w:val="9"/>
              </w:rPr>
              <w:t>4.20</w:t>
            </w:r>
          </w:p>
        </w:tc>
      </w:tr>
      <w:tr w14:paraId="4D2C8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408238">
            <w:pPr>
              <w:jc w:val="left"/>
            </w:pPr>
            <w:r>
              <w:rPr>
                <w:rFonts w:ascii="宋体" w:hAnsi="宋体" w:eastAsia="宋体" w:cs="宋体"/>
                <w:b w:val="0"/>
                <w:i w:val="0"/>
                <w:color w:val="000000"/>
                <w:sz w:val="9"/>
              </w:rPr>
              <w:t>30110</w:t>
            </w:r>
          </w:p>
        </w:tc>
        <w:tc>
          <w:tcPr>
            <w:tcW w:w="1740" w:type="dxa"/>
            <w:vAlign w:val="center"/>
          </w:tcPr>
          <w:p w14:paraId="0754FD73">
            <w:pPr>
              <w:jc w:val="left"/>
            </w:pPr>
            <w:r>
              <w:rPr>
                <w:rFonts w:ascii="宋体" w:hAnsi="宋体" w:eastAsia="宋体" w:cs="宋体"/>
                <w:b w:val="0"/>
                <w:i w:val="0"/>
                <w:color w:val="000000"/>
                <w:sz w:val="9"/>
              </w:rPr>
              <w:t xml:space="preserve">  职工基本医疗保险缴费</w:t>
            </w:r>
          </w:p>
        </w:tc>
        <w:tc>
          <w:tcPr>
            <w:tcW w:w="800" w:type="dxa"/>
            <w:vAlign w:val="center"/>
          </w:tcPr>
          <w:p w14:paraId="27FB6574">
            <w:pPr>
              <w:jc w:val="right"/>
            </w:pPr>
            <w:r>
              <w:rPr>
                <w:rFonts w:ascii="宋体" w:hAnsi="宋体" w:eastAsia="宋体" w:cs="宋体"/>
                <w:b w:val="0"/>
                <w:i w:val="0"/>
                <w:color w:val="000000"/>
                <w:sz w:val="9"/>
              </w:rPr>
              <w:t>39.16</w:t>
            </w:r>
          </w:p>
        </w:tc>
        <w:tc>
          <w:tcPr>
            <w:tcW w:w="540" w:type="dxa"/>
            <w:vAlign w:val="center"/>
          </w:tcPr>
          <w:p w14:paraId="2631AED9">
            <w:pPr>
              <w:jc w:val="left"/>
            </w:pPr>
            <w:r>
              <w:rPr>
                <w:rFonts w:ascii="宋体" w:hAnsi="宋体" w:eastAsia="宋体" w:cs="宋体"/>
                <w:b w:val="0"/>
                <w:i w:val="0"/>
                <w:color w:val="000000"/>
                <w:sz w:val="9"/>
              </w:rPr>
              <w:t>30208</w:t>
            </w:r>
          </w:p>
        </w:tc>
        <w:tc>
          <w:tcPr>
            <w:tcW w:w="1380" w:type="dxa"/>
            <w:vAlign w:val="center"/>
          </w:tcPr>
          <w:p w14:paraId="020D7443">
            <w:pPr>
              <w:jc w:val="left"/>
            </w:pPr>
            <w:r>
              <w:rPr>
                <w:rFonts w:ascii="宋体" w:hAnsi="宋体" w:eastAsia="宋体" w:cs="宋体"/>
                <w:b w:val="0"/>
                <w:i w:val="0"/>
                <w:color w:val="000000"/>
                <w:sz w:val="9"/>
              </w:rPr>
              <w:t xml:space="preserve">  取暖费</w:t>
            </w:r>
          </w:p>
        </w:tc>
        <w:tc>
          <w:tcPr>
            <w:tcW w:w="820" w:type="dxa"/>
            <w:vAlign w:val="center"/>
          </w:tcPr>
          <w:p w14:paraId="6E50FFEA">
            <w:pPr>
              <w:jc w:val="right"/>
            </w:pPr>
            <w:r>
              <w:rPr>
                <w:rFonts w:ascii="宋体" w:hAnsi="宋体" w:eastAsia="宋体" w:cs="宋体"/>
                <w:b w:val="0"/>
                <w:i w:val="0"/>
                <w:color w:val="000000"/>
                <w:sz w:val="9"/>
              </w:rPr>
              <w:t>0.86</w:t>
            </w:r>
          </w:p>
        </w:tc>
        <w:tc>
          <w:tcPr>
            <w:tcW w:w="540" w:type="dxa"/>
            <w:vAlign w:val="center"/>
          </w:tcPr>
          <w:p w14:paraId="2D64542C">
            <w:pPr>
              <w:jc w:val="left"/>
            </w:pPr>
            <w:r>
              <w:rPr>
                <w:rFonts w:ascii="宋体" w:hAnsi="宋体" w:eastAsia="宋体" w:cs="宋体"/>
                <w:b w:val="0"/>
                <w:i w:val="0"/>
                <w:color w:val="000000"/>
                <w:sz w:val="9"/>
              </w:rPr>
              <w:t>31003</w:t>
            </w:r>
          </w:p>
        </w:tc>
        <w:tc>
          <w:tcPr>
            <w:tcW w:w="1260" w:type="dxa"/>
            <w:vAlign w:val="center"/>
          </w:tcPr>
          <w:p w14:paraId="2E97D66E">
            <w:pPr>
              <w:jc w:val="left"/>
            </w:pPr>
            <w:r>
              <w:rPr>
                <w:rFonts w:ascii="宋体" w:hAnsi="宋体" w:eastAsia="宋体" w:cs="宋体"/>
                <w:b w:val="0"/>
                <w:i w:val="0"/>
                <w:color w:val="000000"/>
                <w:sz w:val="9"/>
              </w:rPr>
              <w:t xml:space="preserve">  专用设备购置</w:t>
            </w:r>
          </w:p>
        </w:tc>
        <w:tc>
          <w:tcPr>
            <w:tcW w:w="786" w:type="dxa"/>
            <w:vAlign w:val="center"/>
          </w:tcPr>
          <w:p w14:paraId="16615118">
            <w:pPr>
              <w:jc w:val="right"/>
            </w:pPr>
            <w:r>
              <w:rPr>
                <w:rFonts w:ascii="宋体" w:hAnsi="宋体" w:eastAsia="宋体" w:cs="宋体"/>
                <w:b w:val="0"/>
                <w:i w:val="0"/>
                <w:color w:val="000000"/>
                <w:sz w:val="9"/>
              </w:rPr>
              <w:t>30.10</w:t>
            </w:r>
          </w:p>
        </w:tc>
      </w:tr>
      <w:tr w14:paraId="1BECB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24F24B">
            <w:pPr>
              <w:jc w:val="left"/>
            </w:pPr>
            <w:r>
              <w:rPr>
                <w:rFonts w:ascii="宋体" w:hAnsi="宋体" w:eastAsia="宋体" w:cs="宋体"/>
                <w:b w:val="0"/>
                <w:i w:val="0"/>
                <w:color w:val="000000"/>
                <w:sz w:val="9"/>
              </w:rPr>
              <w:t>30111</w:t>
            </w:r>
          </w:p>
        </w:tc>
        <w:tc>
          <w:tcPr>
            <w:tcW w:w="1740" w:type="dxa"/>
            <w:vAlign w:val="center"/>
          </w:tcPr>
          <w:p w14:paraId="055A16DC">
            <w:pPr>
              <w:jc w:val="left"/>
            </w:pPr>
            <w:r>
              <w:rPr>
                <w:rFonts w:ascii="宋体" w:hAnsi="宋体" w:eastAsia="宋体" w:cs="宋体"/>
                <w:b w:val="0"/>
                <w:i w:val="0"/>
                <w:color w:val="000000"/>
                <w:sz w:val="9"/>
              </w:rPr>
              <w:t xml:space="preserve">  公务员医疗补助缴款</w:t>
            </w:r>
          </w:p>
        </w:tc>
        <w:tc>
          <w:tcPr>
            <w:tcW w:w="800" w:type="dxa"/>
            <w:vAlign w:val="center"/>
          </w:tcPr>
          <w:p w14:paraId="045E0A39"/>
        </w:tc>
        <w:tc>
          <w:tcPr>
            <w:tcW w:w="540" w:type="dxa"/>
            <w:vAlign w:val="center"/>
          </w:tcPr>
          <w:p w14:paraId="5E0B90BC">
            <w:pPr>
              <w:jc w:val="left"/>
            </w:pPr>
            <w:r>
              <w:rPr>
                <w:rFonts w:ascii="宋体" w:hAnsi="宋体" w:eastAsia="宋体" w:cs="宋体"/>
                <w:b w:val="0"/>
                <w:i w:val="0"/>
                <w:color w:val="000000"/>
                <w:sz w:val="9"/>
              </w:rPr>
              <w:t>30209</w:t>
            </w:r>
          </w:p>
        </w:tc>
        <w:tc>
          <w:tcPr>
            <w:tcW w:w="1380" w:type="dxa"/>
            <w:vAlign w:val="center"/>
          </w:tcPr>
          <w:p w14:paraId="00225BDD">
            <w:pPr>
              <w:jc w:val="left"/>
            </w:pPr>
            <w:r>
              <w:rPr>
                <w:rFonts w:ascii="宋体" w:hAnsi="宋体" w:eastAsia="宋体" w:cs="宋体"/>
                <w:b w:val="0"/>
                <w:i w:val="0"/>
                <w:color w:val="000000"/>
                <w:sz w:val="9"/>
              </w:rPr>
              <w:t xml:space="preserve">  物业管理费</w:t>
            </w:r>
          </w:p>
        </w:tc>
        <w:tc>
          <w:tcPr>
            <w:tcW w:w="820" w:type="dxa"/>
            <w:vAlign w:val="center"/>
          </w:tcPr>
          <w:p w14:paraId="65BECEBB"/>
        </w:tc>
        <w:tc>
          <w:tcPr>
            <w:tcW w:w="540" w:type="dxa"/>
            <w:vAlign w:val="center"/>
          </w:tcPr>
          <w:p w14:paraId="7C387112">
            <w:pPr>
              <w:jc w:val="left"/>
            </w:pPr>
            <w:r>
              <w:rPr>
                <w:rFonts w:ascii="宋体" w:hAnsi="宋体" w:eastAsia="宋体" w:cs="宋体"/>
                <w:b w:val="0"/>
                <w:i w:val="0"/>
                <w:color w:val="000000"/>
                <w:sz w:val="9"/>
              </w:rPr>
              <w:t>31005</w:t>
            </w:r>
          </w:p>
        </w:tc>
        <w:tc>
          <w:tcPr>
            <w:tcW w:w="1260" w:type="dxa"/>
            <w:vAlign w:val="center"/>
          </w:tcPr>
          <w:p w14:paraId="57509BCF">
            <w:pPr>
              <w:jc w:val="left"/>
            </w:pPr>
            <w:r>
              <w:rPr>
                <w:rFonts w:ascii="宋体" w:hAnsi="宋体" w:eastAsia="宋体" w:cs="宋体"/>
                <w:b w:val="0"/>
                <w:i w:val="0"/>
                <w:color w:val="000000"/>
                <w:sz w:val="9"/>
              </w:rPr>
              <w:t xml:space="preserve">  基础设施建设</w:t>
            </w:r>
          </w:p>
        </w:tc>
        <w:tc>
          <w:tcPr>
            <w:tcW w:w="786" w:type="dxa"/>
            <w:vAlign w:val="center"/>
          </w:tcPr>
          <w:p w14:paraId="4009CA46"/>
        </w:tc>
      </w:tr>
      <w:tr w14:paraId="17CCC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FC48DE">
            <w:pPr>
              <w:jc w:val="left"/>
            </w:pPr>
            <w:r>
              <w:rPr>
                <w:rFonts w:ascii="宋体" w:hAnsi="宋体" w:eastAsia="宋体" w:cs="宋体"/>
                <w:b w:val="0"/>
                <w:i w:val="0"/>
                <w:color w:val="000000"/>
                <w:sz w:val="9"/>
              </w:rPr>
              <w:t>30112</w:t>
            </w:r>
          </w:p>
        </w:tc>
        <w:tc>
          <w:tcPr>
            <w:tcW w:w="1740" w:type="dxa"/>
            <w:vAlign w:val="center"/>
          </w:tcPr>
          <w:p w14:paraId="2A8C5D4D">
            <w:pPr>
              <w:jc w:val="left"/>
            </w:pPr>
            <w:r>
              <w:rPr>
                <w:rFonts w:ascii="宋体" w:hAnsi="宋体" w:eastAsia="宋体" w:cs="宋体"/>
                <w:b w:val="0"/>
                <w:i w:val="0"/>
                <w:color w:val="000000"/>
                <w:sz w:val="9"/>
              </w:rPr>
              <w:t xml:space="preserve">  其他社会保障缴费</w:t>
            </w:r>
          </w:p>
        </w:tc>
        <w:tc>
          <w:tcPr>
            <w:tcW w:w="800" w:type="dxa"/>
            <w:vAlign w:val="center"/>
          </w:tcPr>
          <w:p w14:paraId="6BAD38F1">
            <w:pPr>
              <w:jc w:val="right"/>
            </w:pPr>
            <w:r>
              <w:rPr>
                <w:rFonts w:ascii="宋体" w:hAnsi="宋体" w:eastAsia="宋体" w:cs="宋体"/>
                <w:b w:val="0"/>
                <w:i w:val="0"/>
                <w:color w:val="000000"/>
                <w:sz w:val="9"/>
              </w:rPr>
              <w:t>1.03</w:t>
            </w:r>
          </w:p>
        </w:tc>
        <w:tc>
          <w:tcPr>
            <w:tcW w:w="540" w:type="dxa"/>
            <w:vAlign w:val="center"/>
          </w:tcPr>
          <w:p w14:paraId="40F62D6C">
            <w:pPr>
              <w:jc w:val="left"/>
            </w:pPr>
            <w:r>
              <w:rPr>
                <w:rFonts w:ascii="宋体" w:hAnsi="宋体" w:eastAsia="宋体" w:cs="宋体"/>
                <w:b w:val="0"/>
                <w:i w:val="0"/>
                <w:color w:val="000000"/>
                <w:sz w:val="9"/>
              </w:rPr>
              <w:t>30211</w:t>
            </w:r>
          </w:p>
        </w:tc>
        <w:tc>
          <w:tcPr>
            <w:tcW w:w="1380" w:type="dxa"/>
            <w:vAlign w:val="center"/>
          </w:tcPr>
          <w:p w14:paraId="3F9EDF4A">
            <w:pPr>
              <w:jc w:val="left"/>
            </w:pPr>
            <w:r>
              <w:rPr>
                <w:rFonts w:ascii="宋体" w:hAnsi="宋体" w:eastAsia="宋体" w:cs="宋体"/>
                <w:b w:val="0"/>
                <w:i w:val="0"/>
                <w:color w:val="000000"/>
                <w:sz w:val="9"/>
              </w:rPr>
              <w:t xml:space="preserve">  差旅费</w:t>
            </w:r>
          </w:p>
        </w:tc>
        <w:tc>
          <w:tcPr>
            <w:tcW w:w="820" w:type="dxa"/>
            <w:vAlign w:val="center"/>
          </w:tcPr>
          <w:p w14:paraId="1BB03D1B">
            <w:pPr>
              <w:jc w:val="right"/>
            </w:pPr>
            <w:r>
              <w:rPr>
                <w:rFonts w:ascii="宋体" w:hAnsi="宋体" w:eastAsia="宋体" w:cs="宋体"/>
                <w:b w:val="0"/>
                <w:i w:val="0"/>
                <w:color w:val="000000"/>
                <w:sz w:val="9"/>
              </w:rPr>
              <w:t>0.95</w:t>
            </w:r>
          </w:p>
        </w:tc>
        <w:tc>
          <w:tcPr>
            <w:tcW w:w="540" w:type="dxa"/>
            <w:vAlign w:val="center"/>
          </w:tcPr>
          <w:p w14:paraId="13193911">
            <w:pPr>
              <w:jc w:val="left"/>
            </w:pPr>
            <w:r>
              <w:rPr>
                <w:rFonts w:ascii="宋体" w:hAnsi="宋体" w:eastAsia="宋体" w:cs="宋体"/>
                <w:b w:val="0"/>
                <w:i w:val="0"/>
                <w:color w:val="000000"/>
                <w:sz w:val="9"/>
              </w:rPr>
              <w:t>31006</w:t>
            </w:r>
          </w:p>
        </w:tc>
        <w:tc>
          <w:tcPr>
            <w:tcW w:w="1260" w:type="dxa"/>
            <w:vAlign w:val="center"/>
          </w:tcPr>
          <w:p w14:paraId="37D2C52A">
            <w:pPr>
              <w:jc w:val="left"/>
            </w:pPr>
            <w:r>
              <w:rPr>
                <w:rFonts w:ascii="宋体" w:hAnsi="宋体" w:eastAsia="宋体" w:cs="宋体"/>
                <w:b w:val="0"/>
                <w:i w:val="0"/>
                <w:color w:val="000000"/>
                <w:sz w:val="9"/>
              </w:rPr>
              <w:t xml:space="preserve">  大型修缮</w:t>
            </w:r>
          </w:p>
        </w:tc>
        <w:tc>
          <w:tcPr>
            <w:tcW w:w="786" w:type="dxa"/>
            <w:vAlign w:val="center"/>
          </w:tcPr>
          <w:p w14:paraId="7B7A4BA1"/>
        </w:tc>
      </w:tr>
      <w:tr w14:paraId="6C832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082F70">
            <w:pPr>
              <w:jc w:val="left"/>
            </w:pPr>
            <w:r>
              <w:rPr>
                <w:rFonts w:ascii="宋体" w:hAnsi="宋体" w:eastAsia="宋体" w:cs="宋体"/>
                <w:b w:val="0"/>
                <w:i w:val="0"/>
                <w:color w:val="000000"/>
                <w:sz w:val="9"/>
              </w:rPr>
              <w:t>30113</w:t>
            </w:r>
          </w:p>
        </w:tc>
        <w:tc>
          <w:tcPr>
            <w:tcW w:w="1740" w:type="dxa"/>
            <w:vAlign w:val="center"/>
          </w:tcPr>
          <w:p w14:paraId="7FD3C9CC">
            <w:pPr>
              <w:jc w:val="left"/>
            </w:pPr>
            <w:r>
              <w:rPr>
                <w:rFonts w:ascii="宋体" w:hAnsi="宋体" w:eastAsia="宋体" w:cs="宋体"/>
                <w:b w:val="0"/>
                <w:i w:val="0"/>
                <w:color w:val="000000"/>
                <w:sz w:val="9"/>
              </w:rPr>
              <w:t xml:space="preserve">  住房公积金</w:t>
            </w:r>
          </w:p>
        </w:tc>
        <w:tc>
          <w:tcPr>
            <w:tcW w:w="800" w:type="dxa"/>
            <w:vAlign w:val="center"/>
          </w:tcPr>
          <w:p w14:paraId="48C6E084">
            <w:pPr>
              <w:jc w:val="right"/>
            </w:pPr>
            <w:r>
              <w:rPr>
                <w:rFonts w:ascii="宋体" w:hAnsi="宋体" w:eastAsia="宋体" w:cs="宋体"/>
                <w:b w:val="0"/>
                <w:i w:val="0"/>
                <w:color w:val="000000"/>
                <w:sz w:val="9"/>
              </w:rPr>
              <w:t>115.34</w:t>
            </w:r>
          </w:p>
        </w:tc>
        <w:tc>
          <w:tcPr>
            <w:tcW w:w="540" w:type="dxa"/>
            <w:vAlign w:val="center"/>
          </w:tcPr>
          <w:p w14:paraId="7072AA91">
            <w:pPr>
              <w:jc w:val="left"/>
            </w:pPr>
            <w:r>
              <w:rPr>
                <w:rFonts w:ascii="宋体" w:hAnsi="宋体" w:eastAsia="宋体" w:cs="宋体"/>
                <w:b w:val="0"/>
                <w:i w:val="0"/>
                <w:color w:val="000000"/>
                <w:sz w:val="9"/>
              </w:rPr>
              <w:t>30212</w:t>
            </w:r>
          </w:p>
        </w:tc>
        <w:tc>
          <w:tcPr>
            <w:tcW w:w="1380" w:type="dxa"/>
            <w:vAlign w:val="center"/>
          </w:tcPr>
          <w:p w14:paraId="5C9CA98E">
            <w:pPr>
              <w:jc w:val="left"/>
            </w:pPr>
            <w:r>
              <w:rPr>
                <w:rFonts w:ascii="宋体" w:hAnsi="宋体" w:eastAsia="宋体" w:cs="宋体"/>
                <w:b w:val="0"/>
                <w:i w:val="0"/>
                <w:color w:val="000000"/>
                <w:sz w:val="9"/>
              </w:rPr>
              <w:t xml:space="preserve">  因公出国（境）费用</w:t>
            </w:r>
          </w:p>
        </w:tc>
        <w:tc>
          <w:tcPr>
            <w:tcW w:w="820" w:type="dxa"/>
            <w:vAlign w:val="center"/>
          </w:tcPr>
          <w:p w14:paraId="75752189"/>
        </w:tc>
        <w:tc>
          <w:tcPr>
            <w:tcW w:w="540" w:type="dxa"/>
            <w:vAlign w:val="center"/>
          </w:tcPr>
          <w:p w14:paraId="65C06DAE">
            <w:pPr>
              <w:jc w:val="left"/>
            </w:pPr>
            <w:r>
              <w:rPr>
                <w:rFonts w:ascii="宋体" w:hAnsi="宋体" w:eastAsia="宋体" w:cs="宋体"/>
                <w:b w:val="0"/>
                <w:i w:val="0"/>
                <w:color w:val="000000"/>
                <w:sz w:val="9"/>
              </w:rPr>
              <w:t>31007</w:t>
            </w:r>
          </w:p>
        </w:tc>
        <w:tc>
          <w:tcPr>
            <w:tcW w:w="1260" w:type="dxa"/>
            <w:vAlign w:val="center"/>
          </w:tcPr>
          <w:p w14:paraId="022C14C7">
            <w:pPr>
              <w:jc w:val="left"/>
            </w:pPr>
            <w:r>
              <w:rPr>
                <w:rFonts w:ascii="宋体" w:hAnsi="宋体" w:eastAsia="宋体" w:cs="宋体"/>
                <w:b w:val="0"/>
                <w:i w:val="0"/>
                <w:color w:val="000000"/>
                <w:sz w:val="9"/>
              </w:rPr>
              <w:t xml:space="preserve">  信息网络及软件购置更新</w:t>
            </w:r>
          </w:p>
        </w:tc>
        <w:tc>
          <w:tcPr>
            <w:tcW w:w="786" w:type="dxa"/>
            <w:vAlign w:val="center"/>
          </w:tcPr>
          <w:p w14:paraId="7AE8EB14"/>
        </w:tc>
      </w:tr>
      <w:tr w14:paraId="0B39E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CCE86D">
            <w:pPr>
              <w:jc w:val="left"/>
            </w:pPr>
            <w:r>
              <w:rPr>
                <w:rFonts w:ascii="宋体" w:hAnsi="宋体" w:eastAsia="宋体" w:cs="宋体"/>
                <w:b w:val="0"/>
                <w:i w:val="0"/>
                <w:color w:val="000000"/>
                <w:sz w:val="9"/>
              </w:rPr>
              <w:t>30114</w:t>
            </w:r>
          </w:p>
        </w:tc>
        <w:tc>
          <w:tcPr>
            <w:tcW w:w="1740" w:type="dxa"/>
            <w:vAlign w:val="center"/>
          </w:tcPr>
          <w:p w14:paraId="6608D2BE">
            <w:pPr>
              <w:jc w:val="left"/>
            </w:pPr>
            <w:r>
              <w:rPr>
                <w:rFonts w:ascii="宋体" w:hAnsi="宋体" w:eastAsia="宋体" w:cs="宋体"/>
                <w:b w:val="0"/>
                <w:i w:val="0"/>
                <w:color w:val="000000"/>
                <w:sz w:val="9"/>
              </w:rPr>
              <w:t xml:space="preserve">  医疗费</w:t>
            </w:r>
          </w:p>
        </w:tc>
        <w:tc>
          <w:tcPr>
            <w:tcW w:w="800" w:type="dxa"/>
            <w:vAlign w:val="center"/>
          </w:tcPr>
          <w:p w14:paraId="00862966"/>
        </w:tc>
        <w:tc>
          <w:tcPr>
            <w:tcW w:w="540" w:type="dxa"/>
            <w:vAlign w:val="center"/>
          </w:tcPr>
          <w:p w14:paraId="2AA940C8">
            <w:pPr>
              <w:jc w:val="left"/>
            </w:pPr>
            <w:r>
              <w:rPr>
                <w:rFonts w:ascii="宋体" w:hAnsi="宋体" w:eastAsia="宋体" w:cs="宋体"/>
                <w:b w:val="0"/>
                <w:i w:val="0"/>
                <w:color w:val="000000"/>
                <w:sz w:val="9"/>
              </w:rPr>
              <w:t>30213</w:t>
            </w:r>
          </w:p>
        </w:tc>
        <w:tc>
          <w:tcPr>
            <w:tcW w:w="1380" w:type="dxa"/>
            <w:vAlign w:val="center"/>
          </w:tcPr>
          <w:p w14:paraId="1642889B">
            <w:pPr>
              <w:jc w:val="left"/>
            </w:pPr>
            <w:r>
              <w:rPr>
                <w:rFonts w:ascii="宋体" w:hAnsi="宋体" w:eastAsia="宋体" w:cs="宋体"/>
                <w:b w:val="0"/>
                <w:i w:val="0"/>
                <w:color w:val="000000"/>
                <w:sz w:val="9"/>
              </w:rPr>
              <w:t xml:space="preserve">  维修（护）费</w:t>
            </w:r>
          </w:p>
        </w:tc>
        <w:tc>
          <w:tcPr>
            <w:tcW w:w="820" w:type="dxa"/>
            <w:vAlign w:val="center"/>
          </w:tcPr>
          <w:p w14:paraId="234B7C4D">
            <w:pPr>
              <w:jc w:val="right"/>
            </w:pPr>
            <w:r>
              <w:rPr>
                <w:rFonts w:ascii="宋体" w:hAnsi="宋体" w:eastAsia="宋体" w:cs="宋体"/>
                <w:b w:val="0"/>
                <w:i w:val="0"/>
                <w:color w:val="000000"/>
                <w:sz w:val="9"/>
              </w:rPr>
              <w:t>37.41</w:t>
            </w:r>
          </w:p>
        </w:tc>
        <w:tc>
          <w:tcPr>
            <w:tcW w:w="540" w:type="dxa"/>
            <w:vAlign w:val="center"/>
          </w:tcPr>
          <w:p w14:paraId="309F96AF">
            <w:pPr>
              <w:jc w:val="left"/>
            </w:pPr>
            <w:r>
              <w:rPr>
                <w:rFonts w:ascii="宋体" w:hAnsi="宋体" w:eastAsia="宋体" w:cs="宋体"/>
                <w:b w:val="0"/>
                <w:i w:val="0"/>
                <w:color w:val="000000"/>
                <w:sz w:val="9"/>
              </w:rPr>
              <w:t>31008</w:t>
            </w:r>
          </w:p>
        </w:tc>
        <w:tc>
          <w:tcPr>
            <w:tcW w:w="1260" w:type="dxa"/>
            <w:vAlign w:val="center"/>
          </w:tcPr>
          <w:p w14:paraId="58B2972A">
            <w:pPr>
              <w:jc w:val="left"/>
            </w:pPr>
            <w:r>
              <w:rPr>
                <w:rFonts w:ascii="宋体" w:hAnsi="宋体" w:eastAsia="宋体" w:cs="宋体"/>
                <w:b w:val="0"/>
                <w:i w:val="0"/>
                <w:color w:val="000000"/>
                <w:sz w:val="9"/>
              </w:rPr>
              <w:t xml:space="preserve">  物资储备</w:t>
            </w:r>
          </w:p>
        </w:tc>
        <w:tc>
          <w:tcPr>
            <w:tcW w:w="786" w:type="dxa"/>
            <w:vAlign w:val="center"/>
          </w:tcPr>
          <w:p w14:paraId="09FE2C1F"/>
        </w:tc>
      </w:tr>
      <w:tr w14:paraId="5AE04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3551EC0">
            <w:pPr>
              <w:jc w:val="left"/>
            </w:pPr>
            <w:r>
              <w:rPr>
                <w:rFonts w:ascii="宋体" w:hAnsi="宋体" w:eastAsia="宋体" w:cs="宋体"/>
                <w:b w:val="0"/>
                <w:i w:val="0"/>
                <w:color w:val="000000"/>
                <w:sz w:val="9"/>
              </w:rPr>
              <w:t>30199</w:t>
            </w:r>
          </w:p>
        </w:tc>
        <w:tc>
          <w:tcPr>
            <w:tcW w:w="1740" w:type="dxa"/>
            <w:vAlign w:val="center"/>
          </w:tcPr>
          <w:p w14:paraId="0C3596B3">
            <w:pPr>
              <w:jc w:val="left"/>
            </w:pPr>
            <w:r>
              <w:rPr>
                <w:rFonts w:ascii="宋体" w:hAnsi="宋体" w:eastAsia="宋体" w:cs="宋体"/>
                <w:b w:val="0"/>
                <w:i w:val="0"/>
                <w:color w:val="000000"/>
                <w:sz w:val="9"/>
              </w:rPr>
              <w:t xml:space="preserve">  其他工资福利支出</w:t>
            </w:r>
          </w:p>
        </w:tc>
        <w:tc>
          <w:tcPr>
            <w:tcW w:w="800" w:type="dxa"/>
            <w:vAlign w:val="center"/>
          </w:tcPr>
          <w:p w14:paraId="22564692">
            <w:pPr>
              <w:jc w:val="right"/>
            </w:pPr>
            <w:r>
              <w:rPr>
                <w:rFonts w:ascii="宋体" w:hAnsi="宋体" w:eastAsia="宋体" w:cs="宋体"/>
                <w:b w:val="0"/>
                <w:i w:val="0"/>
                <w:color w:val="000000"/>
                <w:sz w:val="9"/>
              </w:rPr>
              <w:t>11.47</w:t>
            </w:r>
          </w:p>
        </w:tc>
        <w:tc>
          <w:tcPr>
            <w:tcW w:w="540" w:type="dxa"/>
            <w:vAlign w:val="center"/>
          </w:tcPr>
          <w:p w14:paraId="460124DC">
            <w:pPr>
              <w:jc w:val="left"/>
            </w:pPr>
            <w:r>
              <w:rPr>
                <w:rFonts w:ascii="宋体" w:hAnsi="宋体" w:eastAsia="宋体" w:cs="宋体"/>
                <w:b w:val="0"/>
                <w:i w:val="0"/>
                <w:color w:val="000000"/>
                <w:sz w:val="9"/>
              </w:rPr>
              <w:t>30214</w:t>
            </w:r>
          </w:p>
        </w:tc>
        <w:tc>
          <w:tcPr>
            <w:tcW w:w="1380" w:type="dxa"/>
            <w:vAlign w:val="center"/>
          </w:tcPr>
          <w:p w14:paraId="3D3DDDD3">
            <w:pPr>
              <w:jc w:val="left"/>
            </w:pPr>
            <w:r>
              <w:rPr>
                <w:rFonts w:ascii="宋体" w:hAnsi="宋体" w:eastAsia="宋体" w:cs="宋体"/>
                <w:b w:val="0"/>
                <w:i w:val="0"/>
                <w:color w:val="000000"/>
                <w:sz w:val="9"/>
              </w:rPr>
              <w:t xml:space="preserve">  租赁费</w:t>
            </w:r>
          </w:p>
        </w:tc>
        <w:tc>
          <w:tcPr>
            <w:tcW w:w="820" w:type="dxa"/>
            <w:vAlign w:val="center"/>
          </w:tcPr>
          <w:p w14:paraId="473B7C56">
            <w:pPr>
              <w:jc w:val="right"/>
            </w:pPr>
            <w:r>
              <w:rPr>
                <w:rFonts w:ascii="宋体" w:hAnsi="宋体" w:eastAsia="宋体" w:cs="宋体"/>
                <w:b w:val="0"/>
                <w:i w:val="0"/>
                <w:color w:val="000000"/>
                <w:sz w:val="9"/>
              </w:rPr>
              <w:t>0.46</w:t>
            </w:r>
          </w:p>
        </w:tc>
        <w:tc>
          <w:tcPr>
            <w:tcW w:w="540" w:type="dxa"/>
            <w:vAlign w:val="center"/>
          </w:tcPr>
          <w:p w14:paraId="4101811A">
            <w:pPr>
              <w:jc w:val="left"/>
            </w:pPr>
            <w:r>
              <w:rPr>
                <w:rFonts w:ascii="宋体" w:hAnsi="宋体" w:eastAsia="宋体" w:cs="宋体"/>
                <w:b w:val="0"/>
                <w:i w:val="0"/>
                <w:color w:val="000000"/>
                <w:sz w:val="9"/>
              </w:rPr>
              <w:t>31009</w:t>
            </w:r>
          </w:p>
        </w:tc>
        <w:tc>
          <w:tcPr>
            <w:tcW w:w="1260" w:type="dxa"/>
            <w:vAlign w:val="center"/>
          </w:tcPr>
          <w:p w14:paraId="109DB11C">
            <w:pPr>
              <w:jc w:val="left"/>
            </w:pPr>
            <w:r>
              <w:rPr>
                <w:rFonts w:ascii="宋体" w:hAnsi="宋体" w:eastAsia="宋体" w:cs="宋体"/>
                <w:b w:val="0"/>
                <w:i w:val="0"/>
                <w:color w:val="000000"/>
                <w:sz w:val="9"/>
              </w:rPr>
              <w:t xml:space="preserve">  土地补偿</w:t>
            </w:r>
          </w:p>
        </w:tc>
        <w:tc>
          <w:tcPr>
            <w:tcW w:w="786" w:type="dxa"/>
            <w:vAlign w:val="center"/>
          </w:tcPr>
          <w:p w14:paraId="1ACF33F3"/>
        </w:tc>
      </w:tr>
      <w:tr w14:paraId="7CB54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CA49F2">
            <w:pPr>
              <w:jc w:val="left"/>
            </w:pPr>
            <w:r>
              <w:rPr>
                <w:rFonts w:ascii="宋体" w:hAnsi="宋体" w:eastAsia="宋体" w:cs="宋体"/>
                <w:b/>
                <w:i w:val="0"/>
                <w:color w:val="000000"/>
                <w:sz w:val="9"/>
              </w:rPr>
              <w:t>303</w:t>
            </w:r>
          </w:p>
        </w:tc>
        <w:tc>
          <w:tcPr>
            <w:tcW w:w="1740" w:type="dxa"/>
            <w:vAlign w:val="center"/>
          </w:tcPr>
          <w:p w14:paraId="4071E230">
            <w:pPr>
              <w:jc w:val="left"/>
            </w:pPr>
            <w:r>
              <w:rPr>
                <w:rFonts w:ascii="宋体" w:hAnsi="宋体" w:eastAsia="宋体" w:cs="宋体"/>
                <w:b/>
                <w:i w:val="0"/>
                <w:color w:val="000000"/>
                <w:sz w:val="9"/>
              </w:rPr>
              <w:t>对个人和家庭的补助</w:t>
            </w:r>
          </w:p>
        </w:tc>
        <w:tc>
          <w:tcPr>
            <w:tcW w:w="800" w:type="dxa"/>
            <w:vAlign w:val="center"/>
          </w:tcPr>
          <w:p w14:paraId="108F5C92">
            <w:pPr>
              <w:jc w:val="right"/>
            </w:pPr>
            <w:r>
              <w:rPr>
                <w:rFonts w:ascii="宋体" w:hAnsi="宋体" w:eastAsia="宋体" w:cs="宋体"/>
                <w:b w:val="0"/>
                <w:i w:val="0"/>
                <w:color w:val="000000"/>
                <w:sz w:val="9"/>
              </w:rPr>
              <w:t>76.04</w:t>
            </w:r>
          </w:p>
        </w:tc>
        <w:tc>
          <w:tcPr>
            <w:tcW w:w="540" w:type="dxa"/>
            <w:vAlign w:val="center"/>
          </w:tcPr>
          <w:p w14:paraId="1E998965">
            <w:pPr>
              <w:jc w:val="left"/>
            </w:pPr>
            <w:r>
              <w:rPr>
                <w:rFonts w:ascii="宋体" w:hAnsi="宋体" w:eastAsia="宋体" w:cs="宋体"/>
                <w:b w:val="0"/>
                <w:i w:val="0"/>
                <w:color w:val="000000"/>
                <w:sz w:val="9"/>
              </w:rPr>
              <w:t>30215</w:t>
            </w:r>
          </w:p>
        </w:tc>
        <w:tc>
          <w:tcPr>
            <w:tcW w:w="1380" w:type="dxa"/>
            <w:vAlign w:val="center"/>
          </w:tcPr>
          <w:p w14:paraId="7CE8F422">
            <w:pPr>
              <w:jc w:val="left"/>
            </w:pPr>
            <w:r>
              <w:rPr>
                <w:rFonts w:ascii="宋体" w:hAnsi="宋体" w:eastAsia="宋体" w:cs="宋体"/>
                <w:b w:val="0"/>
                <w:i w:val="0"/>
                <w:color w:val="000000"/>
                <w:sz w:val="9"/>
              </w:rPr>
              <w:t xml:space="preserve">  会议费</w:t>
            </w:r>
          </w:p>
        </w:tc>
        <w:tc>
          <w:tcPr>
            <w:tcW w:w="820" w:type="dxa"/>
            <w:vAlign w:val="center"/>
          </w:tcPr>
          <w:p w14:paraId="62B11317">
            <w:pPr>
              <w:jc w:val="right"/>
            </w:pPr>
            <w:r>
              <w:rPr>
                <w:rFonts w:ascii="宋体" w:hAnsi="宋体" w:eastAsia="宋体" w:cs="宋体"/>
                <w:b w:val="0"/>
                <w:i w:val="0"/>
                <w:color w:val="000000"/>
                <w:sz w:val="9"/>
              </w:rPr>
              <w:t>0.99</w:t>
            </w:r>
          </w:p>
        </w:tc>
        <w:tc>
          <w:tcPr>
            <w:tcW w:w="540" w:type="dxa"/>
            <w:vAlign w:val="center"/>
          </w:tcPr>
          <w:p w14:paraId="55EAF0FE">
            <w:pPr>
              <w:jc w:val="left"/>
            </w:pPr>
            <w:r>
              <w:rPr>
                <w:rFonts w:ascii="宋体" w:hAnsi="宋体" w:eastAsia="宋体" w:cs="宋体"/>
                <w:b w:val="0"/>
                <w:i w:val="0"/>
                <w:color w:val="000000"/>
                <w:sz w:val="9"/>
              </w:rPr>
              <w:t>31010</w:t>
            </w:r>
          </w:p>
        </w:tc>
        <w:tc>
          <w:tcPr>
            <w:tcW w:w="1260" w:type="dxa"/>
            <w:vAlign w:val="center"/>
          </w:tcPr>
          <w:p w14:paraId="7A24D4FA">
            <w:pPr>
              <w:jc w:val="left"/>
            </w:pPr>
            <w:r>
              <w:rPr>
                <w:rFonts w:ascii="宋体" w:hAnsi="宋体" w:eastAsia="宋体" w:cs="宋体"/>
                <w:b w:val="0"/>
                <w:i w:val="0"/>
                <w:color w:val="000000"/>
                <w:sz w:val="9"/>
              </w:rPr>
              <w:t xml:space="preserve">  安置补助</w:t>
            </w:r>
          </w:p>
        </w:tc>
        <w:tc>
          <w:tcPr>
            <w:tcW w:w="786" w:type="dxa"/>
            <w:vAlign w:val="center"/>
          </w:tcPr>
          <w:p w14:paraId="2BAF5723"/>
        </w:tc>
      </w:tr>
      <w:tr w14:paraId="0556E8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6DA158">
            <w:pPr>
              <w:jc w:val="left"/>
            </w:pPr>
            <w:r>
              <w:rPr>
                <w:rFonts w:ascii="宋体" w:hAnsi="宋体" w:eastAsia="宋体" w:cs="宋体"/>
                <w:b w:val="0"/>
                <w:i w:val="0"/>
                <w:color w:val="000000"/>
                <w:sz w:val="9"/>
              </w:rPr>
              <w:t>30301</w:t>
            </w:r>
          </w:p>
        </w:tc>
        <w:tc>
          <w:tcPr>
            <w:tcW w:w="1740" w:type="dxa"/>
            <w:vAlign w:val="center"/>
          </w:tcPr>
          <w:p w14:paraId="42EFC8A4">
            <w:pPr>
              <w:jc w:val="left"/>
            </w:pPr>
            <w:r>
              <w:rPr>
                <w:rFonts w:ascii="宋体" w:hAnsi="宋体" w:eastAsia="宋体" w:cs="宋体"/>
                <w:b w:val="0"/>
                <w:i w:val="0"/>
                <w:color w:val="000000"/>
                <w:sz w:val="9"/>
              </w:rPr>
              <w:t xml:space="preserve">  离休费</w:t>
            </w:r>
          </w:p>
        </w:tc>
        <w:tc>
          <w:tcPr>
            <w:tcW w:w="800" w:type="dxa"/>
            <w:vAlign w:val="center"/>
          </w:tcPr>
          <w:p w14:paraId="3316AD7A"/>
        </w:tc>
        <w:tc>
          <w:tcPr>
            <w:tcW w:w="540" w:type="dxa"/>
            <w:vAlign w:val="center"/>
          </w:tcPr>
          <w:p w14:paraId="6B6995E0">
            <w:pPr>
              <w:jc w:val="left"/>
            </w:pPr>
            <w:r>
              <w:rPr>
                <w:rFonts w:ascii="宋体" w:hAnsi="宋体" w:eastAsia="宋体" w:cs="宋体"/>
                <w:b w:val="0"/>
                <w:i w:val="0"/>
                <w:color w:val="000000"/>
                <w:sz w:val="9"/>
              </w:rPr>
              <w:t>30216</w:t>
            </w:r>
          </w:p>
        </w:tc>
        <w:tc>
          <w:tcPr>
            <w:tcW w:w="1380" w:type="dxa"/>
            <w:vAlign w:val="center"/>
          </w:tcPr>
          <w:p w14:paraId="4A81BEAA">
            <w:pPr>
              <w:jc w:val="left"/>
            </w:pPr>
            <w:r>
              <w:rPr>
                <w:rFonts w:ascii="宋体" w:hAnsi="宋体" w:eastAsia="宋体" w:cs="宋体"/>
                <w:b w:val="0"/>
                <w:i w:val="0"/>
                <w:color w:val="000000"/>
                <w:sz w:val="9"/>
              </w:rPr>
              <w:t xml:space="preserve">  培训费</w:t>
            </w:r>
          </w:p>
        </w:tc>
        <w:tc>
          <w:tcPr>
            <w:tcW w:w="820" w:type="dxa"/>
            <w:vAlign w:val="center"/>
          </w:tcPr>
          <w:p w14:paraId="34826BAC">
            <w:pPr>
              <w:jc w:val="right"/>
            </w:pPr>
            <w:r>
              <w:rPr>
                <w:rFonts w:ascii="宋体" w:hAnsi="宋体" w:eastAsia="宋体" w:cs="宋体"/>
                <w:b w:val="0"/>
                <w:i w:val="0"/>
                <w:color w:val="000000"/>
                <w:sz w:val="9"/>
              </w:rPr>
              <w:t>1.47</w:t>
            </w:r>
          </w:p>
        </w:tc>
        <w:tc>
          <w:tcPr>
            <w:tcW w:w="540" w:type="dxa"/>
            <w:vAlign w:val="center"/>
          </w:tcPr>
          <w:p w14:paraId="47AB4847">
            <w:pPr>
              <w:jc w:val="left"/>
            </w:pPr>
            <w:r>
              <w:rPr>
                <w:rFonts w:ascii="宋体" w:hAnsi="宋体" w:eastAsia="宋体" w:cs="宋体"/>
                <w:b w:val="0"/>
                <w:i w:val="0"/>
                <w:color w:val="000000"/>
                <w:sz w:val="9"/>
              </w:rPr>
              <w:t>310111</w:t>
            </w:r>
          </w:p>
        </w:tc>
        <w:tc>
          <w:tcPr>
            <w:tcW w:w="1260" w:type="dxa"/>
            <w:vAlign w:val="center"/>
          </w:tcPr>
          <w:p w14:paraId="5E373DBE">
            <w:pPr>
              <w:jc w:val="left"/>
            </w:pPr>
            <w:r>
              <w:rPr>
                <w:rFonts w:ascii="宋体" w:hAnsi="宋体" w:eastAsia="宋体" w:cs="宋体"/>
                <w:b w:val="0"/>
                <w:i w:val="0"/>
                <w:color w:val="000000"/>
                <w:sz w:val="9"/>
              </w:rPr>
              <w:t xml:space="preserve">  地上附着物和青苗补偿</w:t>
            </w:r>
          </w:p>
        </w:tc>
        <w:tc>
          <w:tcPr>
            <w:tcW w:w="786" w:type="dxa"/>
            <w:vAlign w:val="center"/>
          </w:tcPr>
          <w:p w14:paraId="12FB47EB"/>
        </w:tc>
      </w:tr>
      <w:tr w14:paraId="405BC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E3676D">
            <w:pPr>
              <w:jc w:val="left"/>
            </w:pPr>
            <w:r>
              <w:rPr>
                <w:rFonts w:ascii="宋体" w:hAnsi="宋体" w:eastAsia="宋体" w:cs="宋体"/>
                <w:b w:val="0"/>
                <w:i w:val="0"/>
                <w:color w:val="000000"/>
                <w:sz w:val="9"/>
              </w:rPr>
              <w:t>30302</w:t>
            </w:r>
          </w:p>
        </w:tc>
        <w:tc>
          <w:tcPr>
            <w:tcW w:w="1740" w:type="dxa"/>
            <w:vAlign w:val="center"/>
          </w:tcPr>
          <w:p w14:paraId="7AD8B712">
            <w:pPr>
              <w:jc w:val="left"/>
            </w:pPr>
            <w:r>
              <w:rPr>
                <w:rFonts w:ascii="宋体" w:hAnsi="宋体" w:eastAsia="宋体" w:cs="宋体"/>
                <w:b w:val="0"/>
                <w:i w:val="0"/>
                <w:color w:val="000000"/>
                <w:sz w:val="9"/>
              </w:rPr>
              <w:t xml:space="preserve">  退休费</w:t>
            </w:r>
          </w:p>
        </w:tc>
        <w:tc>
          <w:tcPr>
            <w:tcW w:w="800" w:type="dxa"/>
            <w:vAlign w:val="center"/>
          </w:tcPr>
          <w:p w14:paraId="07171391"/>
        </w:tc>
        <w:tc>
          <w:tcPr>
            <w:tcW w:w="540" w:type="dxa"/>
            <w:vAlign w:val="center"/>
          </w:tcPr>
          <w:p w14:paraId="73328150">
            <w:pPr>
              <w:jc w:val="left"/>
            </w:pPr>
            <w:r>
              <w:rPr>
                <w:rFonts w:ascii="宋体" w:hAnsi="宋体" w:eastAsia="宋体" w:cs="宋体"/>
                <w:b w:val="0"/>
                <w:i w:val="0"/>
                <w:color w:val="000000"/>
                <w:sz w:val="9"/>
              </w:rPr>
              <w:t>30217</w:t>
            </w:r>
          </w:p>
        </w:tc>
        <w:tc>
          <w:tcPr>
            <w:tcW w:w="1380" w:type="dxa"/>
            <w:vAlign w:val="center"/>
          </w:tcPr>
          <w:p w14:paraId="167A748D">
            <w:pPr>
              <w:jc w:val="left"/>
            </w:pPr>
            <w:r>
              <w:rPr>
                <w:rFonts w:ascii="宋体" w:hAnsi="宋体" w:eastAsia="宋体" w:cs="宋体"/>
                <w:b w:val="0"/>
                <w:i w:val="0"/>
                <w:color w:val="000000"/>
                <w:sz w:val="9"/>
              </w:rPr>
              <w:t xml:space="preserve">  公务接待费</w:t>
            </w:r>
          </w:p>
        </w:tc>
        <w:tc>
          <w:tcPr>
            <w:tcW w:w="820" w:type="dxa"/>
            <w:vAlign w:val="center"/>
          </w:tcPr>
          <w:p w14:paraId="140A98E1">
            <w:pPr>
              <w:jc w:val="right"/>
            </w:pPr>
            <w:r>
              <w:rPr>
                <w:rFonts w:ascii="宋体" w:hAnsi="宋体" w:eastAsia="宋体" w:cs="宋体"/>
                <w:b w:val="0"/>
                <w:i w:val="0"/>
                <w:color w:val="000000"/>
                <w:sz w:val="9"/>
              </w:rPr>
              <w:t>0.06</w:t>
            </w:r>
          </w:p>
        </w:tc>
        <w:tc>
          <w:tcPr>
            <w:tcW w:w="540" w:type="dxa"/>
            <w:vAlign w:val="center"/>
          </w:tcPr>
          <w:p w14:paraId="55D91BB8">
            <w:pPr>
              <w:jc w:val="left"/>
            </w:pPr>
            <w:r>
              <w:rPr>
                <w:rFonts w:ascii="宋体" w:hAnsi="宋体" w:eastAsia="宋体" w:cs="宋体"/>
                <w:b w:val="0"/>
                <w:i w:val="0"/>
                <w:color w:val="000000"/>
                <w:sz w:val="9"/>
              </w:rPr>
              <w:t>31012</w:t>
            </w:r>
          </w:p>
        </w:tc>
        <w:tc>
          <w:tcPr>
            <w:tcW w:w="1260" w:type="dxa"/>
            <w:vAlign w:val="center"/>
          </w:tcPr>
          <w:p w14:paraId="311540D2">
            <w:pPr>
              <w:jc w:val="left"/>
            </w:pPr>
            <w:r>
              <w:rPr>
                <w:rFonts w:ascii="宋体" w:hAnsi="宋体" w:eastAsia="宋体" w:cs="宋体"/>
                <w:b w:val="0"/>
                <w:i w:val="0"/>
                <w:color w:val="000000"/>
                <w:sz w:val="9"/>
              </w:rPr>
              <w:t xml:space="preserve">  拆迁补偿</w:t>
            </w:r>
          </w:p>
        </w:tc>
        <w:tc>
          <w:tcPr>
            <w:tcW w:w="786" w:type="dxa"/>
            <w:vAlign w:val="center"/>
          </w:tcPr>
          <w:p w14:paraId="1A637C82"/>
        </w:tc>
      </w:tr>
      <w:tr w14:paraId="34C6C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E3E73D">
            <w:pPr>
              <w:jc w:val="left"/>
            </w:pPr>
            <w:r>
              <w:rPr>
                <w:rFonts w:ascii="宋体" w:hAnsi="宋体" w:eastAsia="宋体" w:cs="宋体"/>
                <w:b w:val="0"/>
                <w:i w:val="0"/>
                <w:color w:val="000000"/>
                <w:sz w:val="9"/>
              </w:rPr>
              <w:t>30303</w:t>
            </w:r>
          </w:p>
        </w:tc>
        <w:tc>
          <w:tcPr>
            <w:tcW w:w="1740" w:type="dxa"/>
            <w:vAlign w:val="center"/>
          </w:tcPr>
          <w:p w14:paraId="59191B71">
            <w:pPr>
              <w:jc w:val="left"/>
            </w:pPr>
            <w:r>
              <w:rPr>
                <w:rFonts w:ascii="宋体" w:hAnsi="宋体" w:eastAsia="宋体" w:cs="宋体"/>
                <w:b w:val="0"/>
                <w:i w:val="0"/>
                <w:color w:val="000000"/>
                <w:sz w:val="9"/>
              </w:rPr>
              <w:t xml:space="preserve">  退职（役）费</w:t>
            </w:r>
          </w:p>
        </w:tc>
        <w:tc>
          <w:tcPr>
            <w:tcW w:w="800" w:type="dxa"/>
            <w:vAlign w:val="center"/>
          </w:tcPr>
          <w:p w14:paraId="42188F20"/>
        </w:tc>
        <w:tc>
          <w:tcPr>
            <w:tcW w:w="540" w:type="dxa"/>
            <w:vAlign w:val="center"/>
          </w:tcPr>
          <w:p w14:paraId="0BBB5FDD">
            <w:pPr>
              <w:jc w:val="left"/>
            </w:pPr>
            <w:r>
              <w:rPr>
                <w:rFonts w:ascii="宋体" w:hAnsi="宋体" w:eastAsia="宋体" w:cs="宋体"/>
                <w:b w:val="0"/>
                <w:i w:val="0"/>
                <w:color w:val="000000"/>
                <w:sz w:val="9"/>
              </w:rPr>
              <w:t>30218</w:t>
            </w:r>
          </w:p>
        </w:tc>
        <w:tc>
          <w:tcPr>
            <w:tcW w:w="1380" w:type="dxa"/>
            <w:vAlign w:val="center"/>
          </w:tcPr>
          <w:p w14:paraId="5620ACB1">
            <w:pPr>
              <w:jc w:val="left"/>
            </w:pPr>
            <w:r>
              <w:rPr>
                <w:rFonts w:ascii="宋体" w:hAnsi="宋体" w:eastAsia="宋体" w:cs="宋体"/>
                <w:b w:val="0"/>
                <w:i w:val="0"/>
                <w:color w:val="000000"/>
                <w:sz w:val="9"/>
              </w:rPr>
              <w:t xml:space="preserve">  专用材料费</w:t>
            </w:r>
          </w:p>
        </w:tc>
        <w:tc>
          <w:tcPr>
            <w:tcW w:w="820" w:type="dxa"/>
            <w:vAlign w:val="center"/>
          </w:tcPr>
          <w:p w14:paraId="67545133"/>
        </w:tc>
        <w:tc>
          <w:tcPr>
            <w:tcW w:w="540" w:type="dxa"/>
            <w:vAlign w:val="center"/>
          </w:tcPr>
          <w:p w14:paraId="72A0F572">
            <w:pPr>
              <w:jc w:val="left"/>
            </w:pPr>
            <w:r>
              <w:rPr>
                <w:rFonts w:ascii="宋体" w:hAnsi="宋体" w:eastAsia="宋体" w:cs="宋体"/>
                <w:b w:val="0"/>
                <w:i w:val="0"/>
                <w:color w:val="000000"/>
                <w:sz w:val="9"/>
              </w:rPr>
              <w:t>31013</w:t>
            </w:r>
          </w:p>
        </w:tc>
        <w:tc>
          <w:tcPr>
            <w:tcW w:w="1260" w:type="dxa"/>
            <w:vAlign w:val="center"/>
          </w:tcPr>
          <w:p w14:paraId="5B9E5757">
            <w:pPr>
              <w:jc w:val="left"/>
            </w:pPr>
            <w:r>
              <w:rPr>
                <w:rFonts w:ascii="宋体" w:hAnsi="宋体" w:eastAsia="宋体" w:cs="宋体"/>
                <w:b w:val="0"/>
                <w:i w:val="0"/>
                <w:color w:val="000000"/>
                <w:sz w:val="9"/>
              </w:rPr>
              <w:t xml:space="preserve">  公务用车购置</w:t>
            </w:r>
          </w:p>
        </w:tc>
        <w:tc>
          <w:tcPr>
            <w:tcW w:w="786" w:type="dxa"/>
            <w:vAlign w:val="center"/>
          </w:tcPr>
          <w:p w14:paraId="0CDCB3C7"/>
        </w:tc>
      </w:tr>
      <w:tr w14:paraId="7FB56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2CFBFC">
            <w:pPr>
              <w:jc w:val="left"/>
            </w:pPr>
            <w:r>
              <w:rPr>
                <w:rFonts w:ascii="宋体" w:hAnsi="宋体" w:eastAsia="宋体" w:cs="宋体"/>
                <w:b w:val="0"/>
                <w:i w:val="0"/>
                <w:color w:val="000000"/>
                <w:sz w:val="9"/>
              </w:rPr>
              <w:t>30304</w:t>
            </w:r>
          </w:p>
        </w:tc>
        <w:tc>
          <w:tcPr>
            <w:tcW w:w="1740" w:type="dxa"/>
            <w:vAlign w:val="center"/>
          </w:tcPr>
          <w:p w14:paraId="06701910">
            <w:pPr>
              <w:jc w:val="left"/>
            </w:pPr>
            <w:r>
              <w:rPr>
                <w:rFonts w:ascii="宋体" w:hAnsi="宋体" w:eastAsia="宋体" w:cs="宋体"/>
                <w:b w:val="0"/>
                <w:i w:val="0"/>
                <w:color w:val="000000"/>
                <w:sz w:val="9"/>
              </w:rPr>
              <w:t xml:space="preserve">  抚恤金</w:t>
            </w:r>
          </w:p>
        </w:tc>
        <w:tc>
          <w:tcPr>
            <w:tcW w:w="800" w:type="dxa"/>
            <w:vAlign w:val="center"/>
          </w:tcPr>
          <w:p w14:paraId="518C4656"/>
        </w:tc>
        <w:tc>
          <w:tcPr>
            <w:tcW w:w="540" w:type="dxa"/>
            <w:vAlign w:val="center"/>
          </w:tcPr>
          <w:p w14:paraId="241AD618">
            <w:pPr>
              <w:jc w:val="left"/>
            </w:pPr>
            <w:r>
              <w:rPr>
                <w:rFonts w:ascii="宋体" w:hAnsi="宋体" w:eastAsia="宋体" w:cs="宋体"/>
                <w:b w:val="0"/>
                <w:i w:val="0"/>
                <w:color w:val="000000"/>
                <w:sz w:val="9"/>
              </w:rPr>
              <w:t>30224</w:t>
            </w:r>
          </w:p>
        </w:tc>
        <w:tc>
          <w:tcPr>
            <w:tcW w:w="1380" w:type="dxa"/>
            <w:vAlign w:val="center"/>
          </w:tcPr>
          <w:p w14:paraId="4101A84C">
            <w:pPr>
              <w:jc w:val="left"/>
            </w:pPr>
            <w:r>
              <w:rPr>
                <w:rFonts w:ascii="宋体" w:hAnsi="宋体" w:eastAsia="宋体" w:cs="宋体"/>
                <w:b w:val="0"/>
                <w:i w:val="0"/>
                <w:color w:val="000000"/>
                <w:sz w:val="9"/>
              </w:rPr>
              <w:t xml:space="preserve">  被装购置费</w:t>
            </w:r>
          </w:p>
        </w:tc>
        <w:tc>
          <w:tcPr>
            <w:tcW w:w="820" w:type="dxa"/>
            <w:vAlign w:val="center"/>
          </w:tcPr>
          <w:p w14:paraId="67CA2801"/>
        </w:tc>
        <w:tc>
          <w:tcPr>
            <w:tcW w:w="540" w:type="dxa"/>
            <w:vAlign w:val="center"/>
          </w:tcPr>
          <w:p w14:paraId="36796070">
            <w:pPr>
              <w:jc w:val="left"/>
            </w:pPr>
            <w:r>
              <w:rPr>
                <w:rFonts w:ascii="宋体" w:hAnsi="宋体" w:eastAsia="宋体" w:cs="宋体"/>
                <w:b w:val="0"/>
                <w:i w:val="0"/>
                <w:color w:val="000000"/>
                <w:sz w:val="9"/>
              </w:rPr>
              <w:t>31019</w:t>
            </w:r>
          </w:p>
        </w:tc>
        <w:tc>
          <w:tcPr>
            <w:tcW w:w="1260" w:type="dxa"/>
            <w:vAlign w:val="center"/>
          </w:tcPr>
          <w:p w14:paraId="7DB1EAEB">
            <w:pPr>
              <w:jc w:val="left"/>
            </w:pPr>
            <w:r>
              <w:rPr>
                <w:rFonts w:ascii="宋体" w:hAnsi="宋体" w:eastAsia="宋体" w:cs="宋体"/>
                <w:b w:val="0"/>
                <w:i w:val="0"/>
                <w:color w:val="000000"/>
                <w:sz w:val="9"/>
              </w:rPr>
              <w:t xml:space="preserve">  其他交通工具购置</w:t>
            </w:r>
          </w:p>
        </w:tc>
        <w:tc>
          <w:tcPr>
            <w:tcW w:w="786" w:type="dxa"/>
            <w:vAlign w:val="center"/>
          </w:tcPr>
          <w:p w14:paraId="7D1AA653"/>
        </w:tc>
      </w:tr>
      <w:tr w14:paraId="0EE78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A83F4A">
            <w:pPr>
              <w:jc w:val="left"/>
            </w:pPr>
            <w:r>
              <w:rPr>
                <w:rFonts w:ascii="宋体" w:hAnsi="宋体" w:eastAsia="宋体" w:cs="宋体"/>
                <w:b w:val="0"/>
                <w:i w:val="0"/>
                <w:color w:val="000000"/>
                <w:sz w:val="9"/>
              </w:rPr>
              <w:t>30305</w:t>
            </w:r>
          </w:p>
        </w:tc>
        <w:tc>
          <w:tcPr>
            <w:tcW w:w="1740" w:type="dxa"/>
            <w:vAlign w:val="center"/>
          </w:tcPr>
          <w:p w14:paraId="32BE7A52">
            <w:pPr>
              <w:jc w:val="left"/>
            </w:pPr>
            <w:r>
              <w:rPr>
                <w:rFonts w:ascii="宋体" w:hAnsi="宋体" w:eastAsia="宋体" w:cs="宋体"/>
                <w:b w:val="0"/>
                <w:i w:val="0"/>
                <w:color w:val="000000"/>
                <w:sz w:val="9"/>
              </w:rPr>
              <w:t xml:space="preserve">  生活补贴</w:t>
            </w:r>
          </w:p>
        </w:tc>
        <w:tc>
          <w:tcPr>
            <w:tcW w:w="800" w:type="dxa"/>
            <w:vAlign w:val="center"/>
          </w:tcPr>
          <w:p w14:paraId="5513CF6A">
            <w:pPr>
              <w:jc w:val="right"/>
            </w:pPr>
            <w:r>
              <w:rPr>
                <w:rFonts w:ascii="宋体" w:hAnsi="宋体" w:eastAsia="宋体" w:cs="宋体"/>
                <w:b w:val="0"/>
                <w:i w:val="0"/>
                <w:color w:val="000000"/>
                <w:sz w:val="9"/>
              </w:rPr>
              <w:t>1.17</w:t>
            </w:r>
          </w:p>
        </w:tc>
        <w:tc>
          <w:tcPr>
            <w:tcW w:w="540" w:type="dxa"/>
            <w:vAlign w:val="center"/>
          </w:tcPr>
          <w:p w14:paraId="3055A53D">
            <w:pPr>
              <w:jc w:val="left"/>
            </w:pPr>
            <w:r>
              <w:rPr>
                <w:rFonts w:ascii="宋体" w:hAnsi="宋体" w:eastAsia="宋体" w:cs="宋体"/>
                <w:b w:val="0"/>
                <w:i w:val="0"/>
                <w:color w:val="000000"/>
                <w:sz w:val="9"/>
              </w:rPr>
              <w:t>30225</w:t>
            </w:r>
          </w:p>
        </w:tc>
        <w:tc>
          <w:tcPr>
            <w:tcW w:w="1380" w:type="dxa"/>
            <w:vAlign w:val="center"/>
          </w:tcPr>
          <w:p w14:paraId="6A16FAA0">
            <w:pPr>
              <w:jc w:val="left"/>
            </w:pPr>
            <w:r>
              <w:rPr>
                <w:rFonts w:ascii="宋体" w:hAnsi="宋体" w:eastAsia="宋体" w:cs="宋体"/>
                <w:b w:val="0"/>
                <w:i w:val="0"/>
                <w:color w:val="000000"/>
                <w:sz w:val="9"/>
              </w:rPr>
              <w:t xml:space="preserve">  专用燃料费</w:t>
            </w:r>
          </w:p>
        </w:tc>
        <w:tc>
          <w:tcPr>
            <w:tcW w:w="820" w:type="dxa"/>
            <w:vAlign w:val="center"/>
          </w:tcPr>
          <w:p w14:paraId="4D5FACDB"/>
        </w:tc>
        <w:tc>
          <w:tcPr>
            <w:tcW w:w="540" w:type="dxa"/>
            <w:vAlign w:val="center"/>
          </w:tcPr>
          <w:p w14:paraId="3078E082">
            <w:pPr>
              <w:jc w:val="left"/>
            </w:pPr>
            <w:r>
              <w:rPr>
                <w:rFonts w:ascii="宋体" w:hAnsi="宋体" w:eastAsia="宋体" w:cs="宋体"/>
                <w:b w:val="0"/>
                <w:i w:val="0"/>
                <w:color w:val="000000"/>
                <w:sz w:val="9"/>
              </w:rPr>
              <w:t>31021</w:t>
            </w:r>
          </w:p>
        </w:tc>
        <w:tc>
          <w:tcPr>
            <w:tcW w:w="1260" w:type="dxa"/>
            <w:vAlign w:val="center"/>
          </w:tcPr>
          <w:p w14:paraId="78988FB5">
            <w:pPr>
              <w:jc w:val="left"/>
            </w:pPr>
            <w:r>
              <w:rPr>
                <w:rFonts w:ascii="宋体" w:hAnsi="宋体" w:eastAsia="宋体" w:cs="宋体"/>
                <w:b w:val="0"/>
                <w:i w:val="0"/>
                <w:color w:val="000000"/>
                <w:sz w:val="9"/>
              </w:rPr>
              <w:t xml:space="preserve">  文物和陈列品购置</w:t>
            </w:r>
          </w:p>
        </w:tc>
        <w:tc>
          <w:tcPr>
            <w:tcW w:w="786" w:type="dxa"/>
            <w:vAlign w:val="center"/>
          </w:tcPr>
          <w:p w14:paraId="46DAAE94"/>
        </w:tc>
      </w:tr>
      <w:tr w14:paraId="44E4B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EF324F">
            <w:pPr>
              <w:jc w:val="left"/>
            </w:pPr>
            <w:r>
              <w:rPr>
                <w:rFonts w:ascii="宋体" w:hAnsi="宋体" w:eastAsia="宋体" w:cs="宋体"/>
                <w:b w:val="0"/>
                <w:i w:val="0"/>
                <w:color w:val="000000"/>
                <w:sz w:val="9"/>
              </w:rPr>
              <w:t>30306</w:t>
            </w:r>
          </w:p>
        </w:tc>
        <w:tc>
          <w:tcPr>
            <w:tcW w:w="1740" w:type="dxa"/>
            <w:vAlign w:val="center"/>
          </w:tcPr>
          <w:p w14:paraId="1E454389">
            <w:pPr>
              <w:jc w:val="left"/>
            </w:pPr>
            <w:r>
              <w:rPr>
                <w:rFonts w:ascii="宋体" w:hAnsi="宋体" w:eastAsia="宋体" w:cs="宋体"/>
                <w:b w:val="0"/>
                <w:i w:val="0"/>
                <w:color w:val="000000"/>
                <w:sz w:val="9"/>
              </w:rPr>
              <w:t xml:space="preserve">  救济费</w:t>
            </w:r>
          </w:p>
        </w:tc>
        <w:tc>
          <w:tcPr>
            <w:tcW w:w="800" w:type="dxa"/>
            <w:vAlign w:val="center"/>
          </w:tcPr>
          <w:p w14:paraId="64C944E0"/>
        </w:tc>
        <w:tc>
          <w:tcPr>
            <w:tcW w:w="540" w:type="dxa"/>
            <w:vAlign w:val="center"/>
          </w:tcPr>
          <w:p w14:paraId="45807B06">
            <w:pPr>
              <w:jc w:val="left"/>
            </w:pPr>
            <w:r>
              <w:rPr>
                <w:rFonts w:ascii="宋体" w:hAnsi="宋体" w:eastAsia="宋体" w:cs="宋体"/>
                <w:b w:val="0"/>
                <w:i w:val="0"/>
                <w:color w:val="000000"/>
                <w:sz w:val="9"/>
              </w:rPr>
              <w:t>30226</w:t>
            </w:r>
          </w:p>
        </w:tc>
        <w:tc>
          <w:tcPr>
            <w:tcW w:w="1380" w:type="dxa"/>
            <w:vAlign w:val="center"/>
          </w:tcPr>
          <w:p w14:paraId="6DB171EA">
            <w:pPr>
              <w:jc w:val="left"/>
            </w:pPr>
            <w:r>
              <w:rPr>
                <w:rFonts w:ascii="宋体" w:hAnsi="宋体" w:eastAsia="宋体" w:cs="宋体"/>
                <w:b w:val="0"/>
                <w:i w:val="0"/>
                <w:color w:val="000000"/>
                <w:sz w:val="9"/>
              </w:rPr>
              <w:t xml:space="preserve">  劳务费</w:t>
            </w:r>
          </w:p>
        </w:tc>
        <w:tc>
          <w:tcPr>
            <w:tcW w:w="820" w:type="dxa"/>
            <w:vAlign w:val="center"/>
          </w:tcPr>
          <w:p w14:paraId="712529D3">
            <w:pPr>
              <w:jc w:val="right"/>
            </w:pPr>
            <w:r>
              <w:rPr>
                <w:rFonts w:ascii="宋体" w:hAnsi="宋体" w:eastAsia="宋体" w:cs="宋体"/>
                <w:b w:val="0"/>
                <w:i w:val="0"/>
                <w:color w:val="000000"/>
                <w:sz w:val="9"/>
              </w:rPr>
              <w:t>14.24</w:t>
            </w:r>
          </w:p>
        </w:tc>
        <w:tc>
          <w:tcPr>
            <w:tcW w:w="540" w:type="dxa"/>
            <w:vAlign w:val="center"/>
          </w:tcPr>
          <w:p w14:paraId="3ED1C9E6">
            <w:pPr>
              <w:jc w:val="left"/>
            </w:pPr>
            <w:r>
              <w:rPr>
                <w:rFonts w:ascii="宋体" w:hAnsi="宋体" w:eastAsia="宋体" w:cs="宋体"/>
                <w:b w:val="0"/>
                <w:i w:val="0"/>
                <w:color w:val="000000"/>
                <w:sz w:val="9"/>
              </w:rPr>
              <w:t>31022</w:t>
            </w:r>
          </w:p>
        </w:tc>
        <w:tc>
          <w:tcPr>
            <w:tcW w:w="1260" w:type="dxa"/>
            <w:vAlign w:val="center"/>
          </w:tcPr>
          <w:p w14:paraId="1DBCFEF2">
            <w:pPr>
              <w:jc w:val="left"/>
            </w:pPr>
            <w:r>
              <w:rPr>
                <w:rFonts w:ascii="宋体" w:hAnsi="宋体" w:eastAsia="宋体" w:cs="宋体"/>
                <w:b w:val="0"/>
                <w:i w:val="0"/>
                <w:color w:val="000000"/>
                <w:sz w:val="9"/>
              </w:rPr>
              <w:t xml:space="preserve">  无形资产购置</w:t>
            </w:r>
          </w:p>
        </w:tc>
        <w:tc>
          <w:tcPr>
            <w:tcW w:w="786" w:type="dxa"/>
            <w:vAlign w:val="center"/>
          </w:tcPr>
          <w:p w14:paraId="02A24684"/>
        </w:tc>
      </w:tr>
      <w:tr w14:paraId="79971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6D408D">
            <w:pPr>
              <w:jc w:val="left"/>
            </w:pPr>
            <w:r>
              <w:rPr>
                <w:rFonts w:ascii="宋体" w:hAnsi="宋体" w:eastAsia="宋体" w:cs="宋体"/>
                <w:b w:val="0"/>
                <w:i w:val="0"/>
                <w:color w:val="000000"/>
                <w:sz w:val="9"/>
              </w:rPr>
              <w:t>30307</w:t>
            </w:r>
          </w:p>
        </w:tc>
        <w:tc>
          <w:tcPr>
            <w:tcW w:w="1740" w:type="dxa"/>
            <w:vAlign w:val="center"/>
          </w:tcPr>
          <w:p w14:paraId="369DA593">
            <w:pPr>
              <w:jc w:val="left"/>
            </w:pPr>
            <w:r>
              <w:rPr>
                <w:rFonts w:ascii="宋体" w:hAnsi="宋体" w:eastAsia="宋体" w:cs="宋体"/>
                <w:b w:val="0"/>
                <w:i w:val="0"/>
                <w:color w:val="000000"/>
                <w:sz w:val="9"/>
              </w:rPr>
              <w:t xml:space="preserve">  医疗费补助</w:t>
            </w:r>
          </w:p>
        </w:tc>
        <w:tc>
          <w:tcPr>
            <w:tcW w:w="800" w:type="dxa"/>
            <w:vAlign w:val="center"/>
          </w:tcPr>
          <w:p w14:paraId="19AC674B"/>
        </w:tc>
        <w:tc>
          <w:tcPr>
            <w:tcW w:w="540" w:type="dxa"/>
            <w:vAlign w:val="center"/>
          </w:tcPr>
          <w:p w14:paraId="63751369">
            <w:pPr>
              <w:jc w:val="left"/>
            </w:pPr>
            <w:r>
              <w:rPr>
                <w:rFonts w:ascii="宋体" w:hAnsi="宋体" w:eastAsia="宋体" w:cs="宋体"/>
                <w:b w:val="0"/>
                <w:i w:val="0"/>
                <w:color w:val="000000"/>
                <w:sz w:val="9"/>
              </w:rPr>
              <w:t>30227</w:t>
            </w:r>
          </w:p>
        </w:tc>
        <w:tc>
          <w:tcPr>
            <w:tcW w:w="1380" w:type="dxa"/>
            <w:vAlign w:val="center"/>
          </w:tcPr>
          <w:p w14:paraId="486B1152">
            <w:pPr>
              <w:jc w:val="left"/>
            </w:pPr>
            <w:r>
              <w:rPr>
                <w:rFonts w:ascii="宋体" w:hAnsi="宋体" w:eastAsia="宋体" w:cs="宋体"/>
                <w:b w:val="0"/>
                <w:i w:val="0"/>
                <w:color w:val="000000"/>
                <w:sz w:val="9"/>
              </w:rPr>
              <w:t xml:space="preserve">  委托业务费</w:t>
            </w:r>
          </w:p>
        </w:tc>
        <w:tc>
          <w:tcPr>
            <w:tcW w:w="820" w:type="dxa"/>
            <w:vAlign w:val="center"/>
          </w:tcPr>
          <w:p w14:paraId="6301A1AB">
            <w:pPr>
              <w:jc w:val="right"/>
            </w:pPr>
            <w:r>
              <w:rPr>
                <w:rFonts w:ascii="宋体" w:hAnsi="宋体" w:eastAsia="宋体" w:cs="宋体"/>
                <w:b w:val="0"/>
                <w:i w:val="0"/>
                <w:color w:val="000000"/>
                <w:sz w:val="9"/>
              </w:rPr>
              <w:t>3.47</w:t>
            </w:r>
          </w:p>
        </w:tc>
        <w:tc>
          <w:tcPr>
            <w:tcW w:w="540" w:type="dxa"/>
            <w:vAlign w:val="center"/>
          </w:tcPr>
          <w:p w14:paraId="27CE07DF">
            <w:pPr>
              <w:jc w:val="left"/>
            </w:pPr>
            <w:r>
              <w:rPr>
                <w:rFonts w:ascii="宋体" w:hAnsi="宋体" w:eastAsia="宋体" w:cs="宋体"/>
                <w:b w:val="0"/>
                <w:i w:val="0"/>
                <w:color w:val="000000"/>
                <w:sz w:val="9"/>
              </w:rPr>
              <w:t>31099</w:t>
            </w:r>
          </w:p>
        </w:tc>
        <w:tc>
          <w:tcPr>
            <w:tcW w:w="1260" w:type="dxa"/>
            <w:vAlign w:val="center"/>
          </w:tcPr>
          <w:p w14:paraId="04C88443">
            <w:pPr>
              <w:jc w:val="left"/>
            </w:pPr>
            <w:r>
              <w:rPr>
                <w:rFonts w:ascii="宋体" w:hAnsi="宋体" w:eastAsia="宋体" w:cs="宋体"/>
                <w:b w:val="0"/>
                <w:i w:val="0"/>
                <w:color w:val="000000"/>
                <w:sz w:val="9"/>
              </w:rPr>
              <w:t xml:space="preserve">  其他资本性支出</w:t>
            </w:r>
          </w:p>
        </w:tc>
        <w:tc>
          <w:tcPr>
            <w:tcW w:w="786" w:type="dxa"/>
            <w:vAlign w:val="center"/>
          </w:tcPr>
          <w:p w14:paraId="1E3F1FE6"/>
        </w:tc>
      </w:tr>
      <w:tr w14:paraId="5DA2C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2A3105">
            <w:pPr>
              <w:jc w:val="left"/>
            </w:pPr>
            <w:r>
              <w:rPr>
                <w:rFonts w:ascii="宋体" w:hAnsi="宋体" w:eastAsia="宋体" w:cs="宋体"/>
                <w:b w:val="0"/>
                <w:i w:val="0"/>
                <w:color w:val="000000"/>
                <w:sz w:val="9"/>
              </w:rPr>
              <w:t>30308</w:t>
            </w:r>
          </w:p>
        </w:tc>
        <w:tc>
          <w:tcPr>
            <w:tcW w:w="1740" w:type="dxa"/>
            <w:vAlign w:val="center"/>
          </w:tcPr>
          <w:p w14:paraId="1DC604E4">
            <w:pPr>
              <w:jc w:val="left"/>
            </w:pPr>
            <w:r>
              <w:rPr>
                <w:rFonts w:ascii="宋体" w:hAnsi="宋体" w:eastAsia="宋体" w:cs="宋体"/>
                <w:b w:val="0"/>
                <w:i w:val="0"/>
                <w:color w:val="000000"/>
                <w:sz w:val="9"/>
              </w:rPr>
              <w:t xml:space="preserve">  助学金</w:t>
            </w:r>
          </w:p>
        </w:tc>
        <w:tc>
          <w:tcPr>
            <w:tcW w:w="800" w:type="dxa"/>
            <w:vAlign w:val="center"/>
          </w:tcPr>
          <w:p w14:paraId="76F25BF7"/>
        </w:tc>
        <w:tc>
          <w:tcPr>
            <w:tcW w:w="540" w:type="dxa"/>
            <w:vAlign w:val="center"/>
          </w:tcPr>
          <w:p w14:paraId="2962785C">
            <w:pPr>
              <w:jc w:val="left"/>
            </w:pPr>
            <w:r>
              <w:rPr>
                <w:rFonts w:ascii="宋体" w:hAnsi="宋体" w:eastAsia="宋体" w:cs="宋体"/>
                <w:b w:val="0"/>
                <w:i w:val="0"/>
                <w:color w:val="000000"/>
                <w:sz w:val="9"/>
              </w:rPr>
              <w:t>30228</w:t>
            </w:r>
          </w:p>
        </w:tc>
        <w:tc>
          <w:tcPr>
            <w:tcW w:w="1380" w:type="dxa"/>
            <w:vAlign w:val="center"/>
          </w:tcPr>
          <w:p w14:paraId="4B26C81D">
            <w:pPr>
              <w:jc w:val="left"/>
            </w:pPr>
            <w:r>
              <w:rPr>
                <w:rFonts w:ascii="宋体" w:hAnsi="宋体" w:eastAsia="宋体" w:cs="宋体"/>
                <w:b w:val="0"/>
                <w:i w:val="0"/>
                <w:color w:val="000000"/>
                <w:sz w:val="9"/>
              </w:rPr>
              <w:t xml:space="preserve">  工会经费</w:t>
            </w:r>
          </w:p>
        </w:tc>
        <w:tc>
          <w:tcPr>
            <w:tcW w:w="820" w:type="dxa"/>
            <w:vAlign w:val="center"/>
          </w:tcPr>
          <w:p w14:paraId="5134CFBA">
            <w:pPr>
              <w:jc w:val="right"/>
            </w:pPr>
            <w:r>
              <w:rPr>
                <w:rFonts w:ascii="宋体" w:hAnsi="宋体" w:eastAsia="宋体" w:cs="宋体"/>
                <w:b w:val="0"/>
                <w:i w:val="0"/>
                <w:color w:val="000000"/>
                <w:sz w:val="9"/>
              </w:rPr>
              <w:t>4.47</w:t>
            </w:r>
          </w:p>
        </w:tc>
        <w:tc>
          <w:tcPr>
            <w:tcW w:w="540" w:type="dxa"/>
            <w:vAlign w:val="center"/>
          </w:tcPr>
          <w:p w14:paraId="60176EB7">
            <w:pPr>
              <w:jc w:val="left"/>
            </w:pPr>
            <w:r>
              <w:rPr>
                <w:rFonts w:ascii="宋体" w:hAnsi="宋体" w:eastAsia="宋体" w:cs="宋体"/>
                <w:b/>
                <w:i w:val="0"/>
                <w:color w:val="000000"/>
                <w:sz w:val="9"/>
              </w:rPr>
              <w:t>312</w:t>
            </w:r>
          </w:p>
        </w:tc>
        <w:tc>
          <w:tcPr>
            <w:tcW w:w="1260" w:type="dxa"/>
            <w:vAlign w:val="center"/>
          </w:tcPr>
          <w:p w14:paraId="06F5EF41">
            <w:pPr>
              <w:jc w:val="left"/>
            </w:pPr>
            <w:r>
              <w:rPr>
                <w:rFonts w:ascii="宋体" w:hAnsi="宋体" w:eastAsia="宋体" w:cs="宋体"/>
                <w:b/>
                <w:i w:val="0"/>
                <w:color w:val="000000"/>
                <w:sz w:val="9"/>
              </w:rPr>
              <w:t>对企业补助</w:t>
            </w:r>
          </w:p>
        </w:tc>
        <w:tc>
          <w:tcPr>
            <w:tcW w:w="786" w:type="dxa"/>
            <w:vAlign w:val="center"/>
          </w:tcPr>
          <w:p w14:paraId="39D166D4"/>
        </w:tc>
      </w:tr>
      <w:tr w14:paraId="40DC7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E36772">
            <w:pPr>
              <w:jc w:val="left"/>
            </w:pPr>
            <w:r>
              <w:rPr>
                <w:rFonts w:ascii="宋体" w:hAnsi="宋体" w:eastAsia="宋体" w:cs="宋体"/>
                <w:b w:val="0"/>
                <w:i w:val="0"/>
                <w:color w:val="000000"/>
                <w:sz w:val="9"/>
              </w:rPr>
              <w:t>30309</w:t>
            </w:r>
          </w:p>
        </w:tc>
        <w:tc>
          <w:tcPr>
            <w:tcW w:w="1740" w:type="dxa"/>
            <w:vAlign w:val="center"/>
          </w:tcPr>
          <w:p w14:paraId="2080E49C">
            <w:pPr>
              <w:jc w:val="left"/>
            </w:pPr>
            <w:r>
              <w:rPr>
                <w:rFonts w:ascii="宋体" w:hAnsi="宋体" w:eastAsia="宋体" w:cs="宋体"/>
                <w:b w:val="0"/>
                <w:i w:val="0"/>
                <w:color w:val="000000"/>
                <w:sz w:val="9"/>
              </w:rPr>
              <w:t xml:space="preserve">  奖励金</w:t>
            </w:r>
          </w:p>
        </w:tc>
        <w:tc>
          <w:tcPr>
            <w:tcW w:w="800" w:type="dxa"/>
            <w:vAlign w:val="center"/>
          </w:tcPr>
          <w:p w14:paraId="41CD46E8">
            <w:pPr>
              <w:jc w:val="right"/>
            </w:pPr>
            <w:r>
              <w:rPr>
                <w:rFonts w:ascii="宋体" w:hAnsi="宋体" w:eastAsia="宋体" w:cs="宋体"/>
                <w:b w:val="0"/>
                <w:i w:val="0"/>
                <w:color w:val="000000"/>
                <w:sz w:val="9"/>
              </w:rPr>
              <w:t>72.91</w:t>
            </w:r>
          </w:p>
        </w:tc>
        <w:tc>
          <w:tcPr>
            <w:tcW w:w="540" w:type="dxa"/>
            <w:vAlign w:val="center"/>
          </w:tcPr>
          <w:p w14:paraId="63F6BE3C">
            <w:pPr>
              <w:jc w:val="left"/>
            </w:pPr>
            <w:r>
              <w:rPr>
                <w:rFonts w:ascii="宋体" w:hAnsi="宋体" w:eastAsia="宋体" w:cs="宋体"/>
                <w:b w:val="0"/>
                <w:i w:val="0"/>
                <w:color w:val="000000"/>
                <w:sz w:val="9"/>
              </w:rPr>
              <w:t>30229</w:t>
            </w:r>
          </w:p>
        </w:tc>
        <w:tc>
          <w:tcPr>
            <w:tcW w:w="1380" w:type="dxa"/>
            <w:vAlign w:val="center"/>
          </w:tcPr>
          <w:p w14:paraId="21B5CA24">
            <w:pPr>
              <w:jc w:val="left"/>
            </w:pPr>
            <w:r>
              <w:rPr>
                <w:rFonts w:ascii="宋体" w:hAnsi="宋体" w:eastAsia="宋体" w:cs="宋体"/>
                <w:b w:val="0"/>
                <w:i w:val="0"/>
                <w:color w:val="000000"/>
                <w:sz w:val="9"/>
              </w:rPr>
              <w:t xml:space="preserve">  福利费</w:t>
            </w:r>
          </w:p>
        </w:tc>
        <w:tc>
          <w:tcPr>
            <w:tcW w:w="820" w:type="dxa"/>
            <w:vAlign w:val="center"/>
          </w:tcPr>
          <w:p w14:paraId="79A73F71">
            <w:pPr>
              <w:jc w:val="right"/>
            </w:pPr>
            <w:r>
              <w:rPr>
                <w:rFonts w:ascii="宋体" w:hAnsi="宋体" w:eastAsia="宋体" w:cs="宋体"/>
                <w:b w:val="0"/>
                <w:i w:val="0"/>
                <w:color w:val="000000"/>
                <w:sz w:val="9"/>
              </w:rPr>
              <w:t>27.71</w:t>
            </w:r>
          </w:p>
        </w:tc>
        <w:tc>
          <w:tcPr>
            <w:tcW w:w="540" w:type="dxa"/>
            <w:vAlign w:val="center"/>
          </w:tcPr>
          <w:p w14:paraId="4ECB7DB0">
            <w:pPr>
              <w:jc w:val="left"/>
            </w:pPr>
            <w:r>
              <w:rPr>
                <w:rFonts w:ascii="宋体" w:hAnsi="宋体" w:eastAsia="宋体" w:cs="宋体"/>
                <w:b w:val="0"/>
                <w:i w:val="0"/>
                <w:color w:val="000000"/>
                <w:sz w:val="9"/>
              </w:rPr>
              <w:t>31201</w:t>
            </w:r>
          </w:p>
        </w:tc>
        <w:tc>
          <w:tcPr>
            <w:tcW w:w="1260" w:type="dxa"/>
            <w:vAlign w:val="center"/>
          </w:tcPr>
          <w:p w14:paraId="7F52072C">
            <w:pPr>
              <w:jc w:val="left"/>
            </w:pPr>
            <w:r>
              <w:rPr>
                <w:rFonts w:ascii="宋体" w:hAnsi="宋体" w:eastAsia="宋体" w:cs="宋体"/>
                <w:b w:val="0"/>
                <w:i w:val="0"/>
                <w:color w:val="000000"/>
                <w:sz w:val="9"/>
              </w:rPr>
              <w:t xml:space="preserve">  资本金注入</w:t>
            </w:r>
          </w:p>
        </w:tc>
        <w:tc>
          <w:tcPr>
            <w:tcW w:w="786" w:type="dxa"/>
            <w:vAlign w:val="center"/>
          </w:tcPr>
          <w:p w14:paraId="108E4645"/>
        </w:tc>
      </w:tr>
      <w:tr w14:paraId="7532D2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6695A2">
            <w:pPr>
              <w:jc w:val="left"/>
            </w:pPr>
            <w:r>
              <w:rPr>
                <w:rFonts w:ascii="宋体" w:hAnsi="宋体" w:eastAsia="宋体" w:cs="宋体"/>
                <w:b w:val="0"/>
                <w:i w:val="0"/>
                <w:color w:val="000000"/>
                <w:sz w:val="9"/>
              </w:rPr>
              <w:t>30310</w:t>
            </w:r>
          </w:p>
        </w:tc>
        <w:tc>
          <w:tcPr>
            <w:tcW w:w="1740" w:type="dxa"/>
            <w:vAlign w:val="center"/>
          </w:tcPr>
          <w:p w14:paraId="33415328">
            <w:pPr>
              <w:jc w:val="left"/>
            </w:pPr>
            <w:r>
              <w:rPr>
                <w:rFonts w:ascii="宋体" w:hAnsi="宋体" w:eastAsia="宋体" w:cs="宋体"/>
                <w:b w:val="0"/>
                <w:i w:val="0"/>
                <w:color w:val="000000"/>
                <w:sz w:val="9"/>
              </w:rPr>
              <w:t xml:space="preserve">  个人农业生产补贴</w:t>
            </w:r>
          </w:p>
        </w:tc>
        <w:tc>
          <w:tcPr>
            <w:tcW w:w="800" w:type="dxa"/>
            <w:vAlign w:val="center"/>
          </w:tcPr>
          <w:p w14:paraId="4328C080"/>
        </w:tc>
        <w:tc>
          <w:tcPr>
            <w:tcW w:w="540" w:type="dxa"/>
            <w:vAlign w:val="center"/>
          </w:tcPr>
          <w:p w14:paraId="107F44A7">
            <w:pPr>
              <w:jc w:val="left"/>
            </w:pPr>
            <w:r>
              <w:rPr>
                <w:rFonts w:ascii="宋体" w:hAnsi="宋体" w:eastAsia="宋体" w:cs="宋体"/>
                <w:b w:val="0"/>
                <w:i w:val="0"/>
                <w:color w:val="000000"/>
                <w:sz w:val="9"/>
              </w:rPr>
              <w:t>30231</w:t>
            </w:r>
          </w:p>
        </w:tc>
        <w:tc>
          <w:tcPr>
            <w:tcW w:w="1380" w:type="dxa"/>
            <w:vAlign w:val="center"/>
          </w:tcPr>
          <w:p w14:paraId="5A7CFB63">
            <w:pPr>
              <w:jc w:val="left"/>
            </w:pPr>
            <w:r>
              <w:rPr>
                <w:rFonts w:ascii="宋体" w:hAnsi="宋体" w:eastAsia="宋体" w:cs="宋体"/>
                <w:b w:val="0"/>
                <w:i w:val="0"/>
                <w:color w:val="000000"/>
                <w:sz w:val="9"/>
              </w:rPr>
              <w:t xml:space="preserve">  公务用车运行维护费</w:t>
            </w:r>
          </w:p>
        </w:tc>
        <w:tc>
          <w:tcPr>
            <w:tcW w:w="820" w:type="dxa"/>
            <w:vAlign w:val="center"/>
          </w:tcPr>
          <w:p w14:paraId="0D6340E3">
            <w:pPr>
              <w:jc w:val="right"/>
            </w:pPr>
            <w:r>
              <w:rPr>
                <w:rFonts w:ascii="宋体" w:hAnsi="宋体" w:eastAsia="宋体" w:cs="宋体"/>
                <w:b w:val="0"/>
                <w:i w:val="0"/>
                <w:color w:val="000000"/>
                <w:sz w:val="9"/>
              </w:rPr>
              <w:t>5.29</w:t>
            </w:r>
          </w:p>
        </w:tc>
        <w:tc>
          <w:tcPr>
            <w:tcW w:w="540" w:type="dxa"/>
            <w:vAlign w:val="center"/>
          </w:tcPr>
          <w:p w14:paraId="4B04F8C2">
            <w:pPr>
              <w:jc w:val="left"/>
            </w:pPr>
            <w:r>
              <w:rPr>
                <w:rFonts w:ascii="宋体" w:hAnsi="宋体" w:eastAsia="宋体" w:cs="宋体"/>
                <w:b w:val="0"/>
                <w:i w:val="0"/>
                <w:color w:val="000000"/>
                <w:sz w:val="9"/>
              </w:rPr>
              <w:t>31203</w:t>
            </w:r>
          </w:p>
        </w:tc>
        <w:tc>
          <w:tcPr>
            <w:tcW w:w="1260" w:type="dxa"/>
            <w:vAlign w:val="center"/>
          </w:tcPr>
          <w:p w14:paraId="574409A2">
            <w:pPr>
              <w:jc w:val="left"/>
            </w:pPr>
            <w:r>
              <w:rPr>
                <w:rFonts w:ascii="宋体" w:hAnsi="宋体" w:eastAsia="宋体" w:cs="宋体"/>
                <w:b w:val="0"/>
                <w:i w:val="0"/>
                <w:color w:val="000000"/>
                <w:sz w:val="9"/>
              </w:rPr>
              <w:t xml:space="preserve">  政府投资基金股权投资</w:t>
            </w:r>
          </w:p>
        </w:tc>
        <w:tc>
          <w:tcPr>
            <w:tcW w:w="786" w:type="dxa"/>
            <w:vAlign w:val="center"/>
          </w:tcPr>
          <w:p w14:paraId="3114B6B9"/>
        </w:tc>
      </w:tr>
      <w:tr w14:paraId="3D23A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7687CE">
            <w:pPr>
              <w:jc w:val="left"/>
            </w:pPr>
            <w:r>
              <w:rPr>
                <w:rFonts w:ascii="宋体" w:hAnsi="宋体" w:eastAsia="宋体" w:cs="宋体"/>
                <w:b w:val="0"/>
                <w:i w:val="0"/>
                <w:color w:val="000000"/>
                <w:sz w:val="9"/>
              </w:rPr>
              <w:t>30311</w:t>
            </w:r>
          </w:p>
        </w:tc>
        <w:tc>
          <w:tcPr>
            <w:tcW w:w="1740" w:type="dxa"/>
            <w:vAlign w:val="center"/>
          </w:tcPr>
          <w:p w14:paraId="6EFD1CD8">
            <w:pPr>
              <w:jc w:val="left"/>
            </w:pPr>
            <w:r>
              <w:rPr>
                <w:rFonts w:ascii="宋体" w:hAnsi="宋体" w:eastAsia="宋体" w:cs="宋体"/>
                <w:b w:val="0"/>
                <w:i w:val="0"/>
                <w:color w:val="000000"/>
                <w:sz w:val="9"/>
              </w:rPr>
              <w:t xml:space="preserve">  代缴社会保险费</w:t>
            </w:r>
          </w:p>
        </w:tc>
        <w:tc>
          <w:tcPr>
            <w:tcW w:w="800" w:type="dxa"/>
            <w:vAlign w:val="center"/>
          </w:tcPr>
          <w:p w14:paraId="12ADC41C"/>
        </w:tc>
        <w:tc>
          <w:tcPr>
            <w:tcW w:w="540" w:type="dxa"/>
            <w:vAlign w:val="center"/>
          </w:tcPr>
          <w:p w14:paraId="10ADE34E">
            <w:pPr>
              <w:jc w:val="left"/>
            </w:pPr>
            <w:r>
              <w:rPr>
                <w:rFonts w:ascii="宋体" w:hAnsi="宋体" w:eastAsia="宋体" w:cs="宋体"/>
                <w:b w:val="0"/>
                <w:i w:val="0"/>
                <w:color w:val="000000"/>
                <w:sz w:val="9"/>
              </w:rPr>
              <w:t>30239</w:t>
            </w:r>
          </w:p>
        </w:tc>
        <w:tc>
          <w:tcPr>
            <w:tcW w:w="1380" w:type="dxa"/>
            <w:vAlign w:val="center"/>
          </w:tcPr>
          <w:p w14:paraId="65A814C4">
            <w:pPr>
              <w:jc w:val="left"/>
            </w:pPr>
            <w:r>
              <w:rPr>
                <w:rFonts w:ascii="宋体" w:hAnsi="宋体" w:eastAsia="宋体" w:cs="宋体"/>
                <w:b w:val="0"/>
                <w:i w:val="0"/>
                <w:color w:val="000000"/>
                <w:sz w:val="9"/>
              </w:rPr>
              <w:t xml:space="preserve">  其他交通费用</w:t>
            </w:r>
          </w:p>
        </w:tc>
        <w:tc>
          <w:tcPr>
            <w:tcW w:w="820" w:type="dxa"/>
            <w:vAlign w:val="center"/>
          </w:tcPr>
          <w:p w14:paraId="47233ABE">
            <w:pPr>
              <w:jc w:val="right"/>
            </w:pPr>
            <w:r>
              <w:rPr>
                <w:rFonts w:ascii="宋体" w:hAnsi="宋体" w:eastAsia="宋体" w:cs="宋体"/>
                <w:b w:val="0"/>
                <w:i w:val="0"/>
                <w:color w:val="000000"/>
                <w:sz w:val="9"/>
              </w:rPr>
              <w:t>0.01</w:t>
            </w:r>
          </w:p>
        </w:tc>
        <w:tc>
          <w:tcPr>
            <w:tcW w:w="540" w:type="dxa"/>
            <w:vAlign w:val="center"/>
          </w:tcPr>
          <w:p w14:paraId="2526E14D">
            <w:pPr>
              <w:jc w:val="left"/>
            </w:pPr>
            <w:r>
              <w:rPr>
                <w:rFonts w:ascii="宋体" w:hAnsi="宋体" w:eastAsia="宋体" w:cs="宋体"/>
                <w:b w:val="0"/>
                <w:i w:val="0"/>
                <w:color w:val="000000"/>
                <w:sz w:val="9"/>
              </w:rPr>
              <w:t>31204</w:t>
            </w:r>
          </w:p>
        </w:tc>
        <w:tc>
          <w:tcPr>
            <w:tcW w:w="1260" w:type="dxa"/>
            <w:vAlign w:val="center"/>
          </w:tcPr>
          <w:p w14:paraId="5002ECBE">
            <w:pPr>
              <w:jc w:val="left"/>
            </w:pPr>
            <w:r>
              <w:rPr>
                <w:rFonts w:ascii="宋体" w:hAnsi="宋体" w:eastAsia="宋体" w:cs="宋体"/>
                <w:b w:val="0"/>
                <w:i w:val="0"/>
                <w:color w:val="000000"/>
                <w:sz w:val="9"/>
              </w:rPr>
              <w:t xml:space="preserve">  费用补贴</w:t>
            </w:r>
          </w:p>
        </w:tc>
        <w:tc>
          <w:tcPr>
            <w:tcW w:w="786" w:type="dxa"/>
            <w:vAlign w:val="center"/>
          </w:tcPr>
          <w:p w14:paraId="478E82BD"/>
        </w:tc>
      </w:tr>
      <w:tr w14:paraId="41D76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86E6D3">
            <w:pPr>
              <w:jc w:val="left"/>
            </w:pPr>
            <w:r>
              <w:rPr>
                <w:rFonts w:ascii="宋体" w:hAnsi="宋体" w:eastAsia="宋体" w:cs="宋体"/>
                <w:b w:val="0"/>
                <w:i w:val="0"/>
                <w:color w:val="000000"/>
                <w:sz w:val="9"/>
              </w:rPr>
              <w:t>30399</w:t>
            </w:r>
          </w:p>
        </w:tc>
        <w:tc>
          <w:tcPr>
            <w:tcW w:w="1740" w:type="dxa"/>
            <w:vAlign w:val="center"/>
          </w:tcPr>
          <w:p w14:paraId="1DFE7DC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72874B96">
            <w:pPr>
              <w:jc w:val="right"/>
            </w:pPr>
            <w:r>
              <w:rPr>
                <w:rFonts w:ascii="宋体" w:hAnsi="宋体" w:eastAsia="宋体" w:cs="宋体"/>
                <w:b w:val="0"/>
                <w:i w:val="0"/>
                <w:color w:val="000000"/>
                <w:sz w:val="9"/>
              </w:rPr>
              <w:t>1.96</w:t>
            </w:r>
          </w:p>
        </w:tc>
        <w:tc>
          <w:tcPr>
            <w:tcW w:w="540" w:type="dxa"/>
            <w:vAlign w:val="center"/>
          </w:tcPr>
          <w:p w14:paraId="10DB43BC">
            <w:pPr>
              <w:jc w:val="left"/>
            </w:pPr>
            <w:r>
              <w:rPr>
                <w:rFonts w:ascii="宋体" w:hAnsi="宋体" w:eastAsia="宋体" w:cs="宋体"/>
                <w:b w:val="0"/>
                <w:i w:val="0"/>
                <w:color w:val="000000"/>
                <w:sz w:val="9"/>
              </w:rPr>
              <w:t>30240</w:t>
            </w:r>
          </w:p>
        </w:tc>
        <w:tc>
          <w:tcPr>
            <w:tcW w:w="1380" w:type="dxa"/>
            <w:vAlign w:val="center"/>
          </w:tcPr>
          <w:p w14:paraId="3B7A5EF4">
            <w:pPr>
              <w:jc w:val="left"/>
            </w:pPr>
            <w:r>
              <w:rPr>
                <w:rFonts w:ascii="宋体" w:hAnsi="宋体" w:eastAsia="宋体" w:cs="宋体"/>
                <w:b w:val="0"/>
                <w:i w:val="0"/>
                <w:color w:val="000000"/>
                <w:sz w:val="9"/>
              </w:rPr>
              <w:t xml:space="preserve">  税金及附加费用</w:t>
            </w:r>
          </w:p>
        </w:tc>
        <w:tc>
          <w:tcPr>
            <w:tcW w:w="820" w:type="dxa"/>
            <w:vAlign w:val="center"/>
          </w:tcPr>
          <w:p w14:paraId="185E89B5"/>
        </w:tc>
        <w:tc>
          <w:tcPr>
            <w:tcW w:w="540" w:type="dxa"/>
            <w:vAlign w:val="center"/>
          </w:tcPr>
          <w:p w14:paraId="1A70B108">
            <w:pPr>
              <w:jc w:val="left"/>
            </w:pPr>
            <w:r>
              <w:rPr>
                <w:rFonts w:ascii="宋体" w:hAnsi="宋体" w:eastAsia="宋体" w:cs="宋体"/>
                <w:b w:val="0"/>
                <w:i w:val="0"/>
                <w:color w:val="000000"/>
                <w:sz w:val="9"/>
              </w:rPr>
              <w:t>31205</w:t>
            </w:r>
          </w:p>
        </w:tc>
        <w:tc>
          <w:tcPr>
            <w:tcW w:w="1260" w:type="dxa"/>
            <w:vAlign w:val="center"/>
          </w:tcPr>
          <w:p w14:paraId="253589EF">
            <w:pPr>
              <w:jc w:val="left"/>
            </w:pPr>
            <w:r>
              <w:rPr>
                <w:rFonts w:ascii="宋体" w:hAnsi="宋体" w:eastAsia="宋体" w:cs="宋体"/>
                <w:b w:val="0"/>
                <w:i w:val="0"/>
                <w:color w:val="000000"/>
                <w:sz w:val="9"/>
              </w:rPr>
              <w:t xml:space="preserve">  利息补贴</w:t>
            </w:r>
          </w:p>
        </w:tc>
        <w:tc>
          <w:tcPr>
            <w:tcW w:w="786" w:type="dxa"/>
            <w:vAlign w:val="center"/>
          </w:tcPr>
          <w:p w14:paraId="0B5F2F3F"/>
        </w:tc>
      </w:tr>
      <w:tr w14:paraId="32851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A69C43"/>
        </w:tc>
        <w:tc>
          <w:tcPr>
            <w:tcW w:w="1740" w:type="dxa"/>
            <w:vAlign w:val="center"/>
          </w:tcPr>
          <w:p w14:paraId="538407F5"/>
        </w:tc>
        <w:tc>
          <w:tcPr>
            <w:tcW w:w="800" w:type="dxa"/>
            <w:vAlign w:val="center"/>
          </w:tcPr>
          <w:p w14:paraId="7327CC84"/>
        </w:tc>
        <w:tc>
          <w:tcPr>
            <w:tcW w:w="540" w:type="dxa"/>
            <w:vAlign w:val="center"/>
          </w:tcPr>
          <w:p w14:paraId="160C7726">
            <w:pPr>
              <w:jc w:val="left"/>
            </w:pPr>
            <w:r>
              <w:rPr>
                <w:rFonts w:ascii="宋体" w:hAnsi="宋体" w:eastAsia="宋体" w:cs="宋体"/>
                <w:b w:val="0"/>
                <w:i w:val="0"/>
                <w:color w:val="000000"/>
                <w:sz w:val="9"/>
              </w:rPr>
              <w:t>30299</w:t>
            </w:r>
          </w:p>
        </w:tc>
        <w:tc>
          <w:tcPr>
            <w:tcW w:w="1380" w:type="dxa"/>
            <w:vAlign w:val="center"/>
          </w:tcPr>
          <w:p w14:paraId="1E6BB24D">
            <w:pPr>
              <w:jc w:val="left"/>
            </w:pPr>
            <w:r>
              <w:rPr>
                <w:rFonts w:ascii="宋体" w:hAnsi="宋体" w:eastAsia="宋体" w:cs="宋体"/>
                <w:b w:val="0"/>
                <w:i w:val="0"/>
                <w:color w:val="000000"/>
                <w:sz w:val="9"/>
              </w:rPr>
              <w:t xml:space="preserve">  其他商品和服务支出</w:t>
            </w:r>
          </w:p>
        </w:tc>
        <w:tc>
          <w:tcPr>
            <w:tcW w:w="820" w:type="dxa"/>
            <w:vAlign w:val="center"/>
          </w:tcPr>
          <w:p w14:paraId="537097AB"/>
        </w:tc>
        <w:tc>
          <w:tcPr>
            <w:tcW w:w="540" w:type="dxa"/>
            <w:vAlign w:val="center"/>
          </w:tcPr>
          <w:p w14:paraId="7E1C82C9">
            <w:pPr>
              <w:jc w:val="left"/>
            </w:pPr>
            <w:r>
              <w:rPr>
                <w:rFonts w:ascii="宋体" w:hAnsi="宋体" w:eastAsia="宋体" w:cs="宋体"/>
                <w:b w:val="0"/>
                <w:i w:val="0"/>
                <w:color w:val="000000"/>
                <w:sz w:val="9"/>
              </w:rPr>
              <w:t>31299</w:t>
            </w:r>
          </w:p>
        </w:tc>
        <w:tc>
          <w:tcPr>
            <w:tcW w:w="1260" w:type="dxa"/>
            <w:vAlign w:val="center"/>
          </w:tcPr>
          <w:p w14:paraId="02723170">
            <w:pPr>
              <w:jc w:val="left"/>
            </w:pPr>
            <w:r>
              <w:rPr>
                <w:rFonts w:ascii="宋体" w:hAnsi="宋体" w:eastAsia="宋体" w:cs="宋体"/>
                <w:b w:val="0"/>
                <w:i w:val="0"/>
                <w:color w:val="000000"/>
                <w:sz w:val="9"/>
              </w:rPr>
              <w:t xml:space="preserve">  其他对企业补助</w:t>
            </w:r>
          </w:p>
        </w:tc>
        <w:tc>
          <w:tcPr>
            <w:tcW w:w="786" w:type="dxa"/>
            <w:vAlign w:val="center"/>
          </w:tcPr>
          <w:p w14:paraId="5DC4C38B"/>
        </w:tc>
      </w:tr>
      <w:tr w14:paraId="368D5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51B29A"/>
        </w:tc>
        <w:tc>
          <w:tcPr>
            <w:tcW w:w="1740" w:type="dxa"/>
            <w:vAlign w:val="center"/>
          </w:tcPr>
          <w:p w14:paraId="25F73355"/>
        </w:tc>
        <w:tc>
          <w:tcPr>
            <w:tcW w:w="800" w:type="dxa"/>
            <w:vAlign w:val="center"/>
          </w:tcPr>
          <w:p w14:paraId="22547380"/>
        </w:tc>
        <w:tc>
          <w:tcPr>
            <w:tcW w:w="540" w:type="dxa"/>
            <w:vAlign w:val="center"/>
          </w:tcPr>
          <w:p w14:paraId="58399767"/>
        </w:tc>
        <w:tc>
          <w:tcPr>
            <w:tcW w:w="1380" w:type="dxa"/>
            <w:vAlign w:val="center"/>
          </w:tcPr>
          <w:p w14:paraId="77674D79"/>
        </w:tc>
        <w:tc>
          <w:tcPr>
            <w:tcW w:w="820" w:type="dxa"/>
            <w:vAlign w:val="center"/>
          </w:tcPr>
          <w:p w14:paraId="4F8F8184"/>
        </w:tc>
        <w:tc>
          <w:tcPr>
            <w:tcW w:w="540" w:type="dxa"/>
            <w:vAlign w:val="center"/>
          </w:tcPr>
          <w:p w14:paraId="45CEAFC9">
            <w:pPr>
              <w:jc w:val="left"/>
            </w:pPr>
            <w:r>
              <w:rPr>
                <w:rFonts w:ascii="宋体" w:hAnsi="宋体" w:eastAsia="宋体" w:cs="宋体"/>
                <w:b/>
                <w:i w:val="0"/>
                <w:color w:val="000000"/>
                <w:sz w:val="9"/>
              </w:rPr>
              <w:t>399</w:t>
            </w:r>
          </w:p>
        </w:tc>
        <w:tc>
          <w:tcPr>
            <w:tcW w:w="1260" w:type="dxa"/>
            <w:vAlign w:val="center"/>
          </w:tcPr>
          <w:p w14:paraId="40F40145">
            <w:pPr>
              <w:jc w:val="left"/>
            </w:pPr>
            <w:r>
              <w:rPr>
                <w:rFonts w:ascii="宋体" w:hAnsi="宋体" w:eastAsia="宋体" w:cs="宋体"/>
                <w:b/>
                <w:i w:val="0"/>
                <w:color w:val="000000"/>
                <w:sz w:val="9"/>
              </w:rPr>
              <w:t>其他支出</w:t>
            </w:r>
          </w:p>
        </w:tc>
        <w:tc>
          <w:tcPr>
            <w:tcW w:w="786" w:type="dxa"/>
            <w:vAlign w:val="center"/>
          </w:tcPr>
          <w:p w14:paraId="0F05026E"/>
        </w:tc>
      </w:tr>
      <w:tr w14:paraId="726A3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92D987"/>
        </w:tc>
        <w:tc>
          <w:tcPr>
            <w:tcW w:w="1740" w:type="dxa"/>
            <w:vAlign w:val="center"/>
          </w:tcPr>
          <w:p w14:paraId="25B527E9"/>
        </w:tc>
        <w:tc>
          <w:tcPr>
            <w:tcW w:w="800" w:type="dxa"/>
            <w:vAlign w:val="center"/>
          </w:tcPr>
          <w:p w14:paraId="6BA138B9"/>
        </w:tc>
        <w:tc>
          <w:tcPr>
            <w:tcW w:w="540" w:type="dxa"/>
            <w:vAlign w:val="center"/>
          </w:tcPr>
          <w:p w14:paraId="17E08343"/>
        </w:tc>
        <w:tc>
          <w:tcPr>
            <w:tcW w:w="1380" w:type="dxa"/>
            <w:vAlign w:val="center"/>
          </w:tcPr>
          <w:p w14:paraId="7AC3F056"/>
        </w:tc>
        <w:tc>
          <w:tcPr>
            <w:tcW w:w="820" w:type="dxa"/>
            <w:vAlign w:val="center"/>
          </w:tcPr>
          <w:p w14:paraId="309E3DAD"/>
        </w:tc>
        <w:tc>
          <w:tcPr>
            <w:tcW w:w="540" w:type="dxa"/>
            <w:vAlign w:val="center"/>
          </w:tcPr>
          <w:p w14:paraId="1F480022">
            <w:pPr>
              <w:jc w:val="left"/>
            </w:pPr>
            <w:r>
              <w:rPr>
                <w:rFonts w:ascii="宋体" w:hAnsi="宋体" w:eastAsia="宋体" w:cs="宋体"/>
                <w:b w:val="0"/>
                <w:i w:val="0"/>
                <w:color w:val="000000"/>
                <w:sz w:val="9"/>
              </w:rPr>
              <w:t>39907</w:t>
            </w:r>
          </w:p>
        </w:tc>
        <w:tc>
          <w:tcPr>
            <w:tcW w:w="1260" w:type="dxa"/>
            <w:vAlign w:val="center"/>
          </w:tcPr>
          <w:p w14:paraId="65970D88">
            <w:pPr>
              <w:jc w:val="left"/>
            </w:pPr>
            <w:r>
              <w:rPr>
                <w:rFonts w:ascii="宋体" w:hAnsi="宋体" w:eastAsia="宋体" w:cs="宋体"/>
                <w:b w:val="0"/>
                <w:i w:val="0"/>
                <w:color w:val="000000"/>
                <w:sz w:val="9"/>
              </w:rPr>
              <w:t xml:space="preserve">  国家赔偿费用支出</w:t>
            </w:r>
          </w:p>
        </w:tc>
        <w:tc>
          <w:tcPr>
            <w:tcW w:w="786" w:type="dxa"/>
            <w:vAlign w:val="center"/>
          </w:tcPr>
          <w:p w14:paraId="6C297808"/>
        </w:tc>
      </w:tr>
      <w:tr w14:paraId="3519A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AB3EE94"/>
        </w:tc>
        <w:tc>
          <w:tcPr>
            <w:tcW w:w="1740" w:type="dxa"/>
            <w:vAlign w:val="center"/>
          </w:tcPr>
          <w:p w14:paraId="1EABCA58"/>
        </w:tc>
        <w:tc>
          <w:tcPr>
            <w:tcW w:w="800" w:type="dxa"/>
            <w:vAlign w:val="center"/>
          </w:tcPr>
          <w:p w14:paraId="7D86FC53"/>
        </w:tc>
        <w:tc>
          <w:tcPr>
            <w:tcW w:w="540" w:type="dxa"/>
            <w:vAlign w:val="center"/>
          </w:tcPr>
          <w:p w14:paraId="632B1A95"/>
        </w:tc>
        <w:tc>
          <w:tcPr>
            <w:tcW w:w="1380" w:type="dxa"/>
            <w:vAlign w:val="center"/>
          </w:tcPr>
          <w:p w14:paraId="1E3A4D07"/>
        </w:tc>
        <w:tc>
          <w:tcPr>
            <w:tcW w:w="820" w:type="dxa"/>
            <w:vAlign w:val="center"/>
          </w:tcPr>
          <w:p w14:paraId="2B607EE9"/>
        </w:tc>
        <w:tc>
          <w:tcPr>
            <w:tcW w:w="540" w:type="dxa"/>
            <w:vAlign w:val="center"/>
          </w:tcPr>
          <w:p w14:paraId="18233DB7">
            <w:pPr>
              <w:jc w:val="left"/>
            </w:pPr>
            <w:r>
              <w:rPr>
                <w:rFonts w:ascii="宋体" w:hAnsi="宋体" w:eastAsia="宋体" w:cs="宋体"/>
                <w:b w:val="0"/>
                <w:i w:val="0"/>
                <w:color w:val="000000"/>
                <w:sz w:val="9"/>
              </w:rPr>
              <w:t>39908</w:t>
            </w:r>
          </w:p>
        </w:tc>
        <w:tc>
          <w:tcPr>
            <w:tcW w:w="1260" w:type="dxa"/>
            <w:vAlign w:val="center"/>
          </w:tcPr>
          <w:p w14:paraId="4A8D5103">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451A1F94"/>
        </w:tc>
      </w:tr>
      <w:tr w14:paraId="1E70E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9E4A9A9"/>
        </w:tc>
        <w:tc>
          <w:tcPr>
            <w:tcW w:w="1740" w:type="dxa"/>
            <w:vAlign w:val="center"/>
          </w:tcPr>
          <w:p w14:paraId="35C0AF50"/>
        </w:tc>
        <w:tc>
          <w:tcPr>
            <w:tcW w:w="800" w:type="dxa"/>
            <w:vAlign w:val="center"/>
          </w:tcPr>
          <w:p w14:paraId="140CD104"/>
        </w:tc>
        <w:tc>
          <w:tcPr>
            <w:tcW w:w="540" w:type="dxa"/>
            <w:vAlign w:val="center"/>
          </w:tcPr>
          <w:p w14:paraId="112751D2"/>
        </w:tc>
        <w:tc>
          <w:tcPr>
            <w:tcW w:w="1380" w:type="dxa"/>
            <w:vAlign w:val="center"/>
          </w:tcPr>
          <w:p w14:paraId="76213B7B"/>
        </w:tc>
        <w:tc>
          <w:tcPr>
            <w:tcW w:w="820" w:type="dxa"/>
            <w:vAlign w:val="center"/>
          </w:tcPr>
          <w:p w14:paraId="791E995A"/>
        </w:tc>
        <w:tc>
          <w:tcPr>
            <w:tcW w:w="540" w:type="dxa"/>
            <w:vAlign w:val="center"/>
          </w:tcPr>
          <w:p w14:paraId="51439BFB">
            <w:pPr>
              <w:jc w:val="left"/>
            </w:pPr>
            <w:r>
              <w:rPr>
                <w:rFonts w:ascii="宋体" w:hAnsi="宋体" w:eastAsia="宋体" w:cs="宋体"/>
                <w:b w:val="0"/>
                <w:i w:val="0"/>
                <w:color w:val="000000"/>
                <w:sz w:val="9"/>
              </w:rPr>
              <w:t>39909</w:t>
            </w:r>
          </w:p>
        </w:tc>
        <w:tc>
          <w:tcPr>
            <w:tcW w:w="1260" w:type="dxa"/>
            <w:vAlign w:val="center"/>
          </w:tcPr>
          <w:p w14:paraId="6B1FFC09">
            <w:pPr>
              <w:jc w:val="left"/>
            </w:pPr>
            <w:r>
              <w:rPr>
                <w:rFonts w:ascii="宋体" w:hAnsi="宋体" w:eastAsia="宋体" w:cs="宋体"/>
                <w:b w:val="0"/>
                <w:i w:val="0"/>
                <w:color w:val="000000"/>
                <w:sz w:val="9"/>
              </w:rPr>
              <w:t>经常性赠与</w:t>
            </w:r>
          </w:p>
        </w:tc>
        <w:tc>
          <w:tcPr>
            <w:tcW w:w="786" w:type="dxa"/>
            <w:vAlign w:val="center"/>
          </w:tcPr>
          <w:p w14:paraId="61AC9C14"/>
        </w:tc>
      </w:tr>
      <w:tr w14:paraId="1F9FF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2D763F"/>
        </w:tc>
        <w:tc>
          <w:tcPr>
            <w:tcW w:w="1740" w:type="dxa"/>
            <w:vAlign w:val="center"/>
          </w:tcPr>
          <w:p w14:paraId="6CF81D63"/>
        </w:tc>
        <w:tc>
          <w:tcPr>
            <w:tcW w:w="800" w:type="dxa"/>
            <w:vAlign w:val="center"/>
          </w:tcPr>
          <w:p w14:paraId="1CF60225"/>
        </w:tc>
        <w:tc>
          <w:tcPr>
            <w:tcW w:w="540" w:type="dxa"/>
            <w:vAlign w:val="center"/>
          </w:tcPr>
          <w:p w14:paraId="48826030"/>
        </w:tc>
        <w:tc>
          <w:tcPr>
            <w:tcW w:w="1380" w:type="dxa"/>
            <w:vAlign w:val="center"/>
          </w:tcPr>
          <w:p w14:paraId="201373B7"/>
        </w:tc>
        <w:tc>
          <w:tcPr>
            <w:tcW w:w="820" w:type="dxa"/>
            <w:vAlign w:val="center"/>
          </w:tcPr>
          <w:p w14:paraId="7A74A8C4"/>
        </w:tc>
        <w:tc>
          <w:tcPr>
            <w:tcW w:w="540" w:type="dxa"/>
            <w:vAlign w:val="center"/>
          </w:tcPr>
          <w:p w14:paraId="42447A66">
            <w:pPr>
              <w:jc w:val="left"/>
            </w:pPr>
            <w:r>
              <w:rPr>
                <w:rFonts w:ascii="宋体" w:hAnsi="宋体" w:eastAsia="宋体" w:cs="宋体"/>
                <w:b w:val="0"/>
                <w:i w:val="0"/>
                <w:color w:val="000000"/>
                <w:sz w:val="9"/>
              </w:rPr>
              <w:t>39910</w:t>
            </w:r>
          </w:p>
        </w:tc>
        <w:tc>
          <w:tcPr>
            <w:tcW w:w="1260" w:type="dxa"/>
            <w:vAlign w:val="center"/>
          </w:tcPr>
          <w:p w14:paraId="756564F5">
            <w:pPr>
              <w:jc w:val="left"/>
            </w:pPr>
            <w:r>
              <w:rPr>
                <w:rFonts w:ascii="宋体" w:hAnsi="宋体" w:eastAsia="宋体" w:cs="宋体"/>
                <w:b w:val="0"/>
                <w:i w:val="0"/>
                <w:color w:val="000000"/>
                <w:sz w:val="9"/>
              </w:rPr>
              <w:t>资本性赠与</w:t>
            </w:r>
          </w:p>
        </w:tc>
        <w:tc>
          <w:tcPr>
            <w:tcW w:w="786" w:type="dxa"/>
            <w:vAlign w:val="center"/>
          </w:tcPr>
          <w:p w14:paraId="18CB51C9"/>
        </w:tc>
      </w:tr>
      <w:tr w14:paraId="15C2F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B628606"/>
        </w:tc>
        <w:tc>
          <w:tcPr>
            <w:tcW w:w="1740" w:type="dxa"/>
            <w:vAlign w:val="center"/>
          </w:tcPr>
          <w:p w14:paraId="7269F62D"/>
        </w:tc>
        <w:tc>
          <w:tcPr>
            <w:tcW w:w="800" w:type="dxa"/>
            <w:vAlign w:val="center"/>
          </w:tcPr>
          <w:p w14:paraId="2663C599"/>
        </w:tc>
        <w:tc>
          <w:tcPr>
            <w:tcW w:w="540" w:type="dxa"/>
            <w:vAlign w:val="center"/>
          </w:tcPr>
          <w:p w14:paraId="2453973D"/>
        </w:tc>
        <w:tc>
          <w:tcPr>
            <w:tcW w:w="1380" w:type="dxa"/>
            <w:vAlign w:val="center"/>
          </w:tcPr>
          <w:p w14:paraId="24C92488"/>
        </w:tc>
        <w:tc>
          <w:tcPr>
            <w:tcW w:w="820" w:type="dxa"/>
            <w:vAlign w:val="center"/>
          </w:tcPr>
          <w:p w14:paraId="3F1B32C3"/>
        </w:tc>
        <w:tc>
          <w:tcPr>
            <w:tcW w:w="540" w:type="dxa"/>
            <w:vAlign w:val="center"/>
          </w:tcPr>
          <w:p w14:paraId="024F8CBD">
            <w:pPr>
              <w:jc w:val="left"/>
            </w:pPr>
            <w:r>
              <w:rPr>
                <w:rFonts w:ascii="宋体" w:hAnsi="宋体" w:eastAsia="宋体" w:cs="宋体"/>
                <w:b w:val="0"/>
                <w:i w:val="0"/>
                <w:color w:val="000000"/>
                <w:sz w:val="9"/>
              </w:rPr>
              <w:t>39999</w:t>
            </w:r>
          </w:p>
        </w:tc>
        <w:tc>
          <w:tcPr>
            <w:tcW w:w="1260" w:type="dxa"/>
            <w:vAlign w:val="center"/>
          </w:tcPr>
          <w:p w14:paraId="0AD5F0D7">
            <w:pPr>
              <w:jc w:val="left"/>
            </w:pPr>
            <w:r>
              <w:rPr>
                <w:rFonts w:ascii="宋体" w:hAnsi="宋体" w:eastAsia="宋体" w:cs="宋体"/>
                <w:b w:val="0"/>
                <w:i w:val="0"/>
                <w:color w:val="000000"/>
                <w:sz w:val="9"/>
              </w:rPr>
              <w:t xml:space="preserve">  其他支出</w:t>
            </w:r>
          </w:p>
        </w:tc>
        <w:tc>
          <w:tcPr>
            <w:tcW w:w="786" w:type="dxa"/>
            <w:vAlign w:val="center"/>
          </w:tcPr>
          <w:p w14:paraId="5FC7ED36"/>
        </w:tc>
      </w:tr>
      <w:tr w14:paraId="4AD57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4A856FE">
            <w:pPr>
              <w:jc w:val="center"/>
            </w:pPr>
            <w:r>
              <w:rPr>
                <w:rFonts w:ascii="宋体" w:hAnsi="宋体" w:eastAsia="宋体" w:cs="宋体"/>
                <w:b w:val="0"/>
                <w:i w:val="0"/>
                <w:color w:val="000000"/>
                <w:sz w:val="9"/>
              </w:rPr>
              <w:t>人员经费合计</w:t>
            </w:r>
          </w:p>
        </w:tc>
        <w:tc>
          <w:tcPr>
            <w:tcW w:w="800" w:type="dxa"/>
            <w:vAlign w:val="center"/>
          </w:tcPr>
          <w:p w14:paraId="170877DF">
            <w:pPr>
              <w:jc w:val="right"/>
            </w:pPr>
            <w:r>
              <w:rPr>
                <w:rFonts w:ascii="宋体" w:hAnsi="宋体" w:eastAsia="宋体" w:cs="宋体"/>
                <w:b w:val="0"/>
                <w:i w:val="0"/>
                <w:color w:val="000000"/>
                <w:sz w:val="9"/>
              </w:rPr>
              <w:t>1,446.77</w:t>
            </w:r>
          </w:p>
        </w:tc>
        <w:tc>
          <w:tcPr>
            <w:tcW w:w="540" w:type="dxa"/>
            <w:gridSpan w:val="5"/>
            <w:vAlign w:val="center"/>
          </w:tcPr>
          <w:p w14:paraId="2F7AA433">
            <w:pPr>
              <w:jc w:val="center"/>
            </w:pPr>
            <w:r>
              <w:rPr>
                <w:rFonts w:ascii="宋体" w:hAnsi="宋体" w:eastAsia="宋体" w:cs="宋体"/>
                <w:b w:val="0"/>
                <w:i w:val="0"/>
                <w:color w:val="000000"/>
                <w:sz w:val="9"/>
              </w:rPr>
              <w:t>公用支出合计</w:t>
            </w:r>
          </w:p>
        </w:tc>
        <w:tc>
          <w:tcPr>
            <w:tcW w:w="786" w:type="dxa"/>
            <w:vAlign w:val="center"/>
          </w:tcPr>
          <w:p w14:paraId="366DC14B">
            <w:pPr>
              <w:jc w:val="right"/>
            </w:pPr>
            <w:r>
              <w:rPr>
                <w:rFonts w:ascii="宋体" w:hAnsi="宋体" w:eastAsia="宋体" w:cs="宋体"/>
                <w:b w:val="0"/>
                <w:i w:val="0"/>
                <w:color w:val="000000"/>
                <w:sz w:val="9"/>
              </w:rPr>
              <w:t>183.37</w:t>
            </w:r>
          </w:p>
        </w:tc>
      </w:tr>
      <w:tr w14:paraId="3314A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077D01F">
            <w:pPr>
              <w:jc w:val="left"/>
            </w:pPr>
            <w:r>
              <w:rPr>
                <w:rFonts w:ascii="宋体" w:hAnsi="宋体" w:eastAsia="宋体" w:cs="宋体"/>
                <w:b w:val="0"/>
                <w:i w:val="0"/>
                <w:color w:val="000000"/>
                <w:sz w:val="11"/>
              </w:rPr>
              <w:t>注：本表反映部门(单位)本年度一般公共预算财政拨款基本支出明细情况。</w:t>
            </w:r>
          </w:p>
        </w:tc>
      </w:tr>
    </w:tbl>
    <w:p w14:paraId="0EBE4B80">
      <w:pPr>
        <w:snapToGrid w:val="0"/>
        <w:spacing w:before="200" w:after="200" w:line="200" w:lineRule="auto"/>
      </w:pPr>
      <w:r>
        <w:rPr>
          <w:sz w:val="8"/>
        </w:rPr>
        <w:t xml:space="preserve"> </w:t>
      </w:r>
    </w:p>
    <w:p w14:paraId="4F0BCD4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EDD3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5C2EAF9">
            <w:pPr>
              <w:jc w:val="right"/>
            </w:pPr>
            <w:r>
              <w:rPr>
                <w:rFonts w:ascii="宋体" w:hAnsi="宋体" w:eastAsia="宋体" w:cs="宋体"/>
                <w:sz w:val="20"/>
              </w:rPr>
              <w:t>公开07表</w:t>
            </w:r>
          </w:p>
        </w:tc>
      </w:tr>
      <w:tr w14:paraId="6E1553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E0BE20A">
            <w:pPr>
              <w:jc w:val="left"/>
            </w:pPr>
            <w:r>
              <w:rPr>
                <w:rFonts w:ascii="宋体" w:hAnsi="宋体" w:eastAsia="宋体" w:cs="宋体"/>
                <w:sz w:val="20"/>
              </w:rPr>
              <w:t>部门：浮梁县市场监督管理局</w:t>
            </w:r>
          </w:p>
        </w:tc>
        <w:tc>
          <w:tcPr>
            <w:tcW w:w="2000" w:type="dxa"/>
          </w:tcPr>
          <w:p w14:paraId="3E5CB44D">
            <w:pPr>
              <w:jc w:val="center"/>
            </w:pPr>
            <w:r>
              <w:rPr>
                <w:rFonts w:ascii="宋体" w:hAnsi="宋体" w:eastAsia="宋体" w:cs="宋体"/>
                <w:sz w:val="20"/>
              </w:rPr>
              <w:t>2023年度</w:t>
            </w:r>
          </w:p>
        </w:tc>
        <w:tc>
          <w:tcPr>
            <w:tcW w:w="3153" w:type="dxa"/>
          </w:tcPr>
          <w:p w14:paraId="0E99A696">
            <w:pPr>
              <w:jc w:val="right"/>
            </w:pPr>
            <w:r>
              <w:rPr>
                <w:rFonts w:ascii="宋体" w:hAnsi="宋体" w:eastAsia="宋体" w:cs="宋体"/>
                <w:sz w:val="20"/>
              </w:rPr>
              <w:t>金额单位：万元</w:t>
            </w:r>
          </w:p>
        </w:tc>
      </w:tr>
    </w:tbl>
    <w:p w14:paraId="1D702DAB">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E6F2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87EF172">
            <w:pPr>
              <w:jc w:val="center"/>
            </w:pPr>
            <w:r>
              <w:rPr>
                <w:rFonts w:ascii="宋体" w:hAnsi="宋体" w:eastAsia="宋体" w:cs="宋体"/>
                <w:b w:val="0"/>
                <w:i w:val="0"/>
                <w:color w:val="000000"/>
                <w:sz w:val="11"/>
              </w:rPr>
              <w:t>项    目</w:t>
            </w:r>
          </w:p>
        </w:tc>
        <w:tc>
          <w:tcPr>
            <w:tcW w:w="1040" w:type="dxa"/>
            <w:vMerge w:val="restart"/>
            <w:vAlign w:val="center"/>
          </w:tcPr>
          <w:p w14:paraId="5EB76D84">
            <w:pPr>
              <w:jc w:val="center"/>
            </w:pPr>
            <w:r>
              <w:rPr>
                <w:rFonts w:ascii="宋体" w:hAnsi="宋体" w:eastAsia="宋体" w:cs="宋体"/>
                <w:b w:val="0"/>
                <w:i w:val="0"/>
                <w:color w:val="000000"/>
                <w:sz w:val="11"/>
              </w:rPr>
              <w:t>年初结转和结余</w:t>
            </w:r>
          </w:p>
        </w:tc>
        <w:tc>
          <w:tcPr>
            <w:tcW w:w="940" w:type="dxa"/>
            <w:vMerge w:val="restart"/>
            <w:vAlign w:val="center"/>
          </w:tcPr>
          <w:p w14:paraId="11EE88B6">
            <w:pPr>
              <w:jc w:val="center"/>
            </w:pPr>
            <w:r>
              <w:rPr>
                <w:rFonts w:ascii="宋体" w:hAnsi="宋体" w:eastAsia="宋体" w:cs="宋体"/>
                <w:b w:val="0"/>
                <w:i w:val="0"/>
                <w:color w:val="000000"/>
                <w:sz w:val="11"/>
              </w:rPr>
              <w:t>本年收入</w:t>
            </w:r>
          </w:p>
        </w:tc>
        <w:tc>
          <w:tcPr>
            <w:tcW w:w="940" w:type="dxa"/>
            <w:gridSpan w:val="3"/>
            <w:vAlign w:val="center"/>
          </w:tcPr>
          <w:p w14:paraId="2E46ECBF">
            <w:pPr>
              <w:jc w:val="center"/>
            </w:pPr>
            <w:r>
              <w:rPr>
                <w:rFonts w:ascii="宋体" w:hAnsi="宋体" w:eastAsia="宋体" w:cs="宋体"/>
                <w:b w:val="0"/>
                <w:i w:val="0"/>
                <w:color w:val="000000"/>
                <w:sz w:val="11"/>
              </w:rPr>
              <w:t>本年支出</w:t>
            </w:r>
          </w:p>
        </w:tc>
        <w:tc>
          <w:tcPr>
            <w:tcW w:w="986" w:type="dxa"/>
            <w:vMerge w:val="restart"/>
            <w:vAlign w:val="center"/>
          </w:tcPr>
          <w:p w14:paraId="0216AEBC">
            <w:pPr>
              <w:jc w:val="center"/>
            </w:pPr>
            <w:r>
              <w:rPr>
                <w:rFonts w:ascii="宋体" w:hAnsi="宋体" w:eastAsia="宋体" w:cs="宋体"/>
                <w:b w:val="0"/>
                <w:i w:val="0"/>
                <w:color w:val="000000"/>
                <w:sz w:val="11"/>
              </w:rPr>
              <w:t>年末结转和结余</w:t>
            </w:r>
          </w:p>
        </w:tc>
      </w:tr>
      <w:tr w14:paraId="07AE2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0E5E827D">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46CDECA">
            <w:pPr>
              <w:jc w:val="center"/>
            </w:pPr>
            <w:r>
              <w:rPr>
                <w:rFonts w:ascii="宋体" w:hAnsi="宋体" w:eastAsia="宋体" w:cs="宋体"/>
                <w:b w:val="0"/>
                <w:i w:val="0"/>
                <w:color w:val="000000"/>
                <w:sz w:val="11"/>
              </w:rPr>
              <w:t>科目名称</w:t>
            </w:r>
          </w:p>
        </w:tc>
        <w:tc>
          <w:tcPr>
            <w:tcW w:w="1040" w:type="dxa"/>
            <w:vMerge w:val="continue"/>
            <w:vAlign w:val="center"/>
          </w:tcPr>
          <w:p w14:paraId="79F4AE63"/>
        </w:tc>
        <w:tc>
          <w:tcPr>
            <w:tcW w:w="940" w:type="dxa"/>
            <w:vMerge w:val="continue"/>
            <w:vAlign w:val="center"/>
          </w:tcPr>
          <w:p w14:paraId="145FD867"/>
        </w:tc>
        <w:tc>
          <w:tcPr>
            <w:tcW w:w="940" w:type="dxa"/>
            <w:vMerge w:val="restart"/>
            <w:vAlign w:val="center"/>
          </w:tcPr>
          <w:p w14:paraId="5532575C">
            <w:pPr>
              <w:jc w:val="center"/>
            </w:pPr>
            <w:r>
              <w:rPr>
                <w:rFonts w:ascii="宋体" w:hAnsi="宋体" w:eastAsia="宋体" w:cs="宋体"/>
                <w:b w:val="0"/>
                <w:i w:val="0"/>
                <w:color w:val="000000"/>
                <w:sz w:val="11"/>
              </w:rPr>
              <w:t>小计</w:t>
            </w:r>
          </w:p>
        </w:tc>
        <w:tc>
          <w:tcPr>
            <w:tcW w:w="980" w:type="dxa"/>
            <w:vMerge w:val="restart"/>
            <w:vAlign w:val="center"/>
          </w:tcPr>
          <w:p w14:paraId="5B806958">
            <w:pPr>
              <w:jc w:val="center"/>
            </w:pPr>
            <w:r>
              <w:rPr>
                <w:rFonts w:ascii="宋体" w:hAnsi="宋体" w:eastAsia="宋体" w:cs="宋体"/>
                <w:b w:val="0"/>
                <w:i w:val="0"/>
                <w:color w:val="000000"/>
                <w:sz w:val="11"/>
              </w:rPr>
              <w:t>基本支出</w:t>
            </w:r>
          </w:p>
        </w:tc>
        <w:tc>
          <w:tcPr>
            <w:tcW w:w="980" w:type="dxa"/>
            <w:vMerge w:val="restart"/>
            <w:vAlign w:val="center"/>
          </w:tcPr>
          <w:p w14:paraId="0E993D83">
            <w:pPr>
              <w:jc w:val="center"/>
            </w:pPr>
            <w:r>
              <w:rPr>
                <w:rFonts w:ascii="宋体" w:hAnsi="宋体" w:eastAsia="宋体" w:cs="宋体"/>
                <w:b w:val="0"/>
                <w:i w:val="0"/>
                <w:color w:val="000000"/>
                <w:sz w:val="11"/>
              </w:rPr>
              <w:t>项目支出</w:t>
            </w:r>
          </w:p>
        </w:tc>
        <w:tc>
          <w:tcPr>
            <w:tcW w:w="986" w:type="dxa"/>
            <w:vMerge w:val="continue"/>
            <w:vAlign w:val="center"/>
          </w:tcPr>
          <w:p w14:paraId="7B44530A"/>
        </w:tc>
      </w:tr>
      <w:tr w14:paraId="7411D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6DABB5B"/>
        </w:tc>
        <w:tc>
          <w:tcPr>
            <w:tcW w:w="1700" w:type="dxa"/>
            <w:vMerge w:val="continue"/>
            <w:vAlign w:val="center"/>
          </w:tcPr>
          <w:p w14:paraId="54A03CF2"/>
        </w:tc>
        <w:tc>
          <w:tcPr>
            <w:tcW w:w="1040" w:type="dxa"/>
            <w:vMerge w:val="continue"/>
            <w:vAlign w:val="center"/>
          </w:tcPr>
          <w:p w14:paraId="07FB089A"/>
        </w:tc>
        <w:tc>
          <w:tcPr>
            <w:tcW w:w="940" w:type="dxa"/>
            <w:vMerge w:val="continue"/>
            <w:vAlign w:val="center"/>
          </w:tcPr>
          <w:p w14:paraId="43F83D99"/>
        </w:tc>
        <w:tc>
          <w:tcPr>
            <w:tcW w:w="940" w:type="dxa"/>
            <w:vMerge w:val="continue"/>
            <w:vAlign w:val="center"/>
          </w:tcPr>
          <w:p w14:paraId="4748C904"/>
        </w:tc>
        <w:tc>
          <w:tcPr>
            <w:tcW w:w="980" w:type="dxa"/>
            <w:vMerge w:val="continue"/>
            <w:vAlign w:val="center"/>
          </w:tcPr>
          <w:p w14:paraId="21E22450"/>
        </w:tc>
        <w:tc>
          <w:tcPr>
            <w:tcW w:w="980" w:type="dxa"/>
            <w:vMerge w:val="continue"/>
            <w:vAlign w:val="center"/>
          </w:tcPr>
          <w:p w14:paraId="26760167"/>
        </w:tc>
        <w:tc>
          <w:tcPr>
            <w:tcW w:w="986" w:type="dxa"/>
            <w:vMerge w:val="continue"/>
            <w:vAlign w:val="center"/>
          </w:tcPr>
          <w:p w14:paraId="5250F20C"/>
        </w:tc>
      </w:tr>
      <w:tr w14:paraId="0161A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F83386E"/>
        </w:tc>
        <w:tc>
          <w:tcPr>
            <w:tcW w:w="1700" w:type="dxa"/>
            <w:vMerge w:val="continue"/>
            <w:vAlign w:val="center"/>
          </w:tcPr>
          <w:p w14:paraId="7C1965D4"/>
        </w:tc>
        <w:tc>
          <w:tcPr>
            <w:tcW w:w="1040" w:type="dxa"/>
            <w:vMerge w:val="continue"/>
            <w:vAlign w:val="center"/>
          </w:tcPr>
          <w:p w14:paraId="067033D9"/>
        </w:tc>
        <w:tc>
          <w:tcPr>
            <w:tcW w:w="940" w:type="dxa"/>
            <w:vMerge w:val="continue"/>
            <w:vAlign w:val="center"/>
          </w:tcPr>
          <w:p w14:paraId="0FD6DA7C"/>
        </w:tc>
        <w:tc>
          <w:tcPr>
            <w:tcW w:w="940" w:type="dxa"/>
            <w:vMerge w:val="continue"/>
            <w:vAlign w:val="center"/>
          </w:tcPr>
          <w:p w14:paraId="554EA5B3"/>
        </w:tc>
        <w:tc>
          <w:tcPr>
            <w:tcW w:w="980" w:type="dxa"/>
            <w:vMerge w:val="continue"/>
            <w:vAlign w:val="center"/>
          </w:tcPr>
          <w:p w14:paraId="5FAD6A0B"/>
        </w:tc>
        <w:tc>
          <w:tcPr>
            <w:tcW w:w="980" w:type="dxa"/>
            <w:vMerge w:val="continue"/>
            <w:vAlign w:val="center"/>
          </w:tcPr>
          <w:p w14:paraId="547C0A1D"/>
        </w:tc>
        <w:tc>
          <w:tcPr>
            <w:tcW w:w="986" w:type="dxa"/>
            <w:vMerge w:val="continue"/>
            <w:vAlign w:val="center"/>
          </w:tcPr>
          <w:p w14:paraId="600EE00A"/>
        </w:tc>
      </w:tr>
      <w:tr w14:paraId="74CCE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4B3A052">
            <w:pPr>
              <w:jc w:val="center"/>
            </w:pPr>
            <w:r>
              <w:rPr>
                <w:rFonts w:ascii="宋体" w:hAnsi="宋体" w:eastAsia="宋体" w:cs="宋体"/>
                <w:b w:val="0"/>
                <w:i w:val="0"/>
                <w:color w:val="000000"/>
                <w:sz w:val="11"/>
              </w:rPr>
              <w:t>类</w:t>
            </w:r>
          </w:p>
        </w:tc>
        <w:tc>
          <w:tcPr>
            <w:tcW w:w="220" w:type="dxa"/>
            <w:vMerge w:val="restart"/>
            <w:vAlign w:val="center"/>
          </w:tcPr>
          <w:p w14:paraId="317D68BC">
            <w:pPr>
              <w:jc w:val="center"/>
            </w:pPr>
            <w:r>
              <w:rPr>
                <w:rFonts w:ascii="宋体" w:hAnsi="宋体" w:eastAsia="宋体" w:cs="宋体"/>
                <w:b w:val="0"/>
                <w:i w:val="0"/>
                <w:color w:val="000000"/>
                <w:sz w:val="11"/>
              </w:rPr>
              <w:t>款</w:t>
            </w:r>
          </w:p>
        </w:tc>
        <w:tc>
          <w:tcPr>
            <w:tcW w:w="300" w:type="dxa"/>
            <w:vMerge w:val="restart"/>
            <w:vAlign w:val="center"/>
          </w:tcPr>
          <w:p w14:paraId="05A24F94">
            <w:pPr>
              <w:jc w:val="center"/>
            </w:pPr>
            <w:r>
              <w:rPr>
                <w:rFonts w:ascii="宋体" w:hAnsi="宋体" w:eastAsia="宋体" w:cs="宋体"/>
                <w:b w:val="0"/>
                <w:i w:val="0"/>
                <w:color w:val="000000"/>
                <w:sz w:val="11"/>
              </w:rPr>
              <w:t>项</w:t>
            </w:r>
          </w:p>
        </w:tc>
        <w:tc>
          <w:tcPr>
            <w:tcW w:w="1700" w:type="dxa"/>
            <w:vAlign w:val="center"/>
          </w:tcPr>
          <w:p w14:paraId="4A5B772B">
            <w:pPr>
              <w:jc w:val="center"/>
            </w:pPr>
            <w:r>
              <w:rPr>
                <w:rFonts w:ascii="宋体" w:hAnsi="宋体" w:eastAsia="宋体" w:cs="宋体"/>
                <w:b w:val="0"/>
                <w:i w:val="0"/>
                <w:color w:val="000000"/>
                <w:sz w:val="11"/>
              </w:rPr>
              <w:t>栏次</w:t>
            </w:r>
          </w:p>
        </w:tc>
        <w:tc>
          <w:tcPr>
            <w:tcW w:w="1040" w:type="dxa"/>
            <w:vAlign w:val="center"/>
          </w:tcPr>
          <w:p w14:paraId="6478E7A0">
            <w:pPr>
              <w:jc w:val="center"/>
            </w:pPr>
            <w:r>
              <w:rPr>
                <w:rFonts w:ascii="宋体" w:hAnsi="宋体" w:eastAsia="宋体" w:cs="宋体"/>
                <w:b w:val="0"/>
                <w:i w:val="0"/>
                <w:color w:val="000000"/>
                <w:sz w:val="11"/>
              </w:rPr>
              <w:t>1</w:t>
            </w:r>
          </w:p>
        </w:tc>
        <w:tc>
          <w:tcPr>
            <w:tcW w:w="940" w:type="dxa"/>
            <w:vAlign w:val="center"/>
          </w:tcPr>
          <w:p w14:paraId="0BA9170D">
            <w:pPr>
              <w:jc w:val="center"/>
            </w:pPr>
            <w:r>
              <w:rPr>
                <w:rFonts w:ascii="宋体" w:hAnsi="宋体" w:eastAsia="宋体" w:cs="宋体"/>
                <w:b w:val="0"/>
                <w:i w:val="0"/>
                <w:color w:val="000000"/>
                <w:sz w:val="11"/>
              </w:rPr>
              <w:t>2</w:t>
            </w:r>
          </w:p>
        </w:tc>
        <w:tc>
          <w:tcPr>
            <w:tcW w:w="940" w:type="dxa"/>
            <w:vAlign w:val="center"/>
          </w:tcPr>
          <w:p w14:paraId="3587C1A3">
            <w:pPr>
              <w:jc w:val="center"/>
            </w:pPr>
            <w:r>
              <w:rPr>
                <w:rFonts w:ascii="宋体" w:hAnsi="宋体" w:eastAsia="宋体" w:cs="宋体"/>
                <w:b w:val="0"/>
                <w:i w:val="0"/>
                <w:color w:val="000000"/>
                <w:sz w:val="11"/>
              </w:rPr>
              <w:t>3</w:t>
            </w:r>
          </w:p>
        </w:tc>
        <w:tc>
          <w:tcPr>
            <w:tcW w:w="980" w:type="dxa"/>
            <w:vAlign w:val="center"/>
          </w:tcPr>
          <w:p w14:paraId="1F883A94">
            <w:pPr>
              <w:jc w:val="center"/>
            </w:pPr>
            <w:r>
              <w:rPr>
                <w:rFonts w:ascii="宋体" w:hAnsi="宋体" w:eastAsia="宋体" w:cs="宋体"/>
                <w:b w:val="0"/>
                <w:i w:val="0"/>
                <w:color w:val="000000"/>
                <w:sz w:val="11"/>
              </w:rPr>
              <w:t>4</w:t>
            </w:r>
          </w:p>
        </w:tc>
        <w:tc>
          <w:tcPr>
            <w:tcW w:w="980" w:type="dxa"/>
            <w:vAlign w:val="center"/>
          </w:tcPr>
          <w:p w14:paraId="1435FDB0">
            <w:pPr>
              <w:jc w:val="center"/>
            </w:pPr>
            <w:r>
              <w:rPr>
                <w:rFonts w:ascii="宋体" w:hAnsi="宋体" w:eastAsia="宋体" w:cs="宋体"/>
                <w:b w:val="0"/>
                <w:i w:val="0"/>
                <w:color w:val="000000"/>
                <w:sz w:val="11"/>
              </w:rPr>
              <w:t>5</w:t>
            </w:r>
          </w:p>
        </w:tc>
        <w:tc>
          <w:tcPr>
            <w:tcW w:w="986" w:type="dxa"/>
            <w:vAlign w:val="center"/>
          </w:tcPr>
          <w:p w14:paraId="7CAF9FA2">
            <w:pPr>
              <w:jc w:val="center"/>
            </w:pPr>
            <w:r>
              <w:rPr>
                <w:rFonts w:ascii="宋体" w:hAnsi="宋体" w:eastAsia="宋体" w:cs="宋体"/>
                <w:b w:val="0"/>
                <w:i w:val="0"/>
                <w:color w:val="000000"/>
                <w:sz w:val="11"/>
              </w:rPr>
              <w:t>6</w:t>
            </w:r>
          </w:p>
        </w:tc>
      </w:tr>
      <w:tr w14:paraId="3F4E5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2A4F1C6"/>
        </w:tc>
        <w:tc>
          <w:tcPr>
            <w:tcW w:w="220" w:type="dxa"/>
            <w:vMerge w:val="continue"/>
            <w:vAlign w:val="center"/>
          </w:tcPr>
          <w:p w14:paraId="3CF5FBBF"/>
        </w:tc>
        <w:tc>
          <w:tcPr>
            <w:tcW w:w="300" w:type="dxa"/>
            <w:vMerge w:val="continue"/>
            <w:vAlign w:val="center"/>
          </w:tcPr>
          <w:p w14:paraId="4DF5B5BF"/>
        </w:tc>
        <w:tc>
          <w:tcPr>
            <w:tcW w:w="1700" w:type="dxa"/>
            <w:vAlign w:val="center"/>
          </w:tcPr>
          <w:p w14:paraId="69BD2CA0">
            <w:pPr>
              <w:jc w:val="center"/>
            </w:pPr>
            <w:r>
              <w:rPr>
                <w:rFonts w:ascii="宋体" w:hAnsi="宋体" w:eastAsia="宋体" w:cs="宋体"/>
                <w:b w:val="0"/>
                <w:i w:val="0"/>
                <w:color w:val="000000"/>
                <w:sz w:val="11"/>
              </w:rPr>
              <w:t>合计</w:t>
            </w:r>
          </w:p>
        </w:tc>
        <w:tc>
          <w:tcPr>
            <w:tcW w:w="1040" w:type="dxa"/>
            <w:vAlign w:val="center"/>
          </w:tcPr>
          <w:p w14:paraId="2384D705"/>
        </w:tc>
        <w:tc>
          <w:tcPr>
            <w:tcW w:w="940" w:type="dxa"/>
            <w:vAlign w:val="center"/>
          </w:tcPr>
          <w:p w14:paraId="0A1C3B25">
            <w:pPr>
              <w:jc w:val="right"/>
            </w:pPr>
            <w:r>
              <w:rPr>
                <w:rFonts w:ascii="宋体" w:hAnsi="宋体" w:eastAsia="宋体" w:cs="宋体"/>
                <w:b w:val="0"/>
                <w:i w:val="0"/>
                <w:color w:val="000000"/>
                <w:sz w:val="11"/>
              </w:rPr>
              <w:t>7.01</w:t>
            </w:r>
          </w:p>
        </w:tc>
        <w:tc>
          <w:tcPr>
            <w:tcW w:w="940" w:type="dxa"/>
            <w:vAlign w:val="center"/>
          </w:tcPr>
          <w:p w14:paraId="070EA0A6">
            <w:pPr>
              <w:jc w:val="right"/>
            </w:pPr>
            <w:r>
              <w:rPr>
                <w:rFonts w:ascii="宋体" w:hAnsi="宋体" w:eastAsia="宋体" w:cs="宋体"/>
                <w:b w:val="0"/>
                <w:i w:val="0"/>
                <w:color w:val="000000"/>
                <w:sz w:val="11"/>
              </w:rPr>
              <w:t>7.01</w:t>
            </w:r>
          </w:p>
        </w:tc>
        <w:tc>
          <w:tcPr>
            <w:tcW w:w="980" w:type="dxa"/>
            <w:vAlign w:val="center"/>
          </w:tcPr>
          <w:p w14:paraId="5D7DCF95">
            <w:pPr>
              <w:jc w:val="right"/>
            </w:pPr>
            <w:r>
              <w:rPr>
                <w:rFonts w:ascii="宋体" w:hAnsi="宋体" w:eastAsia="宋体" w:cs="宋体"/>
                <w:b w:val="0"/>
                <w:i w:val="0"/>
                <w:color w:val="000000"/>
                <w:sz w:val="11"/>
              </w:rPr>
              <w:t>6.98</w:t>
            </w:r>
          </w:p>
        </w:tc>
        <w:tc>
          <w:tcPr>
            <w:tcW w:w="980" w:type="dxa"/>
            <w:vAlign w:val="center"/>
          </w:tcPr>
          <w:p w14:paraId="1E182E2A">
            <w:pPr>
              <w:jc w:val="right"/>
            </w:pPr>
            <w:r>
              <w:rPr>
                <w:rFonts w:ascii="宋体" w:hAnsi="宋体" w:eastAsia="宋体" w:cs="宋体"/>
                <w:b w:val="0"/>
                <w:i w:val="0"/>
                <w:color w:val="000000"/>
                <w:sz w:val="11"/>
              </w:rPr>
              <w:t>0.03</w:t>
            </w:r>
          </w:p>
        </w:tc>
        <w:tc>
          <w:tcPr>
            <w:tcW w:w="986" w:type="dxa"/>
            <w:vAlign w:val="center"/>
          </w:tcPr>
          <w:p w14:paraId="1B776138"/>
        </w:tc>
      </w:tr>
      <w:tr w14:paraId="5804C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FCAA0D8">
            <w:pPr>
              <w:jc w:val="left"/>
            </w:pPr>
            <w:r>
              <w:rPr>
                <w:rFonts w:ascii="宋体" w:hAnsi="宋体" w:eastAsia="宋体" w:cs="宋体"/>
                <w:b w:val="0"/>
                <w:i w:val="0"/>
                <w:color w:val="000000"/>
                <w:sz w:val="11"/>
              </w:rPr>
              <w:t>212</w:t>
            </w:r>
          </w:p>
        </w:tc>
        <w:tc>
          <w:tcPr>
            <w:tcW w:w="1700" w:type="dxa"/>
            <w:vAlign w:val="center"/>
          </w:tcPr>
          <w:p w14:paraId="5D8BAF70">
            <w:pPr>
              <w:jc w:val="left"/>
            </w:pPr>
            <w:r>
              <w:rPr>
                <w:rFonts w:ascii="宋体" w:hAnsi="宋体" w:eastAsia="宋体" w:cs="宋体"/>
                <w:b w:val="0"/>
                <w:i w:val="0"/>
                <w:color w:val="000000"/>
                <w:sz w:val="11"/>
              </w:rPr>
              <w:t>城乡社区支出</w:t>
            </w:r>
          </w:p>
        </w:tc>
        <w:tc>
          <w:tcPr>
            <w:tcW w:w="1040" w:type="dxa"/>
            <w:vAlign w:val="center"/>
          </w:tcPr>
          <w:p w14:paraId="3240FFE5"/>
        </w:tc>
        <w:tc>
          <w:tcPr>
            <w:tcW w:w="940" w:type="dxa"/>
            <w:vAlign w:val="center"/>
          </w:tcPr>
          <w:p w14:paraId="301EBD16">
            <w:pPr>
              <w:jc w:val="right"/>
            </w:pPr>
            <w:r>
              <w:rPr>
                <w:rFonts w:ascii="宋体" w:hAnsi="宋体" w:eastAsia="宋体" w:cs="宋体"/>
                <w:b w:val="0"/>
                <w:i w:val="0"/>
                <w:color w:val="000000"/>
                <w:sz w:val="11"/>
              </w:rPr>
              <w:t>7.01</w:t>
            </w:r>
          </w:p>
        </w:tc>
        <w:tc>
          <w:tcPr>
            <w:tcW w:w="940" w:type="dxa"/>
            <w:vAlign w:val="center"/>
          </w:tcPr>
          <w:p w14:paraId="6A040C9E">
            <w:pPr>
              <w:jc w:val="right"/>
            </w:pPr>
            <w:r>
              <w:rPr>
                <w:rFonts w:ascii="宋体" w:hAnsi="宋体" w:eastAsia="宋体" w:cs="宋体"/>
                <w:b w:val="0"/>
                <w:i w:val="0"/>
                <w:color w:val="000000"/>
                <w:sz w:val="11"/>
              </w:rPr>
              <w:t>7.01</w:t>
            </w:r>
          </w:p>
        </w:tc>
        <w:tc>
          <w:tcPr>
            <w:tcW w:w="980" w:type="dxa"/>
            <w:vAlign w:val="center"/>
          </w:tcPr>
          <w:p w14:paraId="225DB880">
            <w:pPr>
              <w:jc w:val="right"/>
            </w:pPr>
            <w:r>
              <w:rPr>
                <w:rFonts w:ascii="宋体" w:hAnsi="宋体" w:eastAsia="宋体" w:cs="宋体"/>
                <w:b w:val="0"/>
                <w:i w:val="0"/>
                <w:color w:val="000000"/>
                <w:sz w:val="11"/>
              </w:rPr>
              <w:t>6.98</w:t>
            </w:r>
          </w:p>
        </w:tc>
        <w:tc>
          <w:tcPr>
            <w:tcW w:w="980" w:type="dxa"/>
            <w:vAlign w:val="center"/>
          </w:tcPr>
          <w:p w14:paraId="26F99A58">
            <w:pPr>
              <w:jc w:val="right"/>
            </w:pPr>
            <w:r>
              <w:rPr>
                <w:rFonts w:ascii="宋体" w:hAnsi="宋体" w:eastAsia="宋体" w:cs="宋体"/>
                <w:b w:val="0"/>
                <w:i w:val="0"/>
                <w:color w:val="000000"/>
                <w:sz w:val="11"/>
              </w:rPr>
              <w:t>0.03</w:t>
            </w:r>
          </w:p>
        </w:tc>
        <w:tc>
          <w:tcPr>
            <w:tcW w:w="986" w:type="dxa"/>
            <w:vAlign w:val="center"/>
          </w:tcPr>
          <w:p w14:paraId="79A894A3"/>
        </w:tc>
      </w:tr>
      <w:tr w14:paraId="5FC31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AFD91F1">
            <w:pPr>
              <w:jc w:val="left"/>
            </w:pPr>
            <w:r>
              <w:rPr>
                <w:rFonts w:ascii="宋体" w:hAnsi="宋体" w:eastAsia="宋体" w:cs="宋体"/>
                <w:b w:val="0"/>
                <w:i w:val="0"/>
                <w:color w:val="000000"/>
                <w:sz w:val="11"/>
              </w:rPr>
              <w:t>21208</w:t>
            </w:r>
          </w:p>
        </w:tc>
        <w:tc>
          <w:tcPr>
            <w:tcW w:w="1700" w:type="dxa"/>
            <w:vAlign w:val="center"/>
          </w:tcPr>
          <w:p w14:paraId="7FEB5E45">
            <w:pPr>
              <w:jc w:val="left"/>
            </w:pPr>
            <w:r>
              <w:rPr>
                <w:rFonts w:ascii="宋体" w:hAnsi="宋体" w:eastAsia="宋体" w:cs="宋体"/>
                <w:b w:val="0"/>
                <w:i w:val="0"/>
                <w:color w:val="000000"/>
                <w:sz w:val="11"/>
              </w:rPr>
              <w:t>国有土地使用权出让收入安排的支出</w:t>
            </w:r>
          </w:p>
        </w:tc>
        <w:tc>
          <w:tcPr>
            <w:tcW w:w="1040" w:type="dxa"/>
            <w:vAlign w:val="center"/>
          </w:tcPr>
          <w:p w14:paraId="14435E57"/>
        </w:tc>
        <w:tc>
          <w:tcPr>
            <w:tcW w:w="940" w:type="dxa"/>
            <w:vAlign w:val="center"/>
          </w:tcPr>
          <w:p w14:paraId="2329B2AB">
            <w:pPr>
              <w:jc w:val="right"/>
            </w:pPr>
            <w:r>
              <w:rPr>
                <w:rFonts w:ascii="宋体" w:hAnsi="宋体" w:eastAsia="宋体" w:cs="宋体"/>
                <w:b w:val="0"/>
                <w:i w:val="0"/>
                <w:color w:val="000000"/>
                <w:sz w:val="11"/>
              </w:rPr>
              <w:t>7.01</w:t>
            </w:r>
          </w:p>
        </w:tc>
        <w:tc>
          <w:tcPr>
            <w:tcW w:w="940" w:type="dxa"/>
            <w:vAlign w:val="center"/>
          </w:tcPr>
          <w:p w14:paraId="01CEAA57">
            <w:pPr>
              <w:jc w:val="right"/>
            </w:pPr>
            <w:r>
              <w:rPr>
                <w:rFonts w:ascii="宋体" w:hAnsi="宋体" w:eastAsia="宋体" w:cs="宋体"/>
                <w:b w:val="0"/>
                <w:i w:val="0"/>
                <w:color w:val="000000"/>
                <w:sz w:val="11"/>
              </w:rPr>
              <w:t>7.01</w:t>
            </w:r>
          </w:p>
        </w:tc>
        <w:tc>
          <w:tcPr>
            <w:tcW w:w="980" w:type="dxa"/>
            <w:vAlign w:val="center"/>
          </w:tcPr>
          <w:p w14:paraId="0837FCF1">
            <w:pPr>
              <w:jc w:val="right"/>
            </w:pPr>
            <w:r>
              <w:rPr>
                <w:rFonts w:ascii="宋体" w:hAnsi="宋体" w:eastAsia="宋体" w:cs="宋体"/>
                <w:b w:val="0"/>
                <w:i w:val="0"/>
                <w:color w:val="000000"/>
                <w:sz w:val="11"/>
              </w:rPr>
              <w:t>6.98</w:t>
            </w:r>
          </w:p>
        </w:tc>
        <w:tc>
          <w:tcPr>
            <w:tcW w:w="980" w:type="dxa"/>
            <w:vAlign w:val="center"/>
          </w:tcPr>
          <w:p w14:paraId="50482817">
            <w:pPr>
              <w:jc w:val="right"/>
            </w:pPr>
            <w:r>
              <w:rPr>
                <w:rFonts w:ascii="宋体" w:hAnsi="宋体" w:eastAsia="宋体" w:cs="宋体"/>
                <w:b w:val="0"/>
                <w:i w:val="0"/>
                <w:color w:val="000000"/>
                <w:sz w:val="11"/>
              </w:rPr>
              <w:t>0.03</w:t>
            </w:r>
          </w:p>
        </w:tc>
        <w:tc>
          <w:tcPr>
            <w:tcW w:w="986" w:type="dxa"/>
            <w:vAlign w:val="center"/>
          </w:tcPr>
          <w:p w14:paraId="574F3A58"/>
        </w:tc>
      </w:tr>
      <w:tr w14:paraId="74ECB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00506DC">
            <w:pPr>
              <w:jc w:val="left"/>
            </w:pPr>
            <w:r>
              <w:rPr>
                <w:rFonts w:ascii="宋体" w:hAnsi="宋体" w:eastAsia="宋体" w:cs="宋体"/>
                <w:b w:val="0"/>
                <w:i w:val="0"/>
                <w:color w:val="000000"/>
                <w:sz w:val="11"/>
              </w:rPr>
              <w:t>2120803</w:t>
            </w:r>
          </w:p>
        </w:tc>
        <w:tc>
          <w:tcPr>
            <w:tcW w:w="1700" w:type="dxa"/>
            <w:vAlign w:val="center"/>
          </w:tcPr>
          <w:p w14:paraId="77F2B078">
            <w:pPr>
              <w:jc w:val="left"/>
            </w:pPr>
            <w:r>
              <w:rPr>
                <w:rFonts w:ascii="宋体" w:hAnsi="宋体" w:eastAsia="宋体" w:cs="宋体"/>
                <w:b w:val="0"/>
                <w:i w:val="0"/>
                <w:color w:val="000000"/>
                <w:sz w:val="11"/>
              </w:rPr>
              <w:t>城市建设支出</w:t>
            </w:r>
          </w:p>
        </w:tc>
        <w:tc>
          <w:tcPr>
            <w:tcW w:w="1040" w:type="dxa"/>
            <w:vAlign w:val="center"/>
          </w:tcPr>
          <w:p w14:paraId="1E1E7BE1"/>
        </w:tc>
        <w:tc>
          <w:tcPr>
            <w:tcW w:w="940" w:type="dxa"/>
            <w:vAlign w:val="center"/>
          </w:tcPr>
          <w:p w14:paraId="12AD2A58">
            <w:pPr>
              <w:jc w:val="right"/>
            </w:pPr>
            <w:r>
              <w:rPr>
                <w:rFonts w:ascii="宋体" w:hAnsi="宋体" w:eastAsia="宋体" w:cs="宋体"/>
                <w:b w:val="0"/>
                <w:i w:val="0"/>
                <w:color w:val="000000"/>
                <w:sz w:val="11"/>
              </w:rPr>
              <w:t>7.01</w:t>
            </w:r>
          </w:p>
        </w:tc>
        <w:tc>
          <w:tcPr>
            <w:tcW w:w="940" w:type="dxa"/>
            <w:vAlign w:val="center"/>
          </w:tcPr>
          <w:p w14:paraId="1C8C1234">
            <w:pPr>
              <w:jc w:val="right"/>
            </w:pPr>
            <w:r>
              <w:rPr>
                <w:rFonts w:ascii="宋体" w:hAnsi="宋体" w:eastAsia="宋体" w:cs="宋体"/>
                <w:b w:val="0"/>
                <w:i w:val="0"/>
                <w:color w:val="000000"/>
                <w:sz w:val="11"/>
              </w:rPr>
              <w:t>7.01</w:t>
            </w:r>
          </w:p>
        </w:tc>
        <w:tc>
          <w:tcPr>
            <w:tcW w:w="980" w:type="dxa"/>
            <w:vAlign w:val="center"/>
          </w:tcPr>
          <w:p w14:paraId="58FC341D">
            <w:pPr>
              <w:jc w:val="right"/>
            </w:pPr>
            <w:r>
              <w:rPr>
                <w:rFonts w:ascii="宋体" w:hAnsi="宋体" w:eastAsia="宋体" w:cs="宋体"/>
                <w:b w:val="0"/>
                <w:i w:val="0"/>
                <w:color w:val="000000"/>
                <w:sz w:val="11"/>
              </w:rPr>
              <w:t>6.98</w:t>
            </w:r>
          </w:p>
        </w:tc>
        <w:tc>
          <w:tcPr>
            <w:tcW w:w="980" w:type="dxa"/>
            <w:vAlign w:val="center"/>
          </w:tcPr>
          <w:p w14:paraId="7E8D4855">
            <w:pPr>
              <w:jc w:val="right"/>
            </w:pPr>
            <w:r>
              <w:rPr>
                <w:rFonts w:ascii="宋体" w:hAnsi="宋体" w:eastAsia="宋体" w:cs="宋体"/>
                <w:b w:val="0"/>
                <w:i w:val="0"/>
                <w:color w:val="000000"/>
                <w:sz w:val="11"/>
              </w:rPr>
              <w:t>0.03</w:t>
            </w:r>
          </w:p>
        </w:tc>
        <w:tc>
          <w:tcPr>
            <w:tcW w:w="986" w:type="dxa"/>
            <w:vAlign w:val="center"/>
          </w:tcPr>
          <w:p w14:paraId="4C01C5CD"/>
        </w:tc>
      </w:tr>
      <w:tr w14:paraId="67BC4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2CD36DD">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38DC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ECDA7D">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2369F159">
      <w:pPr>
        <w:snapToGrid w:val="0"/>
        <w:spacing w:before="200" w:after="200" w:line="200" w:lineRule="auto"/>
      </w:pPr>
      <w:r>
        <w:rPr>
          <w:sz w:val="8"/>
        </w:rPr>
        <w:t xml:space="preserve"> </w:t>
      </w:r>
    </w:p>
    <w:p w14:paraId="7B99CED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7975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6092C70">
            <w:pPr>
              <w:jc w:val="right"/>
            </w:pPr>
            <w:r>
              <w:rPr>
                <w:rFonts w:ascii="宋体" w:hAnsi="宋体" w:eastAsia="宋体" w:cs="宋体"/>
                <w:sz w:val="20"/>
              </w:rPr>
              <w:t>公开08表</w:t>
            </w:r>
          </w:p>
        </w:tc>
      </w:tr>
      <w:tr w14:paraId="3D30E9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C594C8">
            <w:pPr>
              <w:jc w:val="left"/>
            </w:pPr>
            <w:r>
              <w:rPr>
                <w:rFonts w:ascii="宋体" w:hAnsi="宋体" w:eastAsia="宋体" w:cs="宋体"/>
                <w:sz w:val="20"/>
              </w:rPr>
              <w:t>部门：浮梁县市场监督管理局</w:t>
            </w:r>
          </w:p>
        </w:tc>
        <w:tc>
          <w:tcPr>
            <w:tcW w:w="2000" w:type="dxa"/>
          </w:tcPr>
          <w:p w14:paraId="16E1C499">
            <w:pPr>
              <w:jc w:val="center"/>
            </w:pPr>
            <w:r>
              <w:rPr>
                <w:rFonts w:ascii="宋体" w:hAnsi="宋体" w:eastAsia="宋体" w:cs="宋体"/>
                <w:sz w:val="20"/>
              </w:rPr>
              <w:t>2023年度</w:t>
            </w:r>
          </w:p>
        </w:tc>
        <w:tc>
          <w:tcPr>
            <w:tcW w:w="3153" w:type="dxa"/>
          </w:tcPr>
          <w:p w14:paraId="1BF13A08">
            <w:pPr>
              <w:jc w:val="right"/>
            </w:pPr>
            <w:r>
              <w:rPr>
                <w:rFonts w:ascii="宋体" w:hAnsi="宋体" w:eastAsia="宋体" w:cs="宋体"/>
                <w:sz w:val="20"/>
              </w:rPr>
              <w:t>金额单位：万元</w:t>
            </w:r>
          </w:p>
        </w:tc>
      </w:tr>
    </w:tbl>
    <w:p w14:paraId="079A9585">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BEBE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0A174FD">
            <w:pPr>
              <w:jc w:val="center"/>
            </w:pPr>
            <w:r>
              <w:rPr>
                <w:rFonts w:ascii="宋体" w:hAnsi="宋体" w:eastAsia="宋体" w:cs="宋体"/>
                <w:b w:val="0"/>
                <w:i w:val="0"/>
                <w:color w:val="000000"/>
                <w:sz w:val="17"/>
              </w:rPr>
              <w:t>项    目</w:t>
            </w:r>
          </w:p>
        </w:tc>
        <w:tc>
          <w:tcPr>
            <w:tcW w:w="1380" w:type="dxa"/>
            <w:vMerge w:val="restart"/>
            <w:vAlign w:val="center"/>
          </w:tcPr>
          <w:p w14:paraId="4CFCA8D7">
            <w:pPr>
              <w:jc w:val="center"/>
            </w:pPr>
            <w:r>
              <w:rPr>
                <w:rFonts w:ascii="宋体" w:hAnsi="宋体" w:eastAsia="宋体" w:cs="宋体"/>
                <w:b w:val="0"/>
                <w:i w:val="0"/>
                <w:color w:val="000000"/>
                <w:sz w:val="17"/>
              </w:rPr>
              <w:t>合计</w:t>
            </w:r>
          </w:p>
        </w:tc>
        <w:tc>
          <w:tcPr>
            <w:tcW w:w="1520" w:type="dxa"/>
            <w:vMerge w:val="restart"/>
            <w:vAlign w:val="center"/>
          </w:tcPr>
          <w:p w14:paraId="20D3C091">
            <w:pPr>
              <w:jc w:val="center"/>
            </w:pPr>
            <w:r>
              <w:rPr>
                <w:rFonts w:ascii="宋体" w:hAnsi="宋体" w:eastAsia="宋体" w:cs="宋体"/>
                <w:b w:val="0"/>
                <w:i w:val="0"/>
                <w:color w:val="000000"/>
                <w:sz w:val="17"/>
              </w:rPr>
              <w:t>基本支出</w:t>
            </w:r>
          </w:p>
        </w:tc>
        <w:tc>
          <w:tcPr>
            <w:tcW w:w="1366" w:type="dxa"/>
            <w:vMerge w:val="restart"/>
            <w:vAlign w:val="center"/>
          </w:tcPr>
          <w:p w14:paraId="0F49FEC8">
            <w:pPr>
              <w:jc w:val="center"/>
            </w:pPr>
            <w:r>
              <w:rPr>
                <w:rFonts w:ascii="宋体" w:hAnsi="宋体" w:eastAsia="宋体" w:cs="宋体"/>
                <w:b w:val="0"/>
                <w:i w:val="0"/>
                <w:color w:val="000000"/>
                <w:sz w:val="17"/>
              </w:rPr>
              <w:t>项目支出</w:t>
            </w:r>
          </w:p>
        </w:tc>
      </w:tr>
      <w:tr w14:paraId="255CD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5727D5F">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B32293E">
            <w:pPr>
              <w:jc w:val="center"/>
            </w:pPr>
            <w:r>
              <w:rPr>
                <w:rFonts w:ascii="宋体" w:hAnsi="宋体" w:eastAsia="宋体" w:cs="宋体"/>
                <w:b w:val="0"/>
                <w:i w:val="0"/>
                <w:color w:val="000000"/>
                <w:sz w:val="17"/>
              </w:rPr>
              <w:t>科目名称</w:t>
            </w:r>
          </w:p>
        </w:tc>
        <w:tc>
          <w:tcPr>
            <w:tcW w:w="1380" w:type="dxa"/>
            <w:vMerge w:val="continue"/>
            <w:vAlign w:val="center"/>
          </w:tcPr>
          <w:p w14:paraId="745FF85A"/>
        </w:tc>
        <w:tc>
          <w:tcPr>
            <w:tcW w:w="1520" w:type="dxa"/>
            <w:vMerge w:val="continue"/>
            <w:vAlign w:val="center"/>
          </w:tcPr>
          <w:p w14:paraId="63C43358"/>
        </w:tc>
        <w:tc>
          <w:tcPr>
            <w:tcW w:w="1366" w:type="dxa"/>
            <w:vMerge w:val="continue"/>
            <w:vAlign w:val="center"/>
          </w:tcPr>
          <w:p w14:paraId="17CB2BFE"/>
        </w:tc>
      </w:tr>
      <w:tr w14:paraId="649A4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5B2B1FC"/>
        </w:tc>
        <w:tc>
          <w:tcPr>
            <w:tcW w:w="2740" w:type="dxa"/>
            <w:vMerge w:val="continue"/>
            <w:vAlign w:val="center"/>
          </w:tcPr>
          <w:p w14:paraId="7D090710"/>
        </w:tc>
        <w:tc>
          <w:tcPr>
            <w:tcW w:w="1380" w:type="dxa"/>
            <w:vMerge w:val="continue"/>
            <w:vAlign w:val="center"/>
          </w:tcPr>
          <w:p w14:paraId="030B5EFF"/>
        </w:tc>
        <w:tc>
          <w:tcPr>
            <w:tcW w:w="1520" w:type="dxa"/>
            <w:vMerge w:val="continue"/>
            <w:vAlign w:val="center"/>
          </w:tcPr>
          <w:p w14:paraId="18E75B04"/>
        </w:tc>
        <w:tc>
          <w:tcPr>
            <w:tcW w:w="1366" w:type="dxa"/>
            <w:vMerge w:val="continue"/>
            <w:vAlign w:val="center"/>
          </w:tcPr>
          <w:p w14:paraId="50332A14"/>
        </w:tc>
      </w:tr>
      <w:tr w14:paraId="57BE0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C956960"/>
        </w:tc>
        <w:tc>
          <w:tcPr>
            <w:tcW w:w="2740" w:type="dxa"/>
            <w:vMerge w:val="continue"/>
            <w:vAlign w:val="center"/>
          </w:tcPr>
          <w:p w14:paraId="73A310C0"/>
        </w:tc>
        <w:tc>
          <w:tcPr>
            <w:tcW w:w="1380" w:type="dxa"/>
            <w:vMerge w:val="continue"/>
            <w:vAlign w:val="center"/>
          </w:tcPr>
          <w:p w14:paraId="6DF78FC1"/>
        </w:tc>
        <w:tc>
          <w:tcPr>
            <w:tcW w:w="1520" w:type="dxa"/>
            <w:vMerge w:val="continue"/>
            <w:vAlign w:val="center"/>
          </w:tcPr>
          <w:p w14:paraId="02152BB8"/>
        </w:tc>
        <w:tc>
          <w:tcPr>
            <w:tcW w:w="1366" w:type="dxa"/>
            <w:vMerge w:val="continue"/>
            <w:vAlign w:val="center"/>
          </w:tcPr>
          <w:p w14:paraId="39B91727"/>
        </w:tc>
      </w:tr>
      <w:tr w14:paraId="63609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52CCD474">
            <w:pPr>
              <w:jc w:val="center"/>
            </w:pPr>
            <w:r>
              <w:rPr>
                <w:rFonts w:ascii="宋体" w:hAnsi="宋体" w:eastAsia="宋体" w:cs="宋体"/>
                <w:b w:val="0"/>
                <w:i w:val="0"/>
                <w:color w:val="000000"/>
                <w:sz w:val="17"/>
              </w:rPr>
              <w:t>类</w:t>
            </w:r>
          </w:p>
        </w:tc>
        <w:tc>
          <w:tcPr>
            <w:tcW w:w="420" w:type="dxa"/>
            <w:vMerge w:val="restart"/>
            <w:vAlign w:val="center"/>
          </w:tcPr>
          <w:p w14:paraId="0D115E32">
            <w:pPr>
              <w:jc w:val="center"/>
            </w:pPr>
            <w:r>
              <w:rPr>
                <w:rFonts w:ascii="宋体" w:hAnsi="宋体" w:eastAsia="宋体" w:cs="宋体"/>
                <w:b w:val="0"/>
                <w:i w:val="0"/>
                <w:color w:val="000000"/>
                <w:sz w:val="17"/>
              </w:rPr>
              <w:t>款</w:t>
            </w:r>
          </w:p>
        </w:tc>
        <w:tc>
          <w:tcPr>
            <w:tcW w:w="440" w:type="dxa"/>
            <w:vMerge w:val="restart"/>
            <w:vAlign w:val="center"/>
          </w:tcPr>
          <w:p w14:paraId="73BC27DA">
            <w:pPr>
              <w:jc w:val="center"/>
            </w:pPr>
            <w:r>
              <w:rPr>
                <w:rFonts w:ascii="宋体" w:hAnsi="宋体" w:eastAsia="宋体" w:cs="宋体"/>
                <w:b w:val="0"/>
                <w:i w:val="0"/>
                <w:color w:val="000000"/>
                <w:sz w:val="17"/>
              </w:rPr>
              <w:t>项</w:t>
            </w:r>
          </w:p>
        </w:tc>
        <w:tc>
          <w:tcPr>
            <w:tcW w:w="2740" w:type="dxa"/>
            <w:vAlign w:val="center"/>
          </w:tcPr>
          <w:p w14:paraId="54EC7CD2">
            <w:pPr>
              <w:jc w:val="center"/>
            </w:pPr>
            <w:r>
              <w:rPr>
                <w:rFonts w:ascii="宋体" w:hAnsi="宋体" w:eastAsia="宋体" w:cs="宋体"/>
                <w:b w:val="0"/>
                <w:i w:val="0"/>
                <w:color w:val="000000"/>
                <w:sz w:val="17"/>
              </w:rPr>
              <w:t>栏次</w:t>
            </w:r>
          </w:p>
        </w:tc>
        <w:tc>
          <w:tcPr>
            <w:tcW w:w="1380" w:type="dxa"/>
            <w:vAlign w:val="center"/>
          </w:tcPr>
          <w:p w14:paraId="031596ED">
            <w:pPr>
              <w:jc w:val="center"/>
            </w:pPr>
            <w:r>
              <w:rPr>
                <w:rFonts w:ascii="宋体" w:hAnsi="宋体" w:eastAsia="宋体" w:cs="宋体"/>
                <w:b w:val="0"/>
                <w:i w:val="0"/>
                <w:color w:val="000000"/>
                <w:sz w:val="17"/>
              </w:rPr>
              <w:t>1</w:t>
            </w:r>
          </w:p>
        </w:tc>
        <w:tc>
          <w:tcPr>
            <w:tcW w:w="1520" w:type="dxa"/>
            <w:vAlign w:val="center"/>
          </w:tcPr>
          <w:p w14:paraId="6EC55531">
            <w:pPr>
              <w:jc w:val="center"/>
            </w:pPr>
            <w:r>
              <w:rPr>
                <w:rFonts w:ascii="宋体" w:hAnsi="宋体" w:eastAsia="宋体" w:cs="宋体"/>
                <w:b w:val="0"/>
                <w:i w:val="0"/>
                <w:color w:val="000000"/>
                <w:sz w:val="17"/>
              </w:rPr>
              <w:t>2</w:t>
            </w:r>
          </w:p>
        </w:tc>
        <w:tc>
          <w:tcPr>
            <w:tcW w:w="1366" w:type="dxa"/>
            <w:vAlign w:val="center"/>
          </w:tcPr>
          <w:p w14:paraId="14358899">
            <w:pPr>
              <w:jc w:val="center"/>
            </w:pPr>
            <w:r>
              <w:rPr>
                <w:rFonts w:ascii="宋体" w:hAnsi="宋体" w:eastAsia="宋体" w:cs="宋体"/>
                <w:b w:val="0"/>
                <w:i w:val="0"/>
                <w:color w:val="000000"/>
                <w:sz w:val="17"/>
              </w:rPr>
              <w:t>3</w:t>
            </w:r>
          </w:p>
        </w:tc>
      </w:tr>
      <w:tr w14:paraId="18AF4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9AC4996"/>
        </w:tc>
        <w:tc>
          <w:tcPr>
            <w:tcW w:w="420" w:type="dxa"/>
            <w:vMerge w:val="continue"/>
            <w:vAlign w:val="center"/>
          </w:tcPr>
          <w:p w14:paraId="549C4C25"/>
        </w:tc>
        <w:tc>
          <w:tcPr>
            <w:tcW w:w="440" w:type="dxa"/>
            <w:vMerge w:val="continue"/>
            <w:vAlign w:val="center"/>
          </w:tcPr>
          <w:p w14:paraId="7950E068"/>
        </w:tc>
        <w:tc>
          <w:tcPr>
            <w:tcW w:w="2740" w:type="dxa"/>
            <w:vAlign w:val="center"/>
          </w:tcPr>
          <w:p w14:paraId="4A36BE25">
            <w:pPr>
              <w:jc w:val="center"/>
            </w:pPr>
            <w:r>
              <w:rPr>
                <w:rFonts w:ascii="宋体" w:hAnsi="宋体" w:eastAsia="宋体" w:cs="宋体"/>
                <w:b w:val="0"/>
                <w:i w:val="0"/>
                <w:color w:val="000000"/>
                <w:sz w:val="17"/>
              </w:rPr>
              <w:t>合计</w:t>
            </w:r>
          </w:p>
        </w:tc>
        <w:tc>
          <w:tcPr>
            <w:tcW w:w="1380" w:type="dxa"/>
            <w:vAlign w:val="center"/>
          </w:tcPr>
          <w:p w14:paraId="1E307B63"/>
        </w:tc>
        <w:tc>
          <w:tcPr>
            <w:tcW w:w="1520" w:type="dxa"/>
            <w:vAlign w:val="center"/>
          </w:tcPr>
          <w:p w14:paraId="3BE191FE"/>
        </w:tc>
        <w:tc>
          <w:tcPr>
            <w:tcW w:w="1366" w:type="dxa"/>
            <w:vAlign w:val="center"/>
          </w:tcPr>
          <w:p w14:paraId="57B55094"/>
        </w:tc>
      </w:tr>
      <w:tr w14:paraId="28129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B63D453"/>
        </w:tc>
        <w:tc>
          <w:tcPr>
            <w:tcW w:w="2740" w:type="dxa"/>
            <w:vAlign w:val="center"/>
          </w:tcPr>
          <w:p w14:paraId="7FCC6530"/>
        </w:tc>
        <w:tc>
          <w:tcPr>
            <w:tcW w:w="1380" w:type="dxa"/>
            <w:vAlign w:val="center"/>
          </w:tcPr>
          <w:p w14:paraId="7E00F3C8"/>
        </w:tc>
        <w:tc>
          <w:tcPr>
            <w:tcW w:w="1520" w:type="dxa"/>
            <w:vAlign w:val="center"/>
          </w:tcPr>
          <w:p w14:paraId="60F01290"/>
        </w:tc>
        <w:tc>
          <w:tcPr>
            <w:tcW w:w="1366" w:type="dxa"/>
            <w:vAlign w:val="center"/>
          </w:tcPr>
          <w:p w14:paraId="28567058"/>
        </w:tc>
      </w:tr>
      <w:tr w14:paraId="43C66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C523C8C">
            <w:pPr>
              <w:jc w:val="left"/>
            </w:pPr>
            <w:r>
              <w:rPr>
                <w:rFonts w:ascii="宋体" w:hAnsi="宋体" w:eastAsia="宋体" w:cs="宋体"/>
                <w:b w:val="0"/>
                <w:i w:val="0"/>
                <w:color w:val="000000"/>
                <w:sz w:val="17"/>
              </w:rPr>
              <w:t>注：1.本表反映部门(单位)本年度国有资本经营预算财政拨款支出情况。</w:t>
            </w:r>
          </w:p>
        </w:tc>
      </w:tr>
      <w:tr w14:paraId="58A5C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D40F15F">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57A51128">
      <w:pPr>
        <w:snapToGrid w:val="0"/>
        <w:spacing w:before="200" w:after="200" w:line="200" w:lineRule="auto"/>
      </w:pPr>
      <w:r>
        <w:rPr>
          <w:sz w:val="8"/>
        </w:rPr>
        <w:t xml:space="preserve"> </w:t>
      </w:r>
    </w:p>
    <w:p w14:paraId="001F303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299D1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FDA178E">
            <w:pPr>
              <w:jc w:val="right"/>
            </w:pPr>
            <w:r>
              <w:rPr>
                <w:rFonts w:ascii="宋体" w:hAnsi="宋体" w:eastAsia="宋体" w:cs="宋体"/>
                <w:sz w:val="20"/>
              </w:rPr>
              <w:t>公开09表</w:t>
            </w:r>
          </w:p>
        </w:tc>
      </w:tr>
      <w:tr w14:paraId="24FE10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209F24B">
            <w:pPr>
              <w:jc w:val="left"/>
            </w:pPr>
            <w:r>
              <w:rPr>
                <w:rFonts w:ascii="宋体" w:hAnsi="宋体" w:eastAsia="宋体" w:cs="宋体"/>
                <w:sz w:val="20"/>
              </w:rPr>
              <w:t>部门：浮梁县市场监督管理局</w:t>
            </w:r>
          </w:p>
        </w:tc>
        <w:tc>
          <w:tcPr>
            <w:tcW w:w="2000" w:type="dxa"/>
          </w:tcPr>
          <w:p w14:paraId="3EE43182">
            <w:pPr>
              <w:jc w:val="center"/>
            </w:pPr>
            <w:r>
              <w:rPr>
                <w:rFonts w:ascii="宋体" w:hAnsi="宋体" w:eastAsia="宋体" w:cs="宋体"/>
                <w:sz w:val="20"/>
              </w:rPr>
              <w:t>2023年度</w:t>
            </w:r>
          </w:p>
        </w:tc>
        <w:tc>
          <w:tcPr>
            <w:tcW w:w="3153" w:type="dxa"/>
          </w:tcPr>
          <w:p w14:paraId="5981D188">
            <w:pPr>
              <w:jc w:val="right"/>
            </w:pPr>
            <w:r>
              <w:rPr>
                <w:rFonts w:ascii="宋体" w:hAnsi="宋体" w:eastAsia="宋体" w:cs="宋体"/>
                <w:sz w:val="20"/>
              </w:rPr>
              <w:t>金额单位：万元</w:t>
            </w:r>
          </w:p>
        </w:tc>
      </w:tr>
    </w:tbl>
    <w:p w14:paraId="45836C71">
      <w:pPr>
        <w:snapToGrid w:val="0"/>
        <w:spacing w:before="0" w:after="0" w:line="0" w:lineRule="auto"/>
      </w:pPr>
      <w:r>
        <w:rPr>
          <w:sz w:val="8"/>
        </w:rPr>
        <w:t xml:space="preserve"> </w:t>
      </w:r>
    </w:p>
    <w:tbl>
      <w:tblPr>
        <w:tblStyle w:val="1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FA64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021BC001">
            <w:pPr>
              <w:jc w:val="center"/>
            </w:pPr>
            <w:r>
              <w:rPr>
                <w:rFonts w:ascii="宋体" w:hAnsi="宋体" w:eastAsia="宋体" w:cs="宋体"/>
                <w:b w:val="0"/>
                <w:i w:val="0"/>
                <w:color w:val="000000"/>
                <w:sz w:val="17"/>
              </w:rPr>
              <w:t>项目</w:t>
            </w:r>
          </w:p>
        </w:tc>
        <w:tc>
          <w:tcPr>
            <w:tcW w:w="740" w:type="dxa"/>
            <w:vAlign w:val="center"/>
          </w:tcPr>
          <w:p w14:paraId="007C9336">
            <w:pPr>
              <w:jc w:val="center"/>
            </w:pPr>
            <w:r>
              <w:rPr>
                <w:rFonts w:ascii="宋体" w:hAnsi="宋体" w:eastAsia="宋体" w:cs="宋体"/>
                <w:b w:val="0"/>
                <w:i w:val="0"/>
                <w:color w:val="000000"/>
                <w:sz w:val="17"/>
              </w:rPr>
              <w:t>栏次</w:t>
            </w:r>
          </w:p>
        </w:tc>
        <w:tc>
          <w:tcPr>
            <w:tcW w:w="1560" w:type="dxa"/>
            <w:vAlign w:val="center"/>
          </w:tcPr>
          <w:p w14:paraId="4DCAE9C5">
            <w:pPr>
              <w:jc w:val="center"/>
            </w:pPr>
            <w:r>
              <w:rPr>
                <w:rFonts w:ascii="宋体" w:hAnsi="宋体" w:eastAsia="宋体" w:cs="宋体"/>
                <w:b w:val="0"/>
                <w:i w:val="0"/>
                <w:color w:val="000000"/>
                <w:sz w:val="17"/>
              </w:rPr>
              <w:t>年初预算数</w:t>
            </w:r>
          </w:p>
        </w:tc>
        <w:tc>
          <w:tcPr>
            <w:tcW w:w="1460" w:type="dxa"/>
            <w:vAlign w:val="center"/>
          </w:tcPr>
          <w:p w14:paraId="58A21942">
            <w:pPr>
              <w:jc w:val="center"/>
            </w:pPr>
            <w:r>
              <w:rPr>
                <w:rFonts w:ascii="宋体" w:hAnsi="宋体" w:eastAsia="宋体" w:cs="宋体"/>
                <w:b w:val="0"/>
                <w:i w:val="0"/>
                <w:color w:val="000000"/>
                <w:sz w:val="16"/>
              </w:rPr>
              <w:t>全年预算数</w:t>
            </w:r>
          </w:p>
        </w:tc>
        <w:tc>
          <w:tcPr>
            <w:tcW w:w="1586" w:type="dxa"/>
            <w:vAlign w:val="center"/>
          </w:tcPr>
          <w:p w14:paraId="3CF88944">
            <w:pPr>
              <w:jc w:val="center"/>
            </w:pPr>
            <w:r>
              <w:rPr>
                <w:rFonts w:ascii="宋体" w:hAnsi="宋体" w:eastAsia="宋体" w:cs="宋体"/>
                <w:b w:val="0"/>
                <w:i w:val="0"/>
                <w:color w:val="000000"/>
                <w:sz w:val="17"/>
              </w:rPr>
              <w:t>决算数</w:t>
            </w:r>
          </w:p>
        </w:tc>
      </w:tr>
      <w:tr w14:paraId="634D7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E364D5">
            <w:pPr>
              <w:jc w:val="center"/>
            </w:pPr>
            <w:r>
              <w:rPr>
                <w:rFonts w:ascii="宋体" w:hAnsi="宋体" w:eastAsia="宋体" w:cs="宋体"/>
                <w:b w:val="0"/>
                <w:i w:val="0"/>
                <w:color w:val="000000"/>
                <w:sz w:val="17"/>
              </w:rPr>
              <w:t>行次</w:t>
            </w:r>
          </w:p>
        </w:tc>
        <w:tc>
          <w:tcPr>
            <w:tcW w:w="740" w:type="dxa"/>
            <w:vAlign w:val="center"/>
          </w:tcPr>
          <w:p w14:paraId="7D170B22"/>
        </w:tc>
        <w:tc>
          <w:tcPr>
            <w:tcW w:w="1560" w:type="dxa"/>
            <w:vAlign w:val="center"/>
          </w:tcPr>
          <w:p w14:paraId="12B904B3">
            <w:pPr>
              <w:jc w:val="center"/>
            </w:pPr>
            <w:r>
              <w:rPr>
                <w:rFonts w:ascii="宋体" w:hAnsi="宋体" w:eastAsia="宋体" w:cs="宋体"/>
                <w:b w:val="0"/>
                <w:i w:val="0"/>
                <w:color w:val="000000"/>
                <w:sz w:val="17"/>
              </w:rPr>
              <w:t>1</w:t>
            </w:r>
          </w:p>
        </w:tc>
        <w:tc>
          <w:tcPr>
            <w:tcW w:w="1460" w:type="dxa"/>
            <w:vAlign w:val="center"/>
          </w:tcPr>
          <w:p w14:paraId="0CC10618">
            <w:pPr>
              <w:jc w:val="center"/>
            </w:pPr>
            <w:r>
              <w:rPr>
                <w:rFonts w:ascii="宋体" w:hAnsi="宋体" w:eastAsia="宋体" w:cs="宋体"/>
                <w:b w:val="0"/>
                <w:i w:val="0"/>
                <w:color w:val="000000"/>
                <w:sz w:val="16"/>
              </w:rPr>
              <w:t>2</w:t>
            </w:r>
          </w:p>
        </w:tc>
        <w:tc>
          <w:tcPr>
            <w:tcW w:w="1586" w:type="dxa"/>
            <w:vAlign w:val="center"/>
          </w:tcPr>
          <w:p w14:paraId="7377C960">
            <w:pPr>
              <w:jc w:val="center"/>
            </w:pPr>
            <w:r>
              <w:rPr>
                <w:rFonts w:ascii="宋体" w:hAnsi="宋体" w:eastAsia="宋体" w:cs="宋体"/>
                <w:b w:val="0"/>
                <w:i w:val="0"/>
                <w:color w:val="000000"/>
                <w:sz w:val="17"/>
              </w:rPr>
              <w:t>3</w:t>
            </w:r>
          </w:p>
        </w:tc>
      </w:tr>
      <w:tr w14:paraId="55BC6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AFBE02">
            <w:pPr>
              <w:jc w:val="left"/>
            </w:pPr>
            <w:r>
              <w:rPr>
                <w:rFonts w:ascii="宋体" w:hAnsi="宋体" w:eastAsia="宋体" w:cs="宋体"/>
                <w:b w:val="0"/>
                <w:i w:val="0"/>
                <w:color w:val="000000"/>
                <w:sz w:val="17"/>
              </w:rPr>
              <w:t>一、“三公”经费支出</w:t>
            </w:r>
          </w:p>
        </w:tc>
        <w:tc>
          <w:tcPr>
            <w:tcW w:w="740" w:type="dxa"/>
            <w:vAlign w:val="center"/>
          </w:tcPr>
          <w:p w14:paraId="2FB4AC19">
            <w:pPr>
              <w:jc w:val="center"/>
            </w:pPr>
            <w:r>
              <w:rPr>
                <w:rFonts w:ascii="宋体" w:hAnsi="宋体" w:eastAsia="宋体" w:cs="宋体"/>
                <w:b w:val="0"/>
                <w:i w:val="0"/>
                <w:color w:val="000000"/>
                <w:sz w:val="17"/>
              </w:rPr>
              <w:t>1</w:t>
            </w:r>
          </w:p>
        </w:tc>
        <w:tc>
          <w:tcPr>
            <w:tcW w:w="1560" w:type="dxa"/>
            <w:vAlign w:val="center"/>
          </w:tcPr>
          <w:p w14:paraId="7DBFB567">
            <w:pPr>
              <w:jc w:val="right"/>
            </w:pPr>
            <w:r>
              <w:rPr>
                <w:rFonts w:ascii="宋体" w:hAnsi="宋体" w:eastAsia="宋体" w:cs="宋体"/>
                <w:b w:val="0"/>
                <w:i w:val="0"/>
                <w:color w:val="000000"/>
                <w:sz w:val="17"/>
              </w:rPr>
              <w:t>39.80</w:t>
            </w:r>
          </w:p>
        </w:tc>
        <w:tc>
          <w:tcPr>
            <w:tcW w:w="1460" w:type="dxa"/>
            <w:vAlign w:val="center"/>
          </w:tcPr>
          <w:p w14:paraId="6AC7539D">
            <w:pPr>
              <w:jc w:val="right"/>
            </w:pPr>
            <w:r>
              <w:rPr>
                <w:rFonts w:ascii="宋体" w:hAnsi="宋体" w:eastAsia="宋体" w:cs="宋体"/>
                <w:b w:val="0"/>
                <w:i w:val="0"/>
                <w:color w:val="000000"/>
                <w:sz w:val="16"/>
              </w:rPr>
              <w:t>39.80</w:t>
            </w:r>
          </w:p>
        </w:tc>
        <w:tc>
          <w:tcPr>
            <w:tcW w:w="1586" w:type="dxa"/>
            <w:vAlign w:val="center"/>
          </w:tcPr>
          <w:p w14:paraId="39A82470">
            <w:pPr>
              <w:jc w:val="right"/>
            </w:pPr>
            <w:r>
              <w:rPr>
                <w:rFonts w:ascii="宋体" w:hAnsi="宋体" w:eastAsia="宋体" w:cs="宋体"/>
                <w:b w:val="0"/>
                <w:i w:val="0"/>
                <w:color w:val="000000"/>
                <w:sz w:val="17"/>
              </w:rPr>
              <w:t>22.38</w:t>
            </w:r>
          </w:p>
        </w:tc>
      </w:tr>
      <w:tr w14:paraId="2B41A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4D73AE">
            <w:pPr>
              <w:jc w:val="left"/>
            </w:pPr>
            <w:r>
              <w:rPr>
                <w:rFonts w:ascii="宋体" w:hAnsi="宋体" w:eastAsia="宋体" w:cs="宋体"/>
                <w:b w:val="0"/>
                <w:i w:val="0"/>
                <w:color w:val="000000"/>
                <w:sz w:val="17"/>
              </w:rPr>
              <w:t xml:space="preserve">  1.因公出国（境）费</w:t>
            </w:r>
          </w:p>
        </w:tc>
        <w:tc>
          <w:tcPr>
            <w:tcW w:w="740" w:type="dxa"/>
            <w:vAlign w:val="center"/>
          </w:tcPr>
          <w:p w14:paraId="47E60B2F">
            <w:pPr>
              <w:jc w:val="center"/>
            </w:pPr>
            <w:r>
              <w:rPr>
                <w:rFonts w:ascii="宋体" w:hAnsi="宋体" w:eastAsia="宋体" w:cs="宋体"/>
                <w:b w:val="0"/>
                <w:i w:val="0"/>
                <w:color w:val="000000"/>
                <w:sz w:val="17"/>
              </w:rPr>
              <w:t>2</w:t>
            </w:r>
          </w:p>
        </w:tc>
        <w:tc>
          <w:tcPr>
            <w:tcW w:w="1560" w:type="dxa"/>
            <w:vAlign w:val="center"/>
          </w:tcPr>
          <w:p w14:paraId="2E43CFA0"/>
        </w:tc>
        <w:tc>
          <w:tcPr>
            <w:tcW w:w="1460" w:type="dxa"/>
            <w:vAlign w:val="center"/>
          </w:tcPr>
          <w:p w14:paraId="66777E0D"/>
        </w:tc>
        <w:tc>
          <w:tcPr>
            <w:tcW w:w="1586" w:type="dxa"/>
            <w:vAlign w:val="center"/>
          </w:tcPr>
          <w:p w14:paraId="0D4500BC"/>
        </w:tc>
      </w:tr>
      <w:tr w14:paraId="13D06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975395">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58420F10">
            <w:pPr>
              <w:jc w:val="center"/>
            </w:pPr>
            <w:r>
              <w:rPr>
                <w:rFonts w:ascii="宋体" w:hAnsi="宋体" w:eastAsia="宋体" w:cs="宋体"/>
                <w:b w:val="0"/>
                <w:i w:val="0"/>
                <w:color w:val="000000"/>
                <w:sz w:val="17"/>
              </w:rPr>
              <w:t>3</w:t>
            </w:r>
          </w:p>
        </w:tc>
        <w:tc>
          <w:tcPr>
            <w:tcW w:w="1560" w:type="dxa"/>
            <w:vAlign w:val="center"/>
          </w:tcPr>
          <w:p w14:paraId="4CF66BC9">
            <w:pPr>
              <w:jc w:val="right"/>
            </w:pPr>
            <w:r>
              <w:rPr>
                <w:rFonts w:ascii="宋体" w:hAnsi="宋体" w:eastAsia="宋体" w:cs="宋体"/>
                <w:b w:val="0"/>
                <w:i w:val="0"/>
                <w:color w:val="000000"/>
                <w:sz w:val="17"/>
              </w:rPr>
              <w:t>22.80</w:t>
            </w:r>
          </w:p>
        </w:tc>
        <w:tc>
          <w:tcPr>
            <w:tcW w:w="1460" w:type="dxa"/>
            <w:vAlign w:val="center"/>
          </w:tcPr>
          <w:p w14:paraId="4220B10C">
            <w:pPr>
              <w:jc w:val="right"/>
            </w:pPr>
            <w:r>
              <w:rPr>
                <w:rFonts w:ascii="宋体" w:hAnsi="宋体" w:eastAsia="宋体" w:cs="宋体"/>
                <w:b w:val="0"/>
                <w:i w:val="0"/>
                <w:color w:val="000000"/>
                <w:sz w:val="16"/>
              </w:rPr>
              <w:t>22.80</w:t>
            </w:r>
          </w:p>
        </w:tc>
        <w:tc>
          <w:tcPr>
            <w:tcW w:w="1586" w:type="dxa"/>
            <w:vAlign w:val="center"/>
          </w:tcPr>
          <w:p w14:paraId="5265D20B">
            <w:pPr>
              <w:jc w:val="right"/>
            </w:pPr>
            <w:r>
              <w:rPr>
                <w:rFonts w:ascii="宋体" w:hAnsi="宋体" w:eastAsia="宋体" w:cs="宋体"/>
                <w:b w:val="0"/>
                <w:i w:val="0"/>
                <w:color w:val="000000"/>
                <w:sz w:val="17"/>
              </w:rPr>
              <w:t>20.90</w:t>
            </w:r>
          </w:p>
        </w:tc>
      </w:tr>
      <w:tr w14:paraId="05CAC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FC443C">
            <w:pPr>
              <w:jc w:val="left"/>
            </w:pPr>
            <w:r>
              <w:rPr>
                <w:rFonts w:ascii="宋体" w:hAnsi="宋体" w:eastAsia="宋体" w:cs="宋体"/>
                <w:b w:val="0"/>
                <w:i w:val="0"/>
                <w:color w:val="000000"/>
                <w:sz w:val="17"/>
              </w:rPr>
              <w:t xml:space="preserve">    （1）公务用车购置费</w:t>
            </w:r>
          </w:p>
        </w:tc>
        <w:tc>
          <w:tcPr>
            <w:tcW w:w="740" w:type="dxa"/>
            <w:vAlign w:val="center"/>
          </w:tcPr>
          <w:p w14:paraId="21A3CB30">
            <w:pPr>
              <w:jc w:val="center"/>
            </w:pPr>
            <w:r>
              <w:rPr>
                <w:rFonts w:ascii="宋体" w:hAnsi="宋体" w:eastAsia="宋体" w:cs="宋体"/>
                <w:b w:val="0"/>
                <w:i w:val="0"/>
                <w:color w:val="000000"/>
                <w:sz w:val="17"/>
              </w:rPr>
              <w:t>4</w:t>
            </w:r>
          </w:p>
        </w:tc>
        <w:tc>
          <w:tcPr>
            <w:tcW w:w="1560" w:type="dxa"/>
            <w:vAlign w:val="center"/>
          </w:tcPr>
          <w:p w14:paraId="61A707C6"/>
        </w:tc>
        <w:tc>
          <w:tcPr>
            <w:tcW w:w="1460" w:type="dxa"/>
            <w:vAlign w:val="center"/>
          </w:tcPr>
          <w:p w14:paraId="38912034"/>
        </w:tc>
        <w:tc>
          <w:tcPr>
            <w:tcW w:w="1586" w:type="dxa"/>
            <w:vAlign w:val="center"/>
          </w:tcPr>
          <w:p w14:paraId="152A9DC6"/>
        </w:tc>
      </w:tr>
      <w:tr w14:paraId="1B5D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71761A">
            <w:pPr>
              <w:jc w:val="left"/>
            </w:pPr>
            <w:r>
              <w:rPr>
                <w:rFonts w:ascii="宋体" w:hAnsi="宋体" w:eastAsia="宋体" w:cs="宋体"/>
                <w:b w:val="0"/>
                <w:i w:val="0"/>
                <w:color w:val="000000"/>
                <w:sz w:val="17"/>
              </w:rPr>
              <w:t xml:space="preserve">    （2）公务用车运行维护费</w:t>
            </w:r>
          </w:p>
        </w:tc>
        <w:tc>
          <w:tcPr>
            <w:tcW w:w="740" w:type="dxa"/>
            <w:vAlign w:val="center"/>
          </w:tcPr>
          <w:p w14:paraId="73AF98CA">
            <w:pPr>
              <w:jc w:val="center"/>
            </w:pPr>
            <w:r>
              <w:rPr>
                <w:rFonts w:ascii="宋体" w:hAnsi="宋体" w:eastAsia="宋体" w:cs="宋体"/>
                <w:b w:val="0"/>
                <w:i w:val="0"/>
                <w:color w:val="000000"/>
                <w:sz w:val="17"/>
              </w:rPr>
              <w:t>5</w:t>
            </w:r>
          </w:p>
        </w:tc>
        <w:tc>
          <w:tcPr>
            <w:tcW w:w="1560" w:type="dxa"/>
            <w:vAlign w:val="center"/>
          </w:tcPr>
          <w:p w14:paraId="34BE5285">
            <w:pPr>
              <w:jc w:val="right"/>
            </w:pPr>
            <w:r>
              <w:rPr>
                <w:rFonts w:ascii="宋体" w:hAnsi="宋体" w:eastAsia="宋体" w:cs="宋体"/>
                <w:b w:val="0"/>
                <w:i w:val="0"/>
                <w:color w:val="000000"/>
                <w:sz w:val="17"/>
              </w:rPr>
              <w:t>22.80</w:t>
            </w:r>
          </w:p>
        </w:tc>
        <w:tc>
          <w:tcPr>
            <w:tcW w:w="1460" w:type="dxa"/>
            <w:vAlign w:val="center"/>
          </w:tcPr>
          <w:p w14:paraId="7B36528F">
            <w:pPr>
              <w:jc w:val="right"/>
            </w:pPr>
            <w:r>
              <w:rPr>
                <w:rFonts w:ascii="宋体" w:hAnsi="宋体" w:eastAsia="宋体" w:cs="宋体"/>
                <w:b w:val="0"/>
                <w:i w:val="0"/>
                <w:color w:val="000000"/>
                <w:sz w:val="16"/>
              </w:rPr>
              <w:t>22.80</w:t>
            </w:r>
          </w:p>
        </w:tc>
        <w:tc>
          <w:tcPr>
            <w:tcW w:w="1586" w:type="dxa"/>
            <w:vAlign w:val="center"/>
          </w:tcPr>
          <w:p w14:paraId="7AD6C993">
            <w:pPr>
              <w:jc w:val="right"/>
            </w:pPr>
            <w:r>
              <w:rPr>
                <w:rFonts w:ascii="宋体" w:hAnsi="宋体" w:eastAsia="宋体" w:cs="宋体"/>
                <w:b w:val="0"/>
                <w:i w:val="0"/>
                <w:color w:val="000000"/>
                <w:sz w:val="17"/>
              </w:rPr>
              <w:t>20.90</w:t>
            </w:r>
          </w:p>
        </w:tc>
      </w:tr>
      <w:tr w14:paraId="3B919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F821163">
            <w:pPr>
              <w:jc w:val="left"/>
            </w:pPr>
            <w:r>
              <w:rPr>
                <w:rFonts w:ascii="宋体" w:hAnsi="宋体" w:eastAsia="宋体" w:cs="宋体"/>
                <w:b w:val="0"/>
                <w:i w:val="0"/>
                <w:color w:val="000000"/>
                <w:sz w:val="17"/>
              </w:rPr>
              <w:t xml:space="preserve">  3.公务接待费</w:t>
            </w:r>
          </w:p>
        </w:tc>
        <w:tc>
          <w:tcPr>
            <w:tcW w:w="740" w:type="dxa"/>
            <w:vAlign w:val="center"/>
          </w:tcPr>
          <w:p w14:paraId="08AE85F6">
            <w:pPr>
              <w:jc w:val="center"/>
            </w:pPr>
            <w:r>
              <w:rPr>
                <w:rFonts w:ascii="宋体" w:hAnsi="宋体" w:eastAsia="宋体" w:cs="宋体"/>
                <w:b w:val="0"/>
                <w:i w:val="0"/>
                <w:color w:val="000000"/>
                <w:sz w:val="17"/>
              </w:rPr>
              <w:t>6</w:t>
            </w:r>
          </w:p>
        </w:tc>
        <w:tc>
          <w:tcPr>
            <w:tcW w:w="1560" w:type="dxa"/>
            <w:vAlign w:val="center"/>
          </w:tcPr>
          <w:p w14:paraId="350CC8DC">
            <w:pPr>
              <w:jc w:val="right"/>
            </w:pPr>
            <w:r>
              <w:rPr>
                <w:rFonts w:ascii="宋体" w:hAnsi="宋体" w:eastAsia="宋体" w:cs="宋体"/>
                <w:b w:val="0"/>
                <w:i w:val="0"/>
                <w:color w:val="000000"/>
                <w:sz w:val="17"/>
              </w:rPr>
              <w:t>17.00</w:t>
            </w:r>
          </w:p>
        </w:tc>
        <w:tc>
          <w:tcPr>
            <w:tcW w:w="1460" w:type="dxa"/>
            <w:vAlign w:val="center"/>
          </w:tcPr>
          <w:p w14:paraId="63652C34">
            <w:pPr>
              <w:jc w:val="right"/>
            </w:pPr>
            <w:r>
              <w:rPr>
                <w:rFonts w:ascii="宋体" w:hAnsi="宋体" w:eastAsia="宋体" w:cs="宋体"/>
                <w:b w:val="0"/>
                <w:i w:val="0"/>
                <w:color w:val="000000"/>
                <w:sz w:val="16"/>
              </w:rPr>
              <w:t>17.00</w:t>
            </w:r>
          </w:p>
        </w:tc>
        <w:tc>
          <w:tcPr>
            <w:tcW w:w="1586" w:type="dxa"/>
            <w:vAlign w:val="center"/>
          </w:tcPr>
          <w:p w14:paraId="6751C318">
            <w:pPr>
              <w:jc w:val="right"/>
            </w:pPr>
            <w:r>
              <w:rPr>
                <w:rFonts w:ascii="宋体" w:hAnsi="宋体" w:eastAsia="宋体" w:cs="宋体"/>
                <w:b w:val="0"/>
                <w:i w:val="0"/>
                <w:color w:val="000000"/>
                <w:sz w:val="17"/>
              </w:rPr>
              <w:t>1.48</w:t>
            </w:r>
          </w:p>
        </w:tc>
      </w:tr>
      <w:tr w14:paraId="652D2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733026">
            <w:pPr>
              <w:jc w:val="left"/>
            </w:pPr>
            <w:r>
              <w:rPr>
                <w:rFonts w:ascii="宋体" w:hAnsi="宋体" w:eastAsia="宋体" w:cs="宋体"/>
                <w:b w:val="0"/>
                <w:i w:val="0"/>
                <w:color w:val="000000"/>
                <w:sz w:val="17"/>
              </w:rPr>
              <w:t xml:space="preserve">    （1）国内接待费</w:t>
            </w:r>
          </w:p>
        </w:tc>
        <w:tc>
          <w:tcPr>
            <w:tcW w:w="740" w:type="dxa"/>
            <w:vAlign w:val="center"/>
          </w:tcPr>
          <w:p w14:paraId="62E0BC6E">
            <w:pPr>
              <w:jc w:val="center"/>
            </w:pPr>
            <w:r>
              <w:rPr>
                <w:rFonts w:ascii="宋体" w:hAnsi="宋体" w:eastAsia="宋体" w:cs="宋体"/>
                <w:b w:val="0"/>
                <w:i w:val="0"/>
                <w:color w:val="000000"/>
                <w:sz w:val="17"/>
              </w:rPr>
              <w:t>7</w:t>
            </w:r>
          </w:p>
        </w:tc>
        <w:tc>
          <w:tcPr>
            <w:tcW w:w="1560" w:type="dxa"/>
            <w:vAlign w:val="center"/>
          </w:tcPr>
          <w:p w14:paraId="3E38587A">
            <w:pPr>
              <w:jc w:val="center"/>
            </w:pPr>
            <w:r>
              <w:rPr>
                <w:rFonts w:ascii="宋体" w:hAnsi="宋体" w:eastAsia="宋体" w:cs="宋体"/>
                <w:b w:val="0"/>
                <w:i w:val="0"/>
                <w:color w:val="000000"/>
                <w:sz w:val="17"/>
              </w:rPr>
              <w:t>——</w:t>
            </w:r>
          </w:p>
        </w:tc>
        <w:tc>
          <w:tcPr>
            <w:tcW w:w="1460" w:type="dxa"/>
            <w:vAlign w:val="center"/>
          </w:tcPr>
          <w:p w14:paraId="27E5F516">
            <w:pPr>
              <w:jc w:val="center"/>
            </w:pPr>
            <w:r>
              <w:rPr>
                <w:rFonts w:ascii="宋体" w:hAnsi="宋体" w:eastAsia="宋体" w:cs="宋体"/>
                <w:b w:val="0"/>
                <w:i w:val="0"/>
                <w:color w:val="000000"/>
                <w:sz w:val="16"/>
              </w:rPr>
              <w:t>——</w:t>
            </w:r>
          </w:p>
        </w:tc>
        <w:tc>
          <w:tcPr>
            <w:tcW w:w="1586" w:type="dxa"/>
            <w:vAlign w:val="center"/>
          </w:tcPr>
          <w:p w14:paraId="15C07BC3">
            <w:pPr>
              <w:jc w:val="right"/>
            </w:pPr>
            <w:r>
              <w:rPr>
                <w:rFonts w:ascii="宋体" w:hAnsi="宋体" w:eastAsia="宋体" w:cs="宋体"/>
                <w:b w:val="0"/>
                <w:i w:val="0"/>
                <w:color w:val="000000"/>
                <w:sz w:val="17"/>
              </w:rPr>
              <w:t>1.48</w:t>
            </w:r>
          </w:p>
        </w:tc>
      </w:tr>
      <w:tr w14:paraId="68C9C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BF4DC8">
            <w:pPr>
              <w:jc w:val="left"/>
            </w:pPr>
            <w:r>
              <w:rPr>
                <w:rFonts w:ascii="宋体" w:hAnsi="宋体" w:eastAsia="宋体" w:cs="宋体"/>
                <w:b w:val="0"/>
                <w:i w:val="0"/>
                <w:color w:val="000000"/>
                <w:sz w:val="17"/>
              </w:rPr>
              <w:t xml:space="preserve">         其中：外事接待费</w:t>
            </w:r>
          </w:p>
        </w:tc>
        <w:tc>
          <w:tcPr>
            <w:tcW w:w="740" w:type="dxa"/>
            <w:vAlign w:val="center"/>
          </w:tcPr>
          <w:p w14:paraId="583081B4">
            <w:pPr>
              <w:jc w:val="center"/>
            </w:pPr>
            <w:r>
              <w:rPr>
                <w:rFonts w:ascii="宋体" w:hAnsi="宋体" w:eastAsia="宋体" w:cs="宋体"/>
                <w:b w:val="0"/>
                <w:i w:val="0"/>
                <w:color w:val="000000"/>
                <w:sz w:val="17"/>
              </w:rPr>
              <w:t>8</w:t>
            </w:r>
          </w:p>
        </w:tc>
        <w:tc>
          <w:tcPr>
            <w:tcW w:w="1560" w:type="dxa"/>
            <w:vAlign w:val="center"/>
          </w:tcPr>
          <w:p w14:paraId="3DED1756">
            <w:pPr>
              <w:jc w:val="center"/>
            </w:pPr>
            <w:r>
              <w:rPr>
                <w:rFonts w:ascii="宋体" w:hAnsi="宋体" w:eastAsia="宋体" w:cs="宋体"/>
                <w:b w:val="0"/>
                <w:i w:val="0"/>
                <w:color w:val="000000"/>
                <w:sz w:val="17"/>
              </w:rPr>
              <w:t>——</w:t>
            </w:r>
          </w:p>
        </w:tc>
        <w:tc>
          <w:tcPr>
            <w:tcW w:w="1460" w:type="dxa"/>
            <w:vAlign w:val="center"/>
          </w:tcPr>
          <w:p w14:paraId="3CFD14FB">
            <w:pPr>
              <w:jc w:val="center"/>
            </w:pPr>
            <w:r>
              <w:rPr>
                <w:rFonts w:ascii="宋体" w:hAnsi="宋体" w:eastAsia="宋体" w:cs="宋体"/>
                <w:b w:val="0"/>
                <w:i w:val="0"/>
                <w:color w:val="000000"/>
                <w:sz w:val="16"/>
              </w:rPr>
              <w:t>——</w:t>
            </w:r>
          </w:p>
        </w:tc>
        <w:tc>
          <w:tcPr>
            <w:tcW w:w="1586" w:type="dxa"/>
            <w:vAlign w:val="center"/>
          </w:tcPr>
          <w:p w14:paraId="75285D84"/>
        </w:tc>
      </w:tr>
      <w:tr w14:paraId="4EE84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574897">
            <w:pPr>
              <w:jc w:val="left"/>
            </w:pPr>
            <w:r>
              <w:rPr>
                <w:rFonts w:ascii="宋体" w:hAnsi="宋体" w:eastAsia="宋体" w:cs="宋体"/>
                <w:b w:val="0"/>
                <w:i w:val="0"/>
                <w:color w:val="000000"/>
                <w:sz w:val="17"/>
              </w:rPr>
              <w:t xml:space="preserve">    （2）国（境）外接待费</w:t>
            </w:r>
          </w:p>
        </w:tc>
        <w:tc>
          <w:tcPr>
            <w:tcW w:w="740" w:type="dxa"/>
            <w:vAlign w:val="center"/>
          </w:tcPr>
          <w:p w14:paraId="49AC4278">
            <w:pPr>
              <w:jc w:val="center"/>
            </w:pPr>
            <w:r>
              <w:rPr>
                <w:rFonts w:ascii="宋体" w:hAnsi="宋体" w:eastAsia="宋体" w:cs="宋体"/>
                <w:b w:val="0"/>
                <w:i w:val="0"/>
                <w:color w:val="000000"/>
                <w:sz w:val="17"/>
              </w:rPr>
              <w:t>9</w:t>
            </w:r>
          </w:p>
        </w:tc>
        <w:tc>
          <w:tcPr>
            <w:tcW w:w="1560" w:type="dxa"/>
            <w:vAlign w:val="center"/>
          </w:tcPr>
          <w:p w14:paraId="672925CD">
            <w:pPr>
              <w:jc w:val="center"/>
            </w:pPr>
            <w:r>
              <w:rPr>
                <w:rFonts w:ascii="宋体" w:hAnsi="宋体" w:eastAsia="宋体" w:cs="宋体"/>
                <w:b w:val="0"/>
                <w:i w:val="0"/>
                <w:color w:val="000000"/>
                <w:sz w:val="17"/>
              </w:rPr>
              <w:t>——</w:t>
            </w:r>
          </w:p>
        </w:tc>
        <w:tc>
          <w:tcPr>
            <w:tcW w:w="1460" w:type="dxa"/>
            <w:vAlign w:val="center"/>
          </w:tcPr>
          <w:p w14:paraId="0320A1E4">
            <w:pPr>
              <w:jc w:val="center"/>
            </w:pPr>
            <w:r>
              <w:rPr>
                <w:rFonts w:ascii="宋体" w:hAnsi="宋体" w:eastAsia="宋体" w:cs="宋体"/>
                <w:b w:val="0"/>
                <w:i w:val="0"/>
                <w:color w:val="000000"/>
                <w:sz w:val="16"/>
              </w:rPr>
              <w:t>——</w:t>
            </w:r>
          </w:p>
        </w:tc>
        <w:tc>
          <w:tcPr>
            <w:tcW w:w="1586" w:type="dxa"/>
            <w:vAlign w:val="center"/>
          </w:tcPr>
          <w:p w14:paraId="12F72F8F"/>
        </w:tc>
      </w:tr>
      <w:tr w14:paraId="58C42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5195B7">
            <w:pPr>
              <w:jc w:val="left"/>
            </w:pPr>
            <w:r>
              <w:rPr>
                <w:rFonts w:ascii="宋体" w:hAnsi="宋体" w:eastAsia="宋体" w:cs="宋体"/>
                <w:b w:val="0"/>
                <w:i w:val="0"/>
                <w:color w:val="000000"/>
                <w:sz w:val="17"/>
              </w:rPr>
              <w:t>二、相关统计数</w:t>
            </w:r>
          </w:p>
        </w:tc>
        <w:tc>
          <w:tcPr>
            <w:tcW w:w="740" w:type="dxa"/>
            <w:vAlign w:val="center"/>
          </w:tcPr>
          <w:p w14:paraId="6FB82CA4">
            <w:pPr>
              <w:jc w:val="center"/>
            </w:pPr>
            <w:r>
              <w:rPr>
                <w:rFonts w:ascii="宋体" w:hAnsi="宋体" w:eastAsia="宋体" w:cs="宋体"/>
                <w:b w:val="0"/>
                <w:i w:val="0"/>
                <w:color w:val="000000"/>
                <w:sz w:val="17"/>
              </w:rPr>
              <w:t>10</w:t>
            </w:r>
          </w:p>
        </w:tc>
        <w:tc>
          <w:tcPr>
            <w:tcW w:w="1560" w:type="dxa"/>
            <w:vAlign w:val="center"/>
          </w:tcPr>
          <w:p w14:paraId="4F795CCE">
            <w:pPr>
              <w:jc w:val="center"/>
            </w:pPr>
            <w:r>
              <w:rPr>
                <w:rFonts w:ascii="宋体" w:hAnsi="宋体" w:eastAsia="宋体" w:cs="宋体"/>
                <w:b w:val="0"/>
                <w:i w:val="0"/>
                <w:color w:val="000000"/>
                <w:sz w:val="17"/>
              </w:rPr>
              <w:t>——</w:t>
            </w:r>
          </w:p>
        </w:tc>
        <w:tc>
          <w:tcPr>
            <w:tcW w:w="1460" w:type="dxa"/>
            <w:vAlign w:val="center"/>
          </w:tcPr>
          <w:p w14:paraId="55571B15">
            <w:pPr>
              <w:jc w:val="center"/>
            </w:pPr>
            <w:r>
              <w:rPr>
                <w:rFonts w:ascii="宋体" w:hAnsi="宋体" w:eastAsia="宋体" w:cs="宋体"/>
                <w:b w:val="0"/>
                <w:i w:val="0"/>
                <w:color w:val="000000"/>
                <w:sz w:val="16"/>
              </w:rPr>
              <w:t>——</w:t>
            </w:r>
          </w:p>
        </w:tc>
        <w:tc>
          <w:tcPr>
            <w:tcW w:w="1586" w:type="dxa"/>
            <w:vAlign w:val="center"/>
          </w:tcPr>
          <w:p w14:paraId="2FA69A0A">
            <w:pPr>
              <w:jc w:val="center"/>
            </w:pPr>
            <w:r>
              <w:rPr>
                <w:rFonts w:ascii="宋体" w:hAnsi="宋体" w:eastAsia="宋体" w:cs="宋体"/>
                <w:b w:val="0"/>
                <w:i w:val="0"/>
                <w:color w:val="000000"/>
                <w:sz w:val="17"/>
              </w:rPr>
              <w:t>——</w:t>
            </w:r>
          </w:p>
        </w:tc>
      </w:tr>
      <w:tr w14:paraId="41B47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8C2794">
            <w:pPr>
              <w:jc w:val="left"/>
            </w:pPr>
            <w:r>
              <w:rPr>
                <w:rFonts w:ascii="宋体" w:hAnsi="宋体" w:eastAsia="宋体" w:cs="宋体"/>
                <w:b w:val="0"/>
                <w:i w:val="0"/>
                <w:color w:val="000000"/>
                <w:sz w:val="17"/>
              </w:rPr>
              <w:t xml:space="preserve">  1.因公出国（境）团组数（个）</w:t>
            </w:r>
          </w:p>
        </w:tc>
        <w:tc>
          <w:tcPr>
            <w:tcW w:w="740" w:type="dxa"/>
            <w:vAlign w:val="center"/>
          </w:tcPr>
          <w:p w14:paraId="69B606AB">
            <w:pPr>
              <w:jc w:val="center"/>
            </w:pPr>
            <w:r>
              <w:rPr>
                <w:rFonts w:ascii="宋体" w:hAnsi="宋体" w:eastAsia="宋体" w:cs="宋体"/>
                <w:b w:val="0"/>
                <w:i w:val="0"/>
                <w:color w:val="000000"/>
                <w:sz w:val="17"/>
              </w:rPr>
              <w:t>11</w:t>
            </w:r>
          </w:p>
        </w:tc>
        <w:tc>
          <w:tcPr>
            <w:tcW w:w="1560" w:type="dxa"/>
            <w:vAlign w:val="center"/>
          </w:tcPr>
          <w:p w14:paraId="2A3F08DC">
            <w:pPr>
              <w:jc w:val="center"/>
            </w:pPr>
            <w:r>
              <w:rPr>
                <w:rFonts w:ascii="宋体" w:hAnsi="宋体" w:eastAsia="宋体" w:cs="宋体"/>
                <w:b w:val="0"/>
                <w:i w:val="0"/>
                <w:color w:val="000000"/>
                <w:sz w:val="17"/>
              </w:rPr>
              <w:t>——</w:t>
            </w:r>
          </w:p>
        </w:tc>
        <w:tc>
          <w:tcPr>
            <w:tcW w:w="1460" w:type="dxa"/>
            <w:vAlign w:val="center"/>
          </w:tcPr>
          <w:p w14:paraId="01B2D2E4">
            <w:pPr>
              <w:jc w:val="center"/>
            </w:pPr>
            <w:r>
              <w:rPr>
                <w:rFonts w:ascii="宋体" w:hAnsi="宋体" w:eastAsia="宋体" w:cs="宋体"/>
                <w:b w:val="0"/>
                <w:i w:val="0"/>
                <w:color w:val="000000"/>
                <w:sz w:val="16"/>
              </w:rPr>
              <w:t>——</w:t>
            </w:r>
          </w:p>
        </w:tc>
        <w:tc>
          <w:tcPr>
            <w:tcW w:w="1586" w:type="dxa"/>
            <w:vAlign w:val="center"/>
          </w:tcPr>
          <w:p w14:paraId="6D8E289B"/>
        </w:tc>
      </w:tr>
      <w:tr w14:paraId="3452E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B63EF8A">
            <w:pPr>
              <w:jc w:val="left"/>
            </w:pPr>
            <w:r>
              <w:rPr>
                <w:rFonts w:ascii="宋体" w:hAnsi="宋体" w:eastAsia="宋体" w:cs="宋体"/>
                <w:b w:val="0"/>
                <w:i w:val="0"/>
                <w:color w:val="000000"/>
                <w:sz w:val="17"/>
              </w:rPr>
              <w:t xml:space="preserve">  2.因公出国（境）人次数（人）</w:t>
            </w:r>
          </w:p>
        </w:tc>
        <w:tc>
          <w:tcPr>
            <w:tcW w:w="740" w:type="dxa"/>
            <w:vAlign w:val="center"/>
          </w:tcPr>
          <w:p w14:paraId="3D083B6E">
            <w:pPr>
              <w:jc w:val="center"/>
            </w:pPr>
            <w:r>
              <w:rPr>
                <w:rFonts w:ascii="宋体" w:hAnsi="宋体" w:eastAsia="宋体" w:cs="宋体"/>
                <w:b w:val="0"/>
                <w:i w:val="0"/>
                <w:color w:val="000000"/>
                <w:sz w:val="17"/>
              </w:rPr>
              <w:t>12</w:t>
            </w:r>
          </w:p>
        </w:tc>
        <w:tc>
          <w:tcPr>
            <w:tcW w:w="1560" w:type="dxa"/>
            <w:vAlign w:val="center"/>
          </w:tcPr>
          <w:p w14:paraId="18D9C102">
            <w:pPr>
              <w:jc w:val="center"/>
            </w:pPr>
            <w:r>
              <w:rPr>
                <w:rFonts w:ascii="宋体" w:hAnsi="宋体" w:eastAsia="宋体" w:cs="宋体"/>
                <w:b w:val="0"/>
                <w:i w:val="0"/>
                <w:color w:val="000000"/>
                <w:sz w:val="17"/>
              </w:rPr>
              <w:t>——</w:t>
            </w:r>
          </w:p>
        </w:tc>
        <w:tc>
          <w:tcPr>
            <w:tcW w:w="1460" w:type="dxa"/>
            <w:vAlign w:val="center"/>
          </w:tcPr>
          <w:p w14:paraId="4DC1ABE6">
            <w:pPr>
              <w:jc w:val="center"/>
            </w:pPr>
            <w:r>
              <w:rPr>
                <w:rFonts w:ascii="宋体" w:hAnsi="宋体" w:eastAsia="宋体" w:cs="宋体"/>
                <w:b w:val="0"/>
                <w:i w:val="0"/>
                <w:color w:val="000000"/>
                <w:sz w:val="16"/>
              </w:rPr>
              <w:t>——</w:t>
            </w:r>
          </w:p>
        </w:tc>
        <w:tc>
          <w:tcPr>
            <w:tcW w:w="1586" w:type="dxa"/>
            <w:vAlign w:val="center"/>
          </w:tcPr>
          <w:p w14:paraId="5E7E1326"/>
        </w:tc>
      </w:tr>
      <w:tr w14:paraId="2C4D1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E8376B">
            <w:pPr>
              <w:jc w:val="left"/>
            </w:pPr>
            <w:r>
              <w:rPr>
                <w:rFonts w:ascii="宋体" w:hAnsi="宋体" w:eastAsia="宋体" w:cs="宋体"/>
                <w:b w:val="0"/>
                <w:i w:val="0"/>
                <w:color w:val="000000"/>
                <w:sz w:val="17"/>
              </w:rPr>
              <w:t xml:space="preserve">  3.公务用车购置数（辆）</w:t>
            </w:r>
          </w:p>
        </w:tc>
        <w:tc>
          <w:tcPr>
            <w:tcW w:w="740" w:type="dxa"/>
            <w:vAlign w:val="center"/>
          </w:tcPr>
          <w:p w14:paraId="317B339F">
            <w:pPr>
              <w:jc w:val="center"/>
            </w:pPr>
            <w:r>
              <w:rPr>
                <w:rFonts w:ascii="宋体" w:hAnsi="宋体" w:eastAsia="宋体" w:cs="宋体"/>
                <w:b w:val="0"/>
                <w:i w:val="0"/>
                <w:color w:val="000000"/>
                <w:sz w:val="17"/>
              </w:rPr>
              <w:t>13</w:t>
            </w:r>
          </w:p>
        </w:tc>
        <w:tc>
          <w:tcPr>
            <w:tcW w:w="1560" w:type="dxa"/>
            <w:vAlign w:val="center"/>
          </w:tcPr>
          <w:p w14:paraId="4FD4F96F">
            <w:pPr>
              <w:jc w:val="center"/>
            </w:pPr>
            <w:r>
              <w:rPr>
                <w:rFonts w:ascii="宋体" w:hAnsi="宋体" w:eastAsia="宋体" w:cs="宋体"/>
                <w:b w:val="0"/>
                <w:i w:val="0"/>
                <w:color w:val="000000"/>
                <w:sz w:val="17"/>
              </w:rPr>
              <w:t>——</w:t>
            </w:r>
          </w:p>
        </w:tc>
        <w:tc>
          <w:tcPr>
            <w:tcW w:w="1460" w:type="dxa"/>
            <w:vAlign w:val="center"/>
          </w:tcPr>
          <w:p w14:paraId="00C33C17">
            <w:pPr>
              <w:jc w:val="center"/>
            </w:pPr>
            <w:r>
              <w:rPr>
                <w:rFonts w:ascii="宋体" w:hAnsi="宋体" w:eastAsia="宋体" w:cs="宋体"/>
                <w:b w:val="0"/>
                <w:i w:val="0"/>
                <w:color w:val="000000"/>
                <w:sz w:val="16"/>
              </w:rPr>
              <w:t>——</w:t>
            </w:r>
          </w:p>
        </w:tc>
        <w:tc>
          <w:tcPr>
            <w:tcW w:w="1586" w:type="dxa"/>
            <w:vAlign w:val="center"/>
          </w:tcPr>
          <w:p w14:paraId="29383825"/>
        </w:tc>
      </w:tr>
      <w:tr w14:paraId="034EE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8F2CFD">
            <w:pPr>
              <w:jc w:val="left"/>
            </w:pPr>
            <w:r>
              <w:rPr>
                <w:rFonts w:ascii="宋体" w:hAnsi="宋体" w:eastAsia="宋体" w:cs="宋体"/>
                <w:b w:val="0"/>
                <w:i w:val="0"/>
                <w:color w:val="000000"/>
                <w:sz w:val="17"/>
              </w:rPr>
              <w:t xml:space="preserve">  4.公务用车保有量（辆）</w:t>
            </w:r>
          </w:p>
        </w:tc>
        <w:tc>
          <w:tcPr>
            <w:tcW w:w="740" w:type="dxa"/>
            <w:vAlign w:val="center"/>
          </w:tcPr>
          <w:p w14:paraId="5F2B31B5">
            <w:pPr>
              <w:jc w:val="center"/>
            </w:pPr>
            <w:r>
              <w:rPr>
                <w:rFonts w:ascii="宋体" w:hAnsi="宋体" w:eastAsia="宋体" w:cs="宋体"/>
                <w:b w:val="0"/>
                <w:i w:val="0"/>
                <w:color w:val="000000"/>
                <w:sz w:val="17"/>
              </w:rPr>
              <w:t>14</w:t>
            </w:r>
          </w:p>
        </w:tc>
        <w:tc>
          <w:tcPr>
            <w:tcW w:w="1560" w:type="dxa"/>
            <w:vAlign w:val="center"/>
          </w:tcPr>
          <w:p w14:paraId="3FFFAC1D">
            <w:pPr>
              <w:jc w:val="center"/>
            </w:pPr>
            <w:r>
              <w:rPr>
                <w:rFonts w:ascii="宋体" w:hAnsi="宋体" w:eastAsia="宋体" w:cs="宋体"/>
                <w:b w:val="0"/>
                <w:i w:val="0"/>
                <w:color w:val="000000"/>
                <w:sz w:val="17"/>
              </w:rPr>
              <w:t>——</w:t>
            </w:r>
          </w:p>
        </w:tc>
        <w:tc>
          <w:tcPr>
            <w:tcW w:w="1460" w:type="dxa"/>
            <w:vAlign w:val="center"/>
          </w:tcPr>
          <w:p w14:paraId="0911EC85">
            <w:pPr>
              <w:jc w:val="center"/>
            </w:pPr>
            <w:r>
              <w:rPr>
                <w:rFonts w:ascii="宋体" w:hAnsi="宋体" w:eastAsia="宋体" w:cs="宋体"/>
                <w:b w:val="0"/>
                <w:i w:val="0"/>
                <w:color w:val="000000"/>
                <w:sz w:val="16"/>
              </w:rPr>
              <w:t>——</w:t>
            </w:r>
          </w:p>
        </w:tc>
        <w:tc>
          <w:tcPr>
            <w:tcW w:w="1586" w:type="dxa"/>
            <w:vAlign w:val="center"/>
          </w:tcPr>
          <w:p w14:paraId="5BC90F68">
            <w:pPr>
              <w:jc w:val="right"/>
            </w:pPr>
            <w:r>
              <w:rPr>
                <w:rFonts w:ascii="宋体" w:hAnsi="宋体" w:eastAsia="宋体" w:cs="宋体"/>
                <w:b w:val="0"/>
                <w:i w:val="0"/>
                <w:color w:val="000000"/>
                <w:sz w:val="17"/>
              </w:rPr>
              <w:t>9</w:t>
            </w:r>
          </w:p>
        </w:tc>
      </w:tr>
      <w:tr w14:paraId="41BC4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71E5D2">
            <w:pPr>
              <w:jc w:val="left"/>
            </w:pPr>
            <w:r>
              <w:rPr>
                <w:rFonts w:ascii="宋体" w:hAnsi="宋体" w:eastAsia="宋体" w:cs="宋体"/>
                <w:b w:val="0"/>
                <w:i w:val="0"/>
                <w:color w:val="000000"/>
                <w:sz w:val="17"/>
              </w:rPr>
              <w:t xml:space="preserve">  5.国内公务接待批次（个）</w:t>
            </w:r>
          </w:p>
        </w:tc>
        <w:tc>
          <w:tcPr>
            <w:tcW w:w="740" w:type="dxa"/>
            <w:vAlign w:val="center"/>
          </w:tcPr>
          <w:p w14:paraId="6C075722">
            <w:pPr>
              <w:jc w:val="center"/>
            </w:pPr>
            <w:r>
              <w:rPr>
                <w:rFonts w:ascii="宋体" w:hAnsi="宋体" w:eastAsia="宋体" w:cs="宋体"/>
                <w:b w:val="0"/>
                <w:i w:val="0"/>
                <w:color w:val="000000"/>
                <w:sz w:val="17"/>
              </w:rPr>
              <w:t>15</w:t>
            </w:r>
          </w:p>
        </w:tc>
        <w:tc>
          <w:tcPr>
            <w:tcW w:w="1560" w:type="dxa"/>
            <w:vAlign w:val="center"/>
          </w:tcPr>
          <w:p w14:paraId="6161BD84">
            <w:pPr>
              <w:jc w:val="center"/>
            </w:pPr>
            <w:r>
              <w:rPr>
                <w:rFonts w:ascii="宋体" w:hAnsi="宋体" w:eastAsia="宋体" w:cs="宋体"/>
                <w:b w:val="0"/>
                <w:i w:val="0"/>
                <w:color w:val="000000"/>
                <w:sz w:val="17"/>
              </w:rPr>
              <w:t>——</w:t>
            </w:r>
          </w:p>
        </w:tc>
        <w:tc>
          <w:tcPr>
            <w:tcW w:w="1460" w:type="dxa"/>
            <w:vAlign w:val="center"/>
          </w:tcPr>
          <w:p w14:paraId="218CFDF6">
            <w:pPr>
              <w:jc w:val="center"/>
            </w:pPr>
            <w:r>
              <w:rPr>
                <w:rFonts w:ascii="宋体" w:hAnsi="宋体" w:eastAsia="宋体" w:cs="宋体"/>
                <w:b w:val="0"/>
                <w:i w:val="0"/>
                <w:color w:val="000000"/>
                <w:sz w:val="16"/>
              </w:rPr>
              <w:t>——</w:t>
            </w:r>
          </w:p>
        </w:tc>
        <w:tc>
          <w:tcPr>
            <w:tcW w:w="1586" w:type="dxa"/>
            <w:vAlign w:val="center"/>
          </w:tcPr>
          <w:p w14:paraId="7232744F">
            <w:pPr>
              <w:jc w:val="right"/>
            </w:pPr>
            <w:r>
              <w:rPr>
                <w:rFonts w:ascii="宋体" w:hAnsi="宋体" w:eastAsia="宋体" w:cs="宋体"/>
                <w:b w:val="0"/>
                <w:i w:val="0"/>
                <w:color w:val="000000"/>
                <w:sz w:val="17"/>
              </w:rPr>
              <w:t>40</w:t>
            </w:r>
          </w:p>
        </w:tc>
      </w:tr>
      <w:tr w14:paraId="2572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7AD615">
            <w:pPr>
              <w:jc w:val="left"/>
            </w:pPr>
            <w:r>
              <w:rPr>
                <w:rFonts w:ascii="宋体" w:hAnsi="宋体" w:eastAsia="宋体" w:cs="宋体"/>
                <w:b w:val="0"/>
                <w:i w:val="0"/>
                <w:color w:val="000000"/>
                <w:sz w:val="17"/>
              </w:rPr>
              <w:t xml:space="preserve">    其中：外事接待批次（个）</w:t>
            </w:r>
          </w:p>
        </w:tc>
        <w:tc>
          <w:tcPr>
            <w:tcW w:w="740" w:type="dxa"/>
            <w:vAlign w:val="center"/>
          </w:tcPr>
          <w:p w14:paraId="5C715C7F">
            <w:pPr>
              <w:jc w:val="center"/>
            </w:pPr>
            <w:r>
              <w:rPr>
                <w:rFonts w:ascii="宋体" w:hAnsi="宋体" w:eastAsia="宋体" w:cs="宋体"/>
                <w:b w:val="0"/>
                <w:i w:val="0"/>
                <w:color w:val="000000"/>
                <w:sz w:val="17"/>
              </w:rPr>
              <w:t>16</w:t>
            </w:r>
          </w:p>
        </w:tc>
        <w:tc>
          <w:tcPr>
            <w:tcW w:w="1560" w:type="dxa"/>
            <w:vAlign w:val="center"/>
          </w:tcPr>
          <w:p w14:paraId="2559F48F">
            <w:pPr>
              <w:jc w:val="center"/>
            </w:pPr>
            <w:r>
              <w:rPr>
                <w:rFonts w:ascii="宋体" w:hAnsi="宋体" w:eastAsia="宋体" w:cs="宋体"/>
                <w:b w:val="0"/>
                <w:i w:val="0"/>
                <w:color w:val="000000"/>
                <w:sz w:val="17"/>
              </w:rPr>
              <w:t>——</w:t>
            </w:r>
          </w:p>
        </w:tc>
        <w:tc>
          <w:tcPr>
            <w:tcW w:w="1460" w:type="dxa"/>
            <w:vAlign w:val="center"/>
          </w:tcPr>
          <w:p w14:paraId="2F6B0CAA">
            <w:pPr>
              <w:jc w:val="center"/>
            </w:pPr>
            <w:r>
              <w:rPr>
                <w:rFonts w:ascii="宋体" w:hAnsi="宋体" w:eastAsia="宋体" w:cs="宋体"/>
                <w:b w:val="0"/>
                <w:i w:val="0"/>
                <w:color w:val="000000"/>
                <w:sz w:val="16"/>
              </w:rPr>
              <w:t>——</w:t>
            </w:r>
          </w:p>
        </w:tc>
        <w:tc>
          <w:tcPr>
            <w:tcW w:w="1586" w:type="dxa"/>
            <w:vAlign w:val="center"/>
          </w:tcPr>
          <w:p w14:paraId="07ADF7C0"/>
        </w:tc>
      </w:tr>
      <w:tr w14:paraId="73EC8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8AFC19">
            <w:pPr>
              <w:jc w:val="left"/>
            </w:pPr>
            <w:r>
              <w:rPr>
                <w:rFonts w:ascii="宋体" w:hAnsi="宋体" w:eastAsia="宋体" w:cs="宋体"/>
                <w:b w:val="0"/>
                <w:i w:val="0"/>
                <w:color w:val="000000"/>
                <w:sz w:val="17"/>
              </w:rPr>
              <w:t xml:space="preserve">  6.国内公务接待人次（人）</w:t>
            </w:r>
          </w:p>
        </w:tc>
        <w:tc>
          <w:tcPr>
            <w:tcW w:w="740" w:type="dxa"/>
            <w:vAlign w:val="center"/>
          </w:tcPr>
          <w:p w14:paraId="421F06E7">
            <w:pPr>
              <w:jc w:val="center"/>
            </w:pPr>
            <w:r>
              <w:rPr>
                <w:rFonts w:ascii="宋体" w:hAnsi="宋体" w:eastAsia="宋体" w:cs="宋体"/>
                <w:b w:val="0"/>
                <w:i w:val="0"/>
                <w:color w:val="000000"/>
                <w:sz w:val="17"/>
              </w:rPr>
              <w:t>17</w:t>
            </w:r>
          </w:p>
        </w:tc>
        <w:tc>
          <w:tcPr>
            <w:tcW w:w="1560" w:type="dxa"/>
            <w:vAlign w:val="center"/>
          </w:tcPr>
          <w:p w14:paraId="7995E7BC">
            <w:pPr>
              <w:jc w:val="center"/>
            </w:pPr>
            <w:r>
              <w:rPr>
                <w:rFonts w:ascii="宋体" w:hAnsi="宋体" w:eastAsia="宋体" w:cs="宋体"/>
                <w:b w:val="0"/>
                <w:i w:val="0"/>
                <w:color w:val="000000"/>
                <w:sz w:val="17"/>
              </w:rPr>
              <w:t>——</w:t>
            </w:r>
          </w:p>
        </w:tc>
        <w:tc>
          <w:tcPr>
            <w:tcW w:w="1460" w:type="dxa"/>
            <w:vAlign w:val="center"/>
          </w:tcPr>
          <w:p w14:paraId="6496B84F">
            <w:pPr>
              <w:jc w:val="center"/>
            </w:pPr>
            <w:r>
              <w:rPr>
                <w:rFonts w:ascii="宋体" w:hAnsi="宋体" w:eastAsia="宋体" w:cs="宋体"/>
                <w:b w:val="0"/>
                <w:i w:val="0"/>
                <w:color w:val="000000"/>
                <w:sz w:val="16"/>
              </w:rPr>
              <w:t>——</w:t>
            </w:r>
          </w:p>
        </w:tc>
        <w:tc>
          <w:tcPr>
            <w:tcW w:w="1586" w:type="dxa"/>
            <w:vAlign w:val="center"/>
          </w:tcPr>
          <w:p w14:paraId="2FA75963">
            <w:pPr>
              <w:jc w:val="right"/>
            </w:pPr>
            <w:r>
              <w:rPr>
                <w:rFonts w:ascii="宋体" w:hAnsi="宋体" w:eastAsia="宋体" w:cs="宋体"/>
                <w:b w:val="0"/>
                <w:i w:val="0"/>
                <w:color w:val="000000"/>
                <w:sz w:val="17"/>
              </w:rPr>
              <w:t>298</w:t>
            </w:r>
          </w:p>
        </w:tc>
      </w:tr>
      <w:tr w14:paraId="2DB5C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84873B">
            <w:pPr>
              <w:jc w:val="left"/>
            </w:pPr>
            <w:r>
              <w:rPr>
                <w:rFonts w:ascii="宋体" w:hAnsi="宋体" w:eastAsia="宋体" w:cs="宋体"/>
                <w:b w:val="0"/>
                <w:i w:val="0"/>
                <w:color w:val="000000"/>
                <w:sz w:val="17"/>
              </w:rPr>
              <w:t xml:space="preserve">    其中：外事接待人次（人）</w:t>
            </w:r>
          </w:p>
        </w:tc>
        <w:tc>
          <w:tcPr>
            <w:tcW w:w="740" w:type="dxa"/>
            <w:vAlign w:val="center"/>
          </w:tcPr>
          <w:p w14:paraId="034043CD">
            <w:pPr>
              <w:jc w:val="center"/>
            </w:pPr>
            <w:r>
              <w:rPr>
                <w:rFonts w:ascii="宋体" w:hAnsi="宋体" w:eastAsia="宋体" w:cs="宋体"/>
                <w:b w:val="0"/>
                <w:i w:val="0"/>
                <w:color w:val="000000"/>
                <w:sz w:val="17"/>
              </w:rPr>
              <w:t>18</w:t>
            </w:r>
          </w:p>
        </w:tc>
        <w:tc>
          <w:tcPr>
            <w:tcW w:w="1560" w:type="dxa"/>
            <w:vAlign w:val="center"/>
          </w:tcPr>
          <w:p w14:paraId="4D3E1183">
            <w:pPr>
              <w:jc w:val="center"/>
            </w:pPr>
            <w:r>
              <w:rPr>
                <w:rFonts w:ascii="宋体" w:hAnsi="宋体" w:eastAsia="宋体" w:cs="宋体"/>
                <w:b w:val="0"/>
                <w:i w:val="0"/>
                <w:color w:val="000000"/>
                <w:sz w:val="17"/>
              </w:rPr>
              <w:t>——</w:t>
            </w:r>
          </w:p>
        </w:tc>
        <w:tc>
          <w:tcPr>
            <w:tcW w:w="1460" w:type="dxa"/>
            <w:vAlign w:val="center"/>
          </w:tcPr>
          <w:p w14:paraId="23DC117B">
            <w:pPr>
              <w:jc w:val="center"/>
            </w:pPr>
            <w:r>
              <w:rPr>
                <w:rFonts w:ascii="宋体" w:hAnsi="宋体" w:eastAsia="宋体" w:cs="宋体"/>
                <w:b w:val="0"/>
                <w:i w:val="0"/>
                <w:color w:val="000000"/>
                <w:sz w:val="16"/>
              </w:rPr>
              <w:t>——</w:t>
            </w:r>
          </w:p>
        </w:tc>
        <w:tc>
          <w:tcPr>
            <w:tcW w:w="1586" w:type="dxa"/>
            <w:vAlign w:val="center"/>
          </w:tcPr>
          <w:p w14:paraId="5E0431EC"/>
        </w:tc>
      </w:tr>
      <w:tr w14:paraId="1165B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C7A32A">
            <w:pPr>
              <w:jc w:val="left"/>
            </w:pPr>
            <w:r>
              <w:rPr>
                <w:rFonts w:ascii="宋体" w:hAnsi="宋体" w:eastAsia="宋体" w:cs="宋体"/>
                <w:b w:val="0"/>
                <w:i w:val="0"/>
                <w:color w:val="000000"/>
                <w:sz w:val="17"/>
              </w:rPr>
              <w:t xml:space="preserve">  7.国（境）外公务接待批次（个）</w:t>
            </w:r>
          </w:p>
        </w:tc>
        <w:tc>
          <w:tcPr>
            <w:tcW w:w="740" w:type="dxa"/>
            <w:vAlign w:val="center"/>
          </w:tcPr>
          <w:p w14:paraId="55DABF2A">
            <w:pPr>
              <w:jc w:val="center"/>
            </w:pPr>
            <w:r>
              <w:rPr>
                <w:rFonts w:ascii="宋体" w:hAnsi="宋体" w:eastAsia="宋体" w:cs="宋体"/>
                <w:b w:val="0"/>
                <w:i w:val="0"/>
                <w:color w:val="000000"/>
                <w:sz w:val="17"/>
              </w:rPr>
              <w:t>19</w:t>
            </w:r>
          </w:p>
        </w:tc>
        <w:tc>
          <w:tcPr>
            <w:tcW w:w="1560" w:type="dxa"/>
            <w:vAlign w:val="center"/>
          </w:tcPr>
          <w:p w14:paraId="08D56EC2">
            <w:pPr>
              <w:jc w:val="center"/>
            </w:pPr>
            <w:r>
              <w:rPr>
                <w:rFonts w:ascii="宋体" w:hAnsi="宋体" w:eastAsia="宋体" w:cs="宋体"/>
                <w:b w:val="0"/>
                <w:i w:val="0"/>
                <w:color w:val="000000"/>
                <w:sz w:val="17"/>
              </w:rPr>
              <w:t>——</w:t>
            </w:r>
          </w:p>
        </w:tc>
        <w:tc>
          <w:tcPr>
            <w:tcW w:w="1460" w:type="dxa"/>
            <w:vAlign w:val="center"/>
          </w:tcPr>
          <w:p w14:paraId="5FF6DA5A">
            <w:pPr>
              <w:jc w:val="center"/>
            </w:pPr>
            <w:r>
              <w:rPr>
                <w:rFonts w:ascii="宋体" w:hAnsi="宋体" w:eastAsia="宋体" w:cs="宋体"/>
                <w:b w:val="0"/>
                <w:i w:val="0"/>
                <w:color w:val="000000"/>
                <w:sz w:val="16"/>
              </w:rPr>
              <w:t>——</w:t>
            </w:r>
          </w:p>
        </w:tc>
        <w:tc>
          <w:tcPr>
            <w:tcW w:w="1586" w:type="dxa"/>
            <w:vAlign w:val="center"/>
          </w:tcPr>
          <w:p w14:paraId="46073109"/>
        </w:tc>
      </w:tr>
      <w:tr w14:paraId="17EB8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359EBD">
            <w:pPr>
              <w:jc w:val="left"/>
            </w:pPr>
            <w:r>
              <w:rPr>
                <w:rFonts w:ascii="宋体" w:hAnsi="宋体" w:eastAsia="宋体" w:cs="宋体"/>
                <w:b w:val="0"/>
                <w:i w:val="0"/>
                <w:color w:val="000000"/>
                <w:sz w:val="17"/>
              </w:rPr>
              <w:t xml:space="preserve">  8.国（境）外公务接待人次（人）</w:t>
            </w:r>
          </w:p>
        </w:tc>
        <w:tc>
          <w:tcPr>
            <w:tcW w:w="740" w:type="dxa"/>
            <w:vAlign w:val="center"/>
          </w:tcPr>
          <w:p w14:paraId="4356B669">
            <w:pPr>
              <w:jc w:val="center"/>
            </w:pPr>
            <w:r>
              <w:rPr>
                <w:rFonts w:ascii="宋体" w:hAnsi="宋体" w:eastAsia="宋体" w:cs="宋体"/>
                <w:b w:val="0"/>
                <w:i w:val="0"/>
                <w:color w:val="000000"/>
                <w:sz w:val="17"/>
              </w:rPr>
              <w:t>20</w:t>
            </w:r>
          </w:p>
        </w:tc>
        <w:tc>
          <w:tcPr>
            <w:tcW w:w="1560" w:type="dxa"/>
            <w:vAlign w:val="center"/>
          </w:tcPr>
          <w:p w14:paraId="31080B0A">
            <w:pPr>
              <w:jc w:val="center"/>
            </w:pPr>
            <w:r>
              <w:rPr>
                <w:rFonts w:ascii="宋体" w:hAnsi="宋体" w:eastAsia="宋体" w:cs="宋体"/>
                <w:b w:val="0"/>
                <w:i w:val="0"/>
                <w:color w:val="000000"/>
                <w:sz w:val="17"/>
              </w:rPr>
              <w:t>——</w:t>
            </w:r>
          </w:p>
        </w:tc>
        <w:tc>
          <w:tcPr>
            <w:tcW w:w="1460" w:type="dxa"/>
            <w:vAlign w:val="center"/>
          </w:tcPr>
          <w:p w14:paraId="42130801">
            <w:pPr>
              <w:jc w:val="center"/>
            </w:pPr>
            <w:r>
              <w:rPr>
                <w:rFonts w:ascii="宋体" w:hAnsi="宋体" w:eastAsia="宋体" w:cs="宋体"/>
                <w:b w:val="0"/>
                <w:i w:val="0"/>
                <w:color w:val="000000"/>
                <w:sz w:val="16"/>
              </w:rPr>
              <w:t>——</w:t>
            </w:r>
          </w:p>
        </w:tc>
        <w:tc>
          <w:tcPr>
            <w:tcW w:w="1586" w:type="dxa"/>
            <w:vAlign w:val="center"/>
          </w:tcPr>
          <w:p w14:paraId="4DAC8BC6"/>
        </w:tc>
      </w:tr>
      <w:tr w14:paraId="53274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3095C951">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A225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72ED072">
            <w:pPr>
              <w:jc w:val="left"/>
            </w:pPr>
            <w:r>
              <w:rPr>
                <w:rFonts w:ascii="宋体" w:hAnsi="宋体" w:eastAsia="宋体" w:cs="宋体"/>
                <w:b w:val="0"/>
                <w:i w:val="0"/>
                <w:color w:val="000000"/>
                <w:sz w:val="17"/>
              </w:rPr>
              <w:t xml:space="preserve">   2.当此表数据为空，即本部门（单位）无财政拨款“三公”经费支出</w:t>
            </w:r>
          </w:p>
        </w:tc>
      </w:tr>
    </w:tbl>
    <w:p w14:paraId="6C7259F9">
      <w:pPr>
        <w:snapToGrid w:val="0"/>
        <w:spacing w:before="200" w:after="200" w:line="200" w:lineRule="auto"/>
      </w:pPr>
      <w:r>
        <w:rPr>
          <w:sz w:val="8"/>
        </w:rPr>
        <w:t xml:space="preserve"> </w:t>
      </w:r>
    </w:p>
    <w:p w14:paraId="730AF53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7AA37C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F5F563C">
            <w:pPr>
              <w:jc w:val="right"/>
            </w:pPr>
            <w:r>
              <w:rPr>
                <w:rFonts w:hint="eastAsia" w:ascii="宋体" w:hAnsi="宋体" w:eastAsia="宋体" w:cs="宋体"/>
                <w:sz w:val="20"/>
                <w:lang w:eastAsia="zh-CN"/>
              </w:rPr>
              <w:t>公开</w:t>
            </w:r>
            <w:r>
              <w:rPr>
                <w:rFonts w:ascii="宋体" w:hAnsi="宋体" w:eastAsia="宋体" w:cs="宋体"/>
                <w:sz w:val="20"/>
              </w:rPr>
              <w:t>10表</w:t>
            </w:r>
          </w:p>
        </w:tc>
      </w:tr>
      <w:tr w14:paraId="2A58F4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7219316">
            <w:pPr>
              <w:jc w:val="left"/>
            </w:pPr>
            <w:r>
              <w:rPr>
                <w:rFonts w:ascii="宋体" w:hAnsi="宋体" w:eastAsia="宋体" w:cs="宋体"/>
                <w:sz w:val="20"/>
              </w:rPr>
              <w:t>部门：</w:t>
            </w:r>
            <w:r>
              <w:rPr>
                <w:rFonts w:hint="eastAsia" w:ascii="宋体" w:hAnsi="宋体" w:eastAsia="宋体" w:cs="宋体"/>
                <w:b w:val="0"/>
                <w:i w:val="0"/>
                <w:color w:val="000000"/>
                <w:sz w:val="20"/>
              </w:rPr>
              <w:t>浮梁县市场监督管理局</w:t>
            </w:r>
          </w:p>
        </w:tc>
        <w:tc>
          <w:tcPr>
            <w:tcW w:w="2000" w:type="dxa"/>
            <w:shd w:val="clear" w:color="auto" w:fill="auto"/>
            <w:noWrap w:val="0"/>
            <w:vAlign w:val="top"/>
          </w:tcPr>
          <w:p w14:paraId="7245A66A">
            <w:pPr>
              <w:jc w:val="center"/>
            </w:pPr>
            <w:r>
              <w:rPr>
                <w:rFonts w:ascii="宋体" w:hAnsi="宋体" w:eastAsia="宋体" w:cs="宋体"/>
                <w:sz w:val="20"/>
              </w:rPr>
              <w:t>2023年度</w:t>
            </w:r>
          </w:p>
        </w:tc>
        <w:tc>
          <w:tcPr>
            <w:tcW w:w="3772" w:type="dxa"/>
            <w:gridSpan w:val="3"/>
            <w:shd w:val="clear" w:color="auto" w:fill="auto"/>
            <w:noWrap w:val="0"/>
            <w:vAlign w:val="top"/>
          </w:tcPr>
          <w:p w14:paraId="0E79C82A">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38FA6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17AA692">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9D64B19">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0B91704">
            <w:pPr>
              <w:jc w:val="center"/>
            </w:pPr>
            <w:r>
              <w:rPr>
                <w:rFonts w:ascii="宋体" w:hAnsi="宋体" w:eastAsia="宋体" w:cs="宋体"/>
                <w:b w:val="0"/>
                <w:i w:val="0"/>
                <w:color w:val="000000"/>
                <w:sz w:val="20"/>
              </w:rPr>
              <w:t>决算数</w:t>
            </w:r>
          </w:p>
        </w:tc>
      </w:tr>
      <w:tr w14:paraId="4C9EC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BC64E4">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44E857D8">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87B22BC">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9</w:t>
            </w:r>
          </w:p>
        </w:tc>
      </w:tr>
      <w:tr w14:paraId="0FB93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ABBC4A">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B7DFAAA">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E404582">
            <w:pPr>
              <w:jc w:val="right"/>
            </w:pPr>
            <w:r>
              <w:rPr>
                <w:rFonts w:hint="eastAsia" w:ascii="宋体" w:hAnsi="宋体" w:eastAsia="宋体" w:cs="宋体"/>
                <w:b w:val="0"/>
                <w:i w:val="0"/>
                <w:color w:val="000000"/>
                <w:sz w:val="20"/>
              </w:rPr>
              <w:t>0</w:t>
            </w:r>
          </w:p>
        </w:tc>
      </w:tr>
      <w:tr w14:paraId="6F6FE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43D950">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3C529A5">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66B4EEF">
            <w:pPr>
              <w:jc w:val="right"/>
            </w:pPr>
            <w:r>
              <w:rPr>
                <w:rFonts w:hint="eastAsia" w:ascii="宋体" w:hAnsi="宋体" w:eastAsia="宋体" w:cs="宋体"/>
                <w:b w:val="0"/>
                <w:i w:val="0"/>
                <w:color w:val="000000"/>
                <w:sz w:val="20"/>
              </w:rPr>
              <w:t>0</w:t>
            </w:r>
          </w:p>
        </w:tc>
      </w:tr>
      <w:tr w14:paraId="40186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28FF35A">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4DF6B6E7">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223D059">
            <w:pPr>
              <w:jc w:val="right"/>
            </w:pPr>
            <w:r>
              <w:rPr>
                <w:rFonts w:hint="eastAsia" w:ascii="宋体" w:hAnsi="宋体" w:eastAsia="宋体" w:cs="宋体"/>
                <w:b w:val="0"/>
                <w:i w:val="0"/>
                <w:color w:val="000000"/>
                <w:sz w:val="20"/>
              </w:rPr>
              <w:t>0</w:t>
            </w:r>
          </w:p>
        </w:tc>
      </w:tr>
      <w:tr w14:paraId="28DD5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4381D59">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664DC71D">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FC66319">
            <w:pPr>
              <w:jc w:val="right"/>
            </w:pPr>
            <w:r>
              <w:rPr>
                <w:rFonts w:hint="eastAsia" w:ascii="宋体" w:hAnsi="宋体" w:eastAsia="宋体" w:cs="宋体"/>
                <w:b w:val="0"/>
                <w:i w:val="0"/>
                <w:color w:val="000000"/>
                <w:sz w:val="20"/>
              </w:rPr>
              <w:t>0</w:t>
            </w:r>
          </w:p>
        </w:tc>
      </w:tr>
      <w:tr w14:paraId="2B72B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C1859AB">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A60EBAF">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B085DD2">
            <w:pPr>
              <w:jc w:val="right"/>
            </w:pPr>
            <w:r>
              <w:rPr>
                <w:rFonts w:hint="eastAsia" w:ascii="宋体" w:hAnsi="宋体" w:eastAsia="宋体" w:cs="宋体"/>
                <w:b w:val="0"/>
                <w:i w:val="0"/>
                <w:color w:val="000000"/>
                <w:sz w:val="20"/>
              </w:rPr>
              <w:t>9</w:t>
            </w:r>
          </w:p>
        </w:tc>
      </w:tr>
      <w:tr w14:paraId="65D0A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EAFB4FD">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0B42174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4302A408">
            <w:pPr>
              <w:jc w:val="right"/>
            </w:pPr>
            <w:r>
              <w:rPr>
                <w:rFonts w:hint="eastAsia" w:ascii="宋体" w:hAnsi="宋体" w:eastAsia="宋体" w:cs="宋体"/>
                <w:b w:val="0"/>
                <w:i w:val="0"/>
                <w:color w:val="000000"/>
                <w:sz w:val="20"/>
              </w:rPr>
              <w:t>0</w:t>
            </w:r>
          </w:p>
        </w:tc>
      </w:tr>
      <w:tr w14:paraId="69F5A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A7D770">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8829CAB">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3AD7BED4">
            <w:pPr>
              <w:jc w:val="right"/>
            </w:pPr>
            <w:r>
              <w:rPr>
                <w:rFonts w:hint="eastAsia" w:ascii="宋体" w:hAnsi="宋体" w:eastAsia="宋体" w:cs="宋体"/>
                <w:b w:val="0"/>
                <w:i w:val="0"/>
                <w:color w:val="000000"/>
                <w:sz w:val="20"/>
              </w:rPr>
              <w:t>0</w:t>
            </w:r>
          </w:p>
        </w:tc>
      </w:tr>
      <w:tr w14:paraId="08151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EAFB19C">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182B6FE">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12D9D82A">
            <w:pPr>
              <w:jc w:val="right"/>
            </w:pPr>
            <w:r>
              <w:rPr>
                <w:rFonts w:hint="eastAsia" w:ascii="宋体" w:hAnsi="宋体" w:eastAsia="宋体" w:cs="宋体"/>
                <w:b w:val="0"/>
                <w:i w:val="0"/>
                <w:color w:val="000000"/>
                <w:sz w:val="20"/>
              </w:rPr>
              <w:t>0</w:t>
            </w:r>
          </w:p>
        </w:tc>
      </w:tr>
      <w:tr w14:paraId="37E28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76FE1C3">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71734DA4">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143F516">
            <w:pPr>
              <w:jc w:val="right"/>
            </w:pPr>
            <w:r>
              <w:rPr>
                <w:rFonts w:hint="eastAsia" w:ascii="宋体" w:hAnsi="宋体" w:eastAsia="宋体" w:cs="宋体"/>
                <w:b w:val="0"/>
                <w:i w:val="0"/>
                <w:color w:val="000000"/>
                <w:sz w:val="20"/>
              </w:rPr>
              <w:t>0</w:t>
            </w:r>
          </w:p>
        </w:tc>
      </w:tr>
      <w:tr w14:paraId="38589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16FBFDCF">
            <w:pPr>
              <w:jc w:val="left"/>
            </w:pPr>
            <w:r>
              <w:rPr>
                <w:rFonts w:ascii="宋体" w:hAnsi="宋体" w:eastAsia="宋体" w:cs="宋体"/>
                <w:b w:val="0"/>
                <w:i w:val="0"/>
                <w:color w:val="000000"/>
                <w:sz w:val="20"/>
              </w:rPr>
              <w:t>注：1.本表反映截止2023年12月31日，部门(单位)占用的国有资产情况。</w:t>
            </w:r>
          </w:p>
          <w:p w14:paraId="5FEF9AAE">
            <w:pPr>
              <w:jc w:val="left"/>
            </w:pPr>
            <w:r>
              <w:rPr>
                <w:rFonts w:ascii="宋体" w:hAnsi="宋体" w:eastAsia="宋体" w:cs="宋体"/>
                <w:b w:val="0"/>
                <w:i w:val="0"/>
                <w:color w:val="000000"/>
                <w:sz w:val="20"/>
              </w:rPr>
              <w:t xml:space="preserve">    2.当本表数据为空时，即本部门（单位）无相关资产。</w:t>
            </w:r>
          </w:p>
        </w:tc>
      </w:tr>
    </w:tbl>
    <w:p w14:paraId="3C4564D8">
      <w:pPr>
        <w:bidi w:val="0"/>
        <w:rPr>
          <w:rFonts w:hint="eastAsia"/>
        </w:rPr>
      </w:pPr>
    </w:p>
    <w:p w14:paraId="61B39C25">
      <w:pPr>
        <w:bidi w:val="0"/>
        <w:rPr>
          <w:rFonts w:hint="eastAsia"/>
        </w:rPr>
      </w:pPr>
    </w:p>
    <w:p w14:paraId="34980F5E">
      <w:pPr>
        <w:bidi w:val="0"/>
        <w:rPr>
          <w:rFonts w:hint="eastAsia"/>
        </w:rPr>
      </w:pPr>
    </w:p>
    <w:p w14:paraId="348DF00F">
      <w:pPr>
        <w:bidi w:val="0"/>
        <w:rPr>
          <w:rFonts w:hint="eastAsia"/>
        </w:rPr>
      </w:pPr>
    </w:p>
    <w:p w14:paraId="1F7756F4">
      <w:pPr>
        <w:bidi w:val="0"/>
        <w:rPr>
          <w:rFonts w:hint="eastAsia"/>
        </w:rPr>
      </w:pPr>
    </w:p>
    <w:p w14:paraId="2F4A223A">
      <w:pPr>
        <w:bidi w:val="0"/>
        <w:rPr>
          <w:rFonts w:hint="eastAsia"/>
        </w:rPr>
      </w:pPr>
    </w:p>
    <w:p w14:paraId="2CC69BC7">
      <w:pPr>
        <w:bidi w:val="0"/>
        <w:rPr>
          <w:rFonts w:hint="eastAsia"/>
        </w:rPr>
      </w:pPr>
    </w:p>
    <w:p w14:paraId="66FFE901">
      <w:pPr>
        <w:bidi w:val="0"/>
        <w:rPr>
          <w:rFonts w:hint="eastAsia"/>
        </w:rPr>
      </w:pPr>
    </w:p>
    <w:p w14:paraId="3893DAD0">
      <w:pPr>
        <w:bidi w:val="0"/>
        <w:rPr>
          <w:rFonts w:hint="eastAsia"/>
        </w:rPr>
      </w:pPr>
    </w:p>
    <w:p w14:paraId="54DF9F6D">
      <w:pPr>
        <w:bidi w:val="0"/>
        <w:rPr>
          <w:rFonts w:hint="eastAsia"/>
        </w:rPr>
      </w:pPr>
    </w:p>
    <w:p w14:paraId="13306294">
      <w:pPr>
        <w:bidi w:val="0"/>
        <w:rPr>
          <w:rFonts w:hint="eastAsia"/>
        </w:rPr>
      </w:pPr>
    </w:p>
    <w:p w14:paraId="7C57215F">
      <w:pPr>
        <w:bidi w:val="0"/>
        <w:rPr>
          <w:rFonts w:hint="eastAsia"/>
        </w:rPr>
      </w:pPr>
    </w:p>
    <w:p w14:paraId="64DD589F">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CB5BC0F">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0BB01623">
      <w:pPr>
        <w:ind w:firstLine="630"/>
        <w:jc w:val="left"/>
        <w:rPr>
          <w:rFonts w:hint="eastAsia" w:ascii="仿宋_GB2312" w:hAnsi="仿宋_GB2312" w:eastAsia="仿宋_GB2312"/>
          <w:sz w:val="30"/>
          <w:szCs w:val="30"/>
        </w:rPr>
      </w:pPr>
    </w:p>
    <w:p w14:paraId="54D05E44">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46743DDE">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000000" w:themeColor="text1"/>
          <w:sz w:val="32"/>
          <w:szCs w:val="32"/>
          <w14:textFill>
            <w14:solidFill>
              <w14:schemeClr w14:val="tx1"/>
            </w14:solidFill>
          </w14:textFill>
        </w:rPr>
        <w:t>本部门2023年度收入</w:t>
      </w:r>
      <w:r>
        <w:rPr>
          <w:rFonts w:hint="eastAsia" w:ascii="仿宋_GB2312" w:hAnsi="仿宋_GB2312" w:eastAsia="仿宋_GB2312"/>
          <w:color w:val="000000" w:themeColor="text1"/>
          <w:sz w:val="32"/>
          <w:szCs w:val="32"/>
          <w:lang w:eastAsia="zh-CN"/>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2239.13</w:t>
      </w:r>
      <w:r>
        <w:rPr>
          <w:rFonts w:hint="eastAsia" w:ascii="仿宋_GB2312" w:hAns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olor w:val="000000" w:themeColor="text1"/>
          <w:sz w:val="32"/>
          <w:szCs w:val="32"/>
          <w:lang w:eastAsia="zh-CN"/>
          <w14:textFill>
            <w14:solidFill>
              <w14:schemeClr w14:val="tx1"/>
            </w14:solidFill>
          </w14:textFill>
        </w:rPr>
        <w:t>，年末决算数为</w:t>
      </w:r>
      <w:r>
        <w:rPr>
          <w:rFonts w:hint="eastAsia" w:ascii="仿宋_GB2312" w:hAnsi="仿宋_GB2312" w:eastAsia="仿宋_GB2312"/>
          <w:color w:val="000000" w:themeColor="text1"/>
          <w:sz w:val="32"/>
          <w:szCs w:val="32"/>
          <w14:textFill>
            <w14:solidFill>
              <w14:schemeClr w14:val="tx1"/>
            </w14:solidFill>
          </w14:textFill>
        </w:rPr>
        <w:t>2345.25万元，</w:t>
      </w:r>
      <w:r>
        <w:rPr>
          <w:rFonts w:hint="eastAsia" w:ascii="仿宋_GB2312" w:hAnsi="仿宋_GB2312" w:eastAsia="仿宋_GB2312"/>
          <w:color w:val="000000" w:themeColor="text1"/>
          <w:sz w:val="32"/>
          <w:szCs w:val="32"/>
          <w:lang w:eastAsia="zh-CN"/>
          <w14:textFill>
            <w14:solidFill>
              <w14:schemeClr w14:val="tx1"/>
            </w14:solidFill>
          </w14:textFill>
        </w:rPr>
        <w:t>完成全年预算的</w:t>
      </w:r>
      <w:r>
        <w:rPr>
          <w:rFonts w:hint="eastAsia" w:ascii="仿宋_GB2312" w:hAnsi="仿宋_GB2312" w:eastAsia="仿宋_GB2312"/>
          <w:color w:val="000000" w:themeColor="text1"/>
          <w:sz w:val="32"/>
          <w:szCs w:val="32"/>
          <w:lang w:val="en-US" w:eastAsia="zh-CN"/>
          <w14:textFill>
            <w14:solidFill>
              <w14:schemeClr w14:val="tx1"/>
            </w14:solidFill>
          </w14:textFill>
        </w:rPr>
        <w:t>104.74%，</w:t>
      </w:r>
      <w:r>
        <w:rPr>
          <w:rFonts w:hint="eastAsia" w:ascii="仿宋_GB2312" w:hAnsi="仿宋_GB2312" w:eastAsia="仿宋_GB2312"/>
          <w:sz w:val="32"/>
          <w:szCs w:val="32"/>
          <w:lang w:eastAsia="zh-CN"/>
        </w:rPr>
        <w:t>主要原因为人员调资等。</w:t>
      </w:r>
      <w:r>
        <w:rPr>
          <w:rFonts w:hint="eastAsia" w:ascii="仿宋_GB2312" w:hAnsi="仿宋_GB2312" w:eastAsia="仿宋_GB2312"/>
          <w:sz w:val="32"/>
          <w:szCs w:val="32"/>
        </w:rPr>
        <w:t>其中年初结转和结余0.00万元，与上年持平；使用非财政拨款结余和专用结余0.00万元，与上年持平；本年收入合计2345.25万</w:t>
      </w:r>
      <w:r>
        <w:rPr>
          <w:rFonts w:hint="eastAsia" w:ascii="仿宋_GB2312" w:hAnsi="仿宋_GB2312" w:eastAsia="仿宋_GB2312"/>
          <w:color w:val="auto"/>
          <w:sz w:val="32"/>
          <w:szCs w:val="32"/>
        </w:rPr>
        <w:t>元，比上年增加30.85万元</w:t>
      </w:r>
      <w:r>
        <w:rPr>
          <w:rFonts w:hint="eastAsia" w:ascii="仿宋_GB2312" w:hAnsi="仿宋_GB2312" w:eastAsia="仿宋_GB2312" w:cs="Times New Roman"/>
          <w:color w:val="auto"/>
          <w:sz w:val="32"/>
          <w:szCs w:val="32"/>
        </w:rPr>
        <w:t>，增长1.33%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人员工资调整等</w:t>
      </w:r>
      <w:r>
        <w:rPr>
          <w:rFonts w:hint="eastAsia" w:ascii="仿宋_GB2312" w:hAnsi="仿宋_GB2312" w:eastAsia="仿宋_GB2312"/>
          <w:color w:val="auto"/>
          <w:sz w:val="32"/>
          <w:szCs w:val="32"/>
        </w:rPr>
        <w:t>。</w:t>
      </w:r>
    </w:p>
    <w:p w14:paraId="2C0F023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本年收入的具体构成：财政拨款收入2345.25万元，占100.00%；事业收入0.00万元，占0.00%；经营收入0.00万元，占0.00%；上级补助收入0.00万元，占0.00%；附属单位上缴收入0.00万元，占0.00%；其他收入0.00万元，占0.00%。  </w:t>
      </w:r>
    </w:p>
    <w:p w14:paraId="766073A0">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67AC421B">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000000" w:themeColor="text1"/>
          <w:sz w:val="32"/>
          <w:szCs w:val="32"/>
          <w14:textFill>
            <w14:solidFill>
              <w14:schemeClr w14:val="tx1"/>
            </w14:solidFill>
          </w14:textFill>
        </w:rPr>
        <w:t>本部门2023年度支出年初预算</w:t>
      </w:r>
      <w:r>
        <w:rPr>
          <w:rFonts w:hint="eastAsia" w:ascii="仿宋_GB2312" w:hAnsi="仿宋_GB2312" w:eastAsia="仿宋_GB2312"/>
          <w:color w:val="000000" w:themeColor="text1"/>
          <w:sz w:val="32"/>
          <w:szCs w:val="32"/>
          <w:lang w:eastAsia="zh-CN"/>
          <w14:textFill>
            <w14:solidFill>
              <w14:schemeClr w14:val="tx1"/>
            </w14:solidFill>
          </w14:textFill>
        </w:rPr>
        <w:t>为</w:t>
      </w:r>
      <w:r>
        <w:rPr>
          <w:rFonts w:hint="eastAsia" w:ascii="仿宋_GB2312" w:hAnsi="仿宋_GB2312" w:eastAsia="仿宋_GB2312"/>
          <w:color w:val="000000" w:themeColor="text1"/>
          <w:sz w:val="32"/>
          <w:szCs w:val="32"/>
          <w:lang w:val="en-US" w:eastAsia="zh-CN"/>
          <w14:textFill>
            <w14:solidFill>
              <w14:schemeClr w14:val="tx1"/>
            </w14:solidFill>
          </w14:textFill>
        </w:rPr>
        <w:t>2239.13万元，</w:t>
      </w:r>
      <w:r>
        <w:rPr>
          <w:rFonts w:hint="eastAsia" w:ascii="仿宋_GB2312" w:hAnsi="仿宋_GB2312" w:eastAsia="仿宋_GB2312"/>
          <w:color w:val="000000" w:themeColor="text1"/>
          <w:sz w:val="32"/>
          <w:szCs w:val="32"/>
          <w:lang w:eastAsia="zh-CN"/>
          <w14:textFill>
            <w14:solidFill>
              <w14:schemeClr w14:val="tx1"/>
            </w14:solidFill>
          </w14:textFill>
        </w:rPr>
        <w:t>年末决算数为</w:t>
      </w:r>
      <w:r>
        <w:rPr>
          <w:rFonts w:hint="eastAsia" w:ascii="仿宋_GB2312" w:hAnsi="仿宋_GB2312" w:eastAsia="仿宋_GB2312"/>
          <w:color w:val="000000" w:themeColor="text1"/>
          <w:sz w:val="32"/>
          <w:szCs w:val="32"/>
          <w14:textFill>
            <w14:solidFill>
              <w14:schemeClr w14:val="tx1"/>
            </w14:solidFill>
          </w14:textFill>
        </w:rPr>
        <w:t>2345.25万元，完成全年预算的104.74%，</w:t>
      </w:r>
      <w:r>
        <w:rPr>
          <w:rFonts w:hint="eastAsia" w:ascii="仿宋_GB2312" w:hAnsi="仿宋_GB2312" w:eastAsia="仿宋_GB2312"/>
          <w:sz w:val="32"/>
          <w:szCs w:val="32"/>
          <w:lang w:eastAsia="zh-CN"/>
        </w:rPr>
        <w:t>主要原因为人员调资。决算数</w:t>
      </w:r>
      <w:r>
        <w:rPr>
          <w:rFonts w:hint="eastAsia" w:ascii="仿宋_GB2312" w:hAnsi="仿宋_GB2312" w:eastAsia="仿宋_GB2312"/>
          <w:sz w:val="32"/>
          <w:szCs w:val="32"/>
        </w:rPr>
        <w:t>其中本年支出合计2345.25万元，比上年增加30.85万元</w:t>
      </w:r>
      <w:r>
        <w:rPr>
          <w:rFonts w:hint="eastAsia" w:ascii="仿宋_GB2312" w:hAnsi="仿宋_GB2312" w:eastAsia="仿宋_GB2312" w:cs="Times New Roman"/>
          <w:sz w:val="32"/>
          <w:szCs w:val="32"/>
        </w:rPr>
        <w:t>，增长1.33%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人员工资调整</w:t>
      </w:r>
      <w:r>
        <w:rPr>
          <w:rFonts w:hint="eastAsia" w:ascii="仿宋_GB2312" w:hAnsi="仿宋_GB2312" w:eastAsia="仿宋_GB2312"/>
          <w:sz w:val="32"/>
          <w:szCs w:val="32"/>
        </w:rPr>
        <w:t>；结余分配0.00万元，与上年持平；年末结转和结余0.00万元，与上年持平。</w:t>
      </w:r>
    </w:p>
    <w:p w14:paraId="15680E6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本年支出的具体构成：基本支出1637.12万元，占69.81%；项目支出708.13万元，占30.19%；经营支出0.00万元，占0.00%；上缴上级支出0.00万元，占0.00%；对附属单位补助支出0.00万元，占0.00%。</w:t>
      </w:r>
    </w:p>
    <w:p w14:paraId="5E1A7899">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4260959">
      <w:pPr>
        <w:ind w:firstLine="63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本部门2023年度财政拨款本年支出</w:t>
      </w:r>
      <w:r>
        <w:rPr>
          <w:rFonts w:hint="eastAsia" w:ascii="仿宋_GB2312" w:hAnsi="仿宋_GB2312" w:eastAsia="仿宋_GB2312"/>
          <w:color w:val="000000" w:themeColor="text1"/>
          <w:sz w:val="32"/>
          <w:szCs w:val="32"/>
          <w14:textFill>
            <w14:solidFill>
              <w14:schemeClr w14:val="tx1"/>
            </w14:solidFill>
          </w14:textFill>
        </w:rPr>
        <w:t>年初预算数</w:t>
      </w:r>
      <w:r>
        <w:rPr>
          <w:rFonts w:hint="eastAsia" w:ascii="仿宋_GB2312" w:hAnsi="仿宋_GB2312" w:eastAsia="仿宋_GB2312"/>
          <w:color w:val="000000" w:themeColor="text1"/>
          <w:sz w:val="32"/>
          <w:szCs w:val="32"/>
          <w:lang w:val="en-US" w:eastAsia="zh-CN"/>
          <w14:textFill>
            <w14:solidFill>
              <w14:schemeClr w14:val="tx1"/>
            </w14:solidFill>
          </w14:textFill>
        </w:rPr>
        <w:t>2239.13</w:t>
      </w:r>
      <w:r>
        <w:rPr>
          <w:rFonts w:hint="eastAsia" w:ascii="仿宋_GB2312" w:hAnsi="仿宋_GB2312" w:eastAsia="仿宋_GB2312"/>
          <w:color w:val="000000" w:themeColor="text1"/>
          <w:sz w:val="32"/>
          <w:szCs w:val="32"/>
        </w:rPr>
        <w:t>万元，决算数2345.25万元，完成年初预算的</w:t>
      </w:r>
      <w:r>
        <w:rPr>
          <w:rFonts w:hint="eastAsia" w:ascii="仿宋_GB2312" w:hAnsi="仿宋_GB2312" w:eastAsia="仿宋_GB2312"/>
          <w:color w:val="000000" w:themeColor="text1"/>
          <w:sz w:val="32"/>
          <w:szCs w:val="32"/>
          <w:lang w:val="en-US" w:eastAsia="zh-CN"/>
        </w:rPr>
        <w:t>104.74</w:t>
      </w:r>
      <w:r>
        <w:rPr>
          <w:rFonts w:hint="eastAsia" w:ascii="仿宋_GB2312" w:hAnsi="仿宋_GB2312" w:eastAsia="仿宋_GB2312"/>
          <w:color w:val="000000" w:themeColor="text1"/>
          <w:sz w:val="32"/>
          <w:szCs w:val="32"/>
        </w:rPr>
        <w:t>%。其中：</w:t>
      </w:r>
    </w:p>
    <w:p w14:paraId="455CEE27">
      <w:pPr>
        <w:ind w:firstLine="640" w:firstLineChars="200"/>
        <w:jc w:val="left"/>
        <w:rPr>
          <w:rFonts w:hint="eastAsia" w:ascii="仿宋_GB2312" w:hAnsi="仿宋_GB2312" w:eastAsia="仿宋_GB2312"/>
          <w:color w:val="000000" w:themeColor="text1"/>
          <w:sz w:val="32"/>
          <w:szCs w:val="32"/>
          <w:lang w:eastAsia="zh-CN"/>
        </w:rPr>
      </w:pPr>
      <w:r>
        <w:rPr>
          <w:rFonts w:hint="eastAsia" w:ascii="仿宋_GB2312" w:hAnsi="仿宋_GB2312" w:eastAsia="仿宋_GB2312" w:cs="Times New Roman"/>
          <w:color w:val="000000" w:themeColor="text1"/>
          <w:sz w:val="32"/>
          <w:szCs w:val="32"/>
        </w:rPr>
        <w:t>（一）一般公共服务支出（类）</w:t>
      </w:r>
      <w:r>
        <w:rPr>
          <w:rFonts w:hint="eastAsia" w:ascii="仿宋_GB2312" w:hAnsi="仿宋_GB2312" w:eastAsia="仿宋_GB2312" w:cs="Times New Roman"/>
          <w:color w:val="000000" w:themeColor="text1"/>
          <w:sz w:val="32"/>
          <w:szCs w:val="32"/>
          <w14:textFill>
            <w14:solidFill>
              <w14:schemeClr w14:val="tx1"/>
            </w14:solidFill>
          </w14:textFill>
        </w:rPr>
        <w:t>年初预算数</w:t>
      </w:r>
      <w:r>
        <w:rPr>
          <w:rFonts w:hint="eastAsia" w:ascii="仿宋_GB2312" w:hAnsi="仿宋_GB2312" w:eastAsia="仿宋_GB2312" w:cs="Times New Roman"/>
          <w:color w:val="000000" w:themeColor="text1"/>
          <w:sz w:val="32"/>
          <w:szCs w:val="32"/>
          <w:lang w:val="en-US" w:eastAsia="zh-CN"/>
          <w14:textFill>
            <w14:solidFill>
              <w14:schemeClr w14:val="tx1"/>
            </w14:solidFill>
          </w14:textFill>
        </w:rPr>
        <w:t>1890.49</w:t>
      </w:r>
      <w:r>
        <w:rPr>
          <w:rFonts w:hint="eastAsia" w:ascii="仿宋_GB2312" w:hAnsi="仿宋_GB2312" w:eastAsia="仿宋_GB2312" w:cs="Times New Roman"/>
          <w:color w:val="000000" w:themeColor="text1"/>
          <w:sz w:val="32"/>
          <w:szCs w:val="32"/>
        </w:rPr>
        <w:t>万元，决算数1989.59万元，完成年初预算的</w:t>
      </w:r>
      <w:r>
        <w:rPr>
          <w:rFonts w:hint="eastAsia" w:ascii="仿宋_GB2312" w:hAnsi="仿宋_GB2312" w:eastAsia="仿宋_GB2312" w:cs="Times New Roman"/>
          <w:color w:val="000000" w:themeColor="text1"/>
          <w:sz w:val="32"/>
          <w:szCs w:val="32"/>
          <w:lang w:val="en-US" w:eastAsia="zh-CN"/>
        </w:rPr>
        <w:t>105.24</w:t>
      </w:r>
      <w:r>
        <w:rPr>
          <w:rFonts w:hint="eastAsia" w:ascii="仿宋_GB2312" w:hAnsi="仿宋_GB2312" w:eastAsia="仿宋_GB2312" w:cs="Times New Roman"/>
          <w:color w:val="000000" w:themeColor="text1"/>
          <w:sz w:val="32"/>
          <w:szCs w:val="32"/>
        </w:rPr>
        <w:t xml:space="preserve">%。 </w:t>
      </w:r>
      <w:r>
        <w:rPr>
          <w:rFonts w:hint="eastAsia" w:ascii="仿宋_GB2312" w:hAnsi="仿宋_GB2312" w:eastAsia="仿宋_GB2312" w:cs="Times New Roman"/>
          <w:color w:val="000000" w:themeColor="text1"/>
          <w:sz w:val="32"/>
          <w:szCs w:val="32"/>
          <w:lang w:eastAsia="zh-CN"/>
        </w:rPr>
        <w:t>主要原因是金额放在了城乡社区支出（类）。</w:t>
      </w:r>
    </w:p>
    <w:p w14:paraId="3B426D4D">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二</w:t>
      </w:r>
      <w:r>
        <w:rPr>
          <w:rFonts w:hint="eastAsia" w:ascii="仿宋_GB2312" w:hAnsi="仿宋_GB2312" w:eastAsia="仿宋_GB2312"/>
          <w:color w:val="000000" w:themeColor="text1"/>
          <w:sz w:val="32"/>
          <w:szCs w:val="32"/>
        </w:rPr>
        <w:t>）社会保障和就业支出（类）年初预算数198.25万元，决算数198.25万元，完成年初预算的100.00%。</w:t>
      </w:r>
    </w:p>
    <w:p w14:paraId="579BCC2F">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三</w:t>
      </w:r>
      <w:r>
        <w:rPr>
          <w:rFonts w:hint="eastAsia" w:ascii="仿宋_GB2312" w:hAnsi="仿宋_GB2312" w:eastAsia="仿宋_GB2312"/>
          <w:color w:val="000000" w:themeColor="text1"/>
          <w:sz w:val="32"/>
          <w:szCs w:val="32"/>
        </w:rPr>
        <w:t>）卫生健康支出（类）年初预算数40.82万元，决算数40.82万元，完成年初预算的100.00%。</w:t>
      </w:r>
    </w:p>
    <w:p w14:paraId="466FCD52">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四</w:t>
      </w:r>
      <w:r>
        <w:rPr>
          <w:rFonts w:hint="eastAsia" w:ascii="仿宋_GB2312" w:hAnsi="仿宋_GB2312" w:eastAsia="仿宋_GB2312"/>
          <w:color w:val="000000" w:themeColor="text1"/>
          <w:sz w:val="32"/>
          <w:szCs w:val="32"/>
        </w:rPr>
        <w:t>）城乡社区支出（类）年</w:t>
      </w:r>
      <w:r>
        <w:rPr>
          <w:rFonts w:hint="eastAsia" w:ascii="仿宋_GB2312" w:hAnsi="仿宋_GB2312" w:eastAsia="仿宋_GB2312"/>
          <w:color w:val="000000" w:themeColor="text1"/>
          <w:sz w:val="32"/>
          <w:szCs w:val="32"/>
          <w14:textFill>
            <w14:solidFill>
              <w14:schemeClr w14:val="tx1"/>
            </w14:solidFill>
          </w14:textFill>
        </w:rPr>
        <w:t>初预算数</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万元</w:t>
      </w:r>
      <w:r>
        <w:rPr>
          <w:rFonts w:hint="eastAsia" w:ascii="仿宋_GB2312" w:hAnsi="仿宋_GB2312" w:eastAsia="仿宋_GB2312"/>
          <w:color w:val="000000" w:themeColor="text1"/>
          <w:sz w:val="32"/>
          <w:szCs w:val="32"/>
        </w:rPr>
        <w:t>，决算数7.01万元，完成年初预算的100.00%。</w:t>
      </w:r>
    </w:p>
    <w:p w14:paraId="2C6A4ACE">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五</w:t>
      </w:r>
      <w:r>
        <w:rPr>
          <w:rFonts w:hint="eastAsia" w:ascii="仿宋_GB2312" w:hAnsi="仿宋_GB2312" w:eastAsia="仿宋_GB2312"/>
          <w:color w:val="000000" w:themeColor="text1"/>
          <w:sz w:val="32"/>
          <w:szCs w:val="32"/>
        </w:rPr>
        <w:t>）住房保障支出（类）年初预算数109.57万元，决算数109.57万元，完成年初预算的100.00%。</w:t>
      </w:r>
    </w:p>
    <w:p w14:paraId="1DBEAA05">
      <w:pPr>
        <w:ind w:firstLine="640" w:firstLineChars="200"/>
        <w:jc w:val="left"/>
        <w:rPr>
          <w:rFonts w:hint="eastAsia" w:ascii="仿宋_GB2312" w:hAnsi="仿宋_GB2312" w:eastAsia="仿宋_GB2312"/>
          <w:sz w:val="32"/>
          <w:szCs w:val="32"/>
        </w:rPr>
      </w:pPr>
    </w:p>
    <w:p w14:paraId="0E3577E8">
      <w:pPr>
        <w:ind w:firstLine="640" w:firstLineChars="200"/>
        <w:jc w:val="left"/>
        <w:rPr>
          <w:rFonts w:hint="eastAsia" w:ascii="仿宋_GB2312" w:hAnsi="仿宋_GB2312" w:eastAsia="仿宋_GB2312"/>
          <w:sz w:val="32"/>
          <w:szCs w:val="32"/>
        </w:rPr>
      </w:pPr>
    </w:p>
    <w:p w14:paraId="2C77892A">
      <w:pPr>
        <w:ind w:firstLine="640" w:firstLineChars="200"/>
        <w:jc w:val="left"/>
        <w:rPr>
          <w:rFonts w:hint="eastAsia" w:ascii="仿宋_GB2312" w:hAnsi="仿宋_GB2312" w:eastAsia="仿宋_GB2312"/>
          <w:sz w:val="32"/>
          <w:szCs w:val="32"/>
        </w:rPr>
      </w:pPr>
    </w:p>
    <w:p w14:paraId="391F99BE">
      <w:pPr>
        <w:ind w:firstLine="640" w:firstLineChars="200"/>
        <w:jc w:val="left"/>
        <w:rPr>
          <w:rFonts w:hint="eastAsia" w:ascii="仿宋_GB2312" w:hAnsi="仿宋_GB2312" w:eastAsia="仿宋_GB2312"/>
          <w:sz w:val="32"/>
          <w:szCs w:val="32"/>
        </w:rPr>
      </w:pPr>
    </w:p>
    <w:p w14:paraId="29DFC3CB">
      <w:pPr>
        <w:ind w:firstLine="640" w:firstLineChars="200"/>
        <w:jc w:val="left"/>
        <w:rPr>
          <w:rFonts w:hint="eastAsia" w:ascii="仿宋_GB2312" w:hAnsi="仿宋_GB2312" w:eastAsia="仿宋_GB2312"/>
          <w:sz w:val="32"/>
          <w:szCs w:val="32"/>
        </w:rPr>
      </w:pPr>
    </w:p>
    <w:p w14:paraId="312A7CA2">
      <w:pPr>
        <w:ind w:firstLine="640" w:firstLineChars="200"/>
        <w:jc w:val="left"/>
        <w:rPr>
          <w:rFonts w:hint="eastAsia" w:ascii="仿宋_GB2312" w:hAnsi="仿宋_GB2312" w:eastAsia="仿宋_GB2312"/>
          <w:sz w:val="32"/>
          <w:szCs w:val="32"/>
        </w:rPr>
      </w:pPr>
    </w:p>
    <w:p w14:paraId="12A1E747">
      <w:pPr>
        <w:ind w:firstLine="640" w:firstLineChars="200"/>
        <w:jc w:val="left"/>
        <w:rPr>
          <w:rFonts w:hint="eastAsia" w:ascii="仿宋_GB2312" w:hAnsi="仿宋_GB2312" w:eastAsia="仿宋_GB2312"/>
          <w:sz w:val="32"/>
          <w:szCs w:val="32"/>
        </w:rPr>
      </w:pPr>
    </w:p>
    <w:p w14:paraId="52592AD9">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05CFE82B">
      <w:pPr>
        <w:ind w:firstLine="585"/>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本部门2023年度</w:t>
      </w:r>
      <w:r>
        <w:rPr>
          <w:rFonts w:hint="eastAsia" w:ascii="仿宋_GB2312" w:hAnsi="仿宋_GB2312" w:eastAsia="仿宋_GB2312"/>
          <w:color w:val="000000" w:themeColor="text1"/>
          <w:sz w:val="32"/>
          <w:szCs w:val="32"/>
          <w14:textFill>
            <w14:solidFill>
              <w14:schemeClr w14:val="tx1"/>
            </w14:solidFill>
          </w14:textFill>
        </w:rPr>
        <w:t>一般公共预算财政拨款基本支出</w:t>
      </w:r>
      <w:r>
        <w:rPr>
          <w:rFonts w:hint="eastAsia" w:ascii="仿宋_GB2312" w:hAnsi="仿宋_GB2312" w:eastAsia="仿宋_GB2312"/>
          <w:color w:val="000000" w:themeColor="text1"/>
          <w:sz w:val="32"/>
          <w:szCs w:val="32"/>
          <w:lang w:eastAsia="zh-CN"/>
          <w14:textFill>
            <w14:solidFill>
              <w14:schemeClr w14:val="tx1"/>
            </w14:solidFill>
          </w14:textFill>
        </w:rPr>
        <w:t>决算数为</w:t>
      </w:r>
      <w:r>
        <w:rPr>
          <w:rFonts w:hint="eastAsia" w:ascii="仿宋_GB2312" w:hAnsi="仿宋_GB2312" w:eastAsia="仿宋_GB2312"/>
          <w:color w:val="000000" w:themeColor="text1"/>
          <w:sz w:val="32"/>
          <w:szCs w:val="32"/>
          <w14:textFill>
            <w14:solidFill>
              <w14:schemeClr w14:val="tx1"/>
            </w14:solidFill>
          </w14:textFill>
        </w:rPr>
        <w:t>1630.14万元，</w:t>
      </w:r>
      <w:r>
        <w:rPr>
          <w:rFonts w:hint="eastAsia" w:ascii="仿宋_GB2312" w:hAnsi="仿宋_GB2312" w:eastAsia="仿宋_GB2312"/>
          <w:color w:val="000000" w:themeColor="text1"/>
          <w:sz w:val="32"/>
          <w:szCs w:val="32"/>
          <w:lang w:eastAsia="zh-CN"/>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1615.13万元，</w:t>
      </w:r>
      <w:r>
        <w:rPr>
          <w:rFonts w:hint="eastAsia" w:ascii="仿宋_GB2312" w:hAnsi="仿宋_GB2312" w:eastAsia="仿宋_GB2312"/>
          <w:color w:val="000000" w:themeColor="text1"/>
          <w:sz w:val="32"/>
          <w:szCs w:val="32"/>
          <w:lang w:val="en-US" w:eastAsia="zh-CN"/>
        </w:rPr>
        <w:t>决算比年初预算多15.01万元，主要原因是中途人员增加，追加了预算。</w:t>
      </w:r>
      <w:r>
        <w:rPr>
          <w:rFonts w:hint="eastAsia" w:ascii="仿宋_GB2312" w:hAnsi="仿宋_GB2312" w:eastAsia="仿宋_GB2312"/>
          <w:color w:val="000000" w:themeColor="text1"/>
          <w:sz w:val="32"/>
          <w:szCs w:val="32"/>
        </w:rPr>
        <w:t>其中：</w:t>
      </w:r>
    </w:p>
    <w:p w14:paraId="00424282">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rPr>
        <w:t>（一）工资福利支出1370.73万元，比上年增加26.62万元</w:t>
      </w:r>
      <w:r>
        <w:rPr>
          <w:rFonts w:hint="eastAsia" w:ascii="仿宋_GB2312" w:hAnsi="仿宋_GB2312" w:eastAsia="仿宋_GB2312" w:cs="Times New Roman"/>
          <w:color w:val="000000" w:themeColor="text1"/>
          <w:sz w:val="32"/>
          <w:szCs w:val="32"/>
        </w:rPr>
        <w:t>，增长1.98%</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人员工资变动</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1447.19万元，决算数比年初预算减少76.46万元。</w:t>
      </w:r>
    </w:p>
    <w:p w14:paraId="1B44ABD4">
      <w:pPr>
        <w:ind w:firstLine="585"/>
        <w:jc w:val="left"/>
        <w:rPr>
          <w:rFonts w:hint="default"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olor w:val="000000" w:themeColor="text1"/>
          <w:sz w:val="32"/>
          <w:szCs w:val="32"/>
        </w:rPr>
        <w:t>（二）商品和服务支出149.08万元，比上年减少46.43万元，下降23.75%，</w:t>
      </w:r>
      <w:r>
        <w:rPr>
          <w:rFonts w:hint="eastAsia" w:ascii="仿宋_GB2312" w:hAnsi="仿宋_GB2312" w:eastAsia="仿宋_GB2312"/>
          <w:color w:val="000000" w:themeColor="text1"/>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账务规范化处理</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166.78万元，决算数比年初预算减少17.7万元。</w:t>
      </w:r>
    </w:p>
    <w:p w14:paraId="5164DA53">
      <w:pPr>
        <w:ind w:firstLine="585"/>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（三）对个人和家庭补助支出76.04万元，比上年增加7.75万元</w:t>
      </w:r>
      <w:r>
        <w:rPr>
          <w:rFonts w:hint="eastAsia" w:ascii="仿宋_GB2312" w:hAnsi="仿宋_GB2312" w:eastAsia="仿宋_GB2312" w:cs="Times New Roman"/>
          <w:color w:val="000000" w:themeColor="text1"/>
          <w:sz w:val="32"/>
          <w:szCs w:val="32"/>
        </w:rPr>
        <w:t>，增长11.34%</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退休人员增加</w:t>
      </w:r>
      <w:r>
        <w:rPr>
          <w:rFonts w:hint="eastAsia" w:ascii="仿宋_GB2312" w:hAnsi="仿宋_GB2312" w:eastAsia="仿宋_GB2312"/>
          <w:color w:val="000000" w:themeColor="text1"/>
          <w:sz w:val="32"/>
          <w:szCs w:val="32"/>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1.17</w:t>
      </w:r>
      <w:r>
        <w:rPr>
          <w:rFonts w:hint="eastAsia" w:ascii="仿宋_GB2312" w:hAnsi="仿宋_GB2312" w:eastAsia="仿宋_GB2312"/>
          <w:color w:val="000000" w:themeColor="text1"/>
          <w:sz w:val="32"/>
          <w:szCs w:val="32"/>
          <w14:textFill>
            <w14:solidFill>
              <w14:schemeClr w14:val="tx1"/>
            </w14:solidFill>
          </w14:textFill>
        </w:rPr>
        <w:t>万元，决算数比年初预算</w:t>
      </w:r>
      <w:r>
        <w:rPr>
          <w:rFonts w:hint="eastAsia" w:ascii="仿宋_GB2312" w:hAnsi="仿宋_GB2312" w:eastAsia="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olor w:val="000000" w:themeColor="text1"/>
          <w:sz w:val="32"/>
          <w:szCs w:val="32"/>
          <w:lang w:val="en-US" w:eastAsia="zh-CN"/>
          <w14:textFill>
            <w14:solidFill>
              <w14:schemeClr w14:val="tx1"/>
            </w14:solidFill>
          </w14:textFill>
        </w:rPr>
        <w:t>74.87</w:t>
      </w:r>
      <w:r>
        <w:rPr>
          <w:rFonts w:hint="eastAsia" w:ascii="仿宋_GB2312" w:hAnsi="仿宋_GB2312" w:eastAsia="仿宋_GB2312"/>
          <w:color w:val="000000" w:themeColor="text1"/>
          <w:sz w:val="32"/>
          <w:szCs w:val="32"/>
          <w14:textFill>
            <w14:solidFill>
              <w14:schemeClr w14:val="tx1"/>
            </w14:solidFill>
          </w14:textFill>
        </w:rPr>
        <w:t>万元。</w:t>
      </w:r>
    </w:p>
    <w:p w14:paraId="3171C480">
      <w:pPr>
        <w:ind w:firstLine="585"/>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rPr>
        <w:t>（四）资本性支出34.30万元，比上年增加31.67万元</w:t>
      </w:r>
      <w:r>
        <w:rPr>
          <w:rFonts w:hint="eastAsia" w:ascii="仿宋_GB2312" w:hAnsi="仿宋_GB2312" w:eastAsia="仿宋_GB2312" w:cs="Times New Roman"/>
          <w:color w:val="000000" w:themeColor="text1"/>
          <w:sz w:val="32"/>
          <w:szCs w:val="32"/>
        </w:rPr>
        <w:t>，增长1205.96%</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当年新增固定资产较多</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万元，决算数比年初预算增加</w:t>
      </w:r>
      <w:r>
        <w:rPr>
          <w:rFonts w:hint="eastAsia" w:ascii="仿宋_GB2312" w:hAnsi="仿宋_GB2312" w:eastAsia="仿宋_GB2312"/>
          <w:color w:val="000000" w:themeColor="text1"/>
          <w:sz w:val="32"/>
          <w:szCs w:val="32"/>
          <w:lang w:val="en-US" w:eastAsia="zh-CN"/>
          <w14:textFill>
            <w14:solidFill>
              <w14:schemeClr w14:val="tx1"/>
            </w14:solidFill>
          </w14:textFill>
        </w:rPr>
        <w:t>34.3</w:t>
      </w:r>
      <w:r>
        <w:rPr>
          <w:rFonts w:hint="eastAsia" w:ascii="仿宋_GB2312" w:hAnsi="仿宋_GB2312" w:eastAsia="仿宋_GB2312"/>
          <w:color w:val="000000" w:themeColor="text1"/>
          <w:sz w:val="32"/>
          <w:szCs w:val="32"/>
          <w14:textFill>
            <w14:solidFill>
              <w14:schemeClr w14:val="tx1"/>
            </w14:solidFill>
          </w14:textFill>
        </w:rPr>
        <w:t>万元。</w:t>
      </w:r>
    </w:p>
    <w:p w14:paraId="50936A0E">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422FC9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本部门2023年度财政拨款“三公”经费支出全年预算数39.80万元，决算数22.38万元，完成全年预算的56.23%</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决算数比上年增加4.30万元，</w:t>
      </w:r>
      <w:r>
        <w:rPr>
          <w:rFonts w:hint="eastAsia" w:ascii="仿宋_GB2312" w:hAnsi="仿宋_GB2312" w:eastAsia="仿宋_GB2312" w:cs="Times New Roman"/>
          <w:sz w:val="32"/>
          <w:szCs w:val="32"/>
        </w:rPr>
        <w:t>增长23.77%，</w:t>
      </w:r>
      <w:r>
        <w:rPr>
          <w:rFonts w:hint="eastAsia" w:ascii="仿宋_GB2312" w:hAnsi="仿宋_GB2312" w:eastAsia="仿宋_GB2312"/>
          <w:sz w:val="32"/>
          <w:szCs w:val="32"/>
        </w:rPr>
        <w:t>其中：</w:t>
      </w:r>
    </w:p>
    <w:p w14:paraId="04B40B96">
      <w:pPr>
        <w:numPr>
          <w:ilvl w:val="0"/>
          <w:numId w:val="2"/>
        </w:num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因公出国（境）费全年预算数0.00万元</w:t>
      </w:r>
      <w:r>
        <w:rPr>
          <w:rFonts w:hint="eastAsia" w:ascii="仿宋_GB2312" w:hAnsi="仿宋_GB2312" w:eastAsia="仿宋_GB2312"/>
          <w:sz w:val="32"/>
          <w:szCs w:val="32"/>
          <w:lang w:eastAsia="zh-CN"/>
        </w:rPr>
        <w:t>。</w:t>
      </w:r>
    </w:p>
    <w:p w14:paraId="5C083387">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（二）公务用车购置及运行维护费全年预算数22.80万元，决算数20.90万元，其中：</w:t>
      </w:r>
    </w:p>
    <w:p w14:paraId="40F9898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公务用车运行维护费全年预算数22.80万元，决算数20.90万元，完成全年预算的9</w:t>
      </w:r>
      <w:r>
        <w:rPr>
          <w:rFonts w:hint="eastAsia" w:ascii="仿宋_GB2312" w:hAnsi="仿宋_GB2312" w:eastAsia="仿宋_GB2312"/>
          <w:color w:val="auto"/>
          <w:sz w:val="32"/>
          <w:szCs w:val="32"/>
        </w:rPr>
        <w:t>1.67%，</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实际未按照财政安排的每辆车2.59万元支出</w:t>
      </w:r>
      <w:r>
        <w:rPr>
          <w:rFonts w:hint="eastAsia" w:ascii="仿宋_GB2312" w:hAnsi="仿宋_GB2312" w:eastAsia="仿宋_GB2312"/>
          <w:sz w:val="32"/>
          <w:szCs w:val="32"/>
        </w:rPr>
        <w:t>。决算数比上年增加6.78万元</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rPr>
        <w:t>增长47.99%，</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执法工作比之前疫情期间增加</w:t>
      </w:r>
      <w:r>
        <w:rPr>
          <w:rFonts w:hint="eastAsia" w:ascii="仿宋_GB2312" w:hAnsi="仿宋_GB2312" w:eastAsia="仿宋_GB2312"/>
          <w:color w:val="auto"/>
          <w:sz w:val="32"/>
          <w:szCs w:val="32"/>
        </w:rPr>
        <w:t>。</w:t>
      </w:r>
      <w:r>
        <w:rPr>
          <w:rFonts w:hint="eastAsia" w:ascii="仿宋_GB2312" w:hAnsi="仿宋_GB2312" w:eastAsia="仿宋_GB2312"/>
          <w:sz w:val="32"/>
          <w:szCs w:val="32"/>
        </w:rPr>
        <w:t>年末使用财政拨款负担费用的公务用车保有量9辆。</w:t>
      </w:r>
    </w:p>
    <w:p w14:paraId="6547791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（三）公务接待费全年预算数17.00万元，决算数1.48万元，完成全年预算</w:t>
      </w:r>
      <w:r>
        <w:rPr>
          <w:rFonts w:hint="eastAsia" w:ascii="仿宋_GB2312" w:hAnsi="仿宋_GB2312" w:eastAsia="仿宋_GB2312"/>
          <w:color w:val="auto"/>
          <w:sz w:val="32"/>
          <w:szCs w:val="32"/>
        </w:rPr>
        <w:t>的8.71%，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以工作餐代替公务接待，厉行勤俭节约</w:t>
      </w:r>
      <w:r>
        <w:rPr>
          <w:rFonts w:hint="eastAsia" w:ascii="仿宋_GB2312" w:hAnsi="仿宋_GB2312" w:eastAsia="仿宋_GB2312"/>
          <w:color w:val="auto"/>
          <w:sz w:val="32"/>
          <w:szCs w:val="32"/>
        </w:rPr>
        <w:t>。</w:t>
      </w:r>
      <w:r>
        <w:rPr>
          <w:rFonts w:hint="eastAsia" w:ascii="仿宋_GB2312" w:hAnsi="仿宋_GB2312" w:eastAsia="仿宋_GB2312"/>
          <w:sz w:val="32"/>
          <w:szCs w:val="32"/>
        </w:rPr>
        <w:t>决算数比上年减少2.48万元，下降62.62%,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以工作餐代替公务接待，厉行勤俭节约</w:t>
      </w:r>
      <w:r>
        <w:rPr>
          <w:rFonts w:hint="eastAsia" w:ascii="仿宋_GB2312" w:hAnsi="仿宋_GB2312" w:eastAsia="仿宋_GB2312"/>
          <w:color w:val="auto"/>
          <w:sz w:val="32"/>
          <w:szCs w:val="32"/>
        </w:rPr>
        <w:t>。</w:t>
      </w:r>
      <w:r>
        <w:rPr>
          <w:rFonts w:hint="eastAsia" w:ascii="仿宋_GB2312" w:hAnsi="仿宋_GB2312" w:eastAsia="仿宋_GB2312"/>
          <w:sz w:val="32"/>
          <w:szCs w:val="32"/>
        </w:rPr>
        <w:t>全年国内公务接待40批，累计接待298人次，主要是</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工作联系</w:t>
      </w:r>
      <w:r>
        <w:rPr>
          <w:rFonts w:hint="eastAsia" w:ascii="仿宋_GB2312" w:hAnsi="仿宋_GB2312" w:eastAsia="仿宋_GB2312"/>
          <w:color w:val="auto"/>
          <w:sz w:val="32"/>
          <w:szCs w:val="32"/>
        </w:rPr>
        <w:t>。</w:t>
      </w:r>
    </w:p>
    <w:p w14:paraId="245C4316">
      <w:pPr>
        <w:ind w:firstLine="640" w:firstLineChars="200"/>
        <w:jc w:val="left"/>
        <w:rPr>
          <w:rFonts w:hint="eastAsia" w:ascii="仿宋_GB2312" w:hAnsi="仿宋_GB2312" w:eastAsia="仿宋_GB2312" w:cs="Times New Roman"/>
          <w:sz w:val="32"/>
          <w:szCs w:val="32"/>
        </w:rPr>
      </w:pPr>
    </w:p>
    <w:p w14:paraId="20E8AF7E">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18FACCE">
      <w:pPr>
        <w:ind w:firstLine="630"/>
        <w:jc w:val="left"/>
        <w:rPr>
          <w:rFonts w:hint="eastAsia" w:ascii="仿宋_GB2312" w:hAnsi="仿宋_GB2312" w:eastAsia="仿宋_GB2312"/>
          <w:color w:val="000000" w:themeColor="text1"/>
          <w:sz w:val="32"/>
          <w:szCs w:val="32"/>
          <w:highlight w:val="cyan"/>
          <w:lang w:eastAsia="zh-CN"/>
        </w:rPr>
      </w:pPr>
      <w:r>
        <w:rPr>
          <w:rFonts w:hint="eastAsia" w:ascii="仿宋_GB2312" w:hAnsi="仿宋_GB2312" w:eastAsia="仿宋_GB2312"/>
          <w:color w:val="000000" w:themeColor="text1"/>
          <w:sz w:val="32"/>
          <w:szCs w:val="32"/>
        </w:rPr>
        <w:t>本部门2023年度机关运行经费支出112.67万元，</w:t>
      </w:r>
      <w:bookmarkStart w:id="42" w:name="_GoBack"/>
      <w:r>
        <w:rPr>
          <w:rFonts w:hint="eastAsia" w:ascii="仿宋_GB2312" w:hAnsi="仿宋_GB2312" w:eastAsia="仿宋_GB2312"/>
          <w:color w:val="000000" w:themeColor="text1"/>
          <w:sz w:val="32"/>
          <w:szCs w:val="32"/>
          <w:lang w:eastAsia="zh-CN"/>
          <w14:textFill>
            <w14:solidFill>
              <w14:schemeClr w14:val="tx1"/>
            </w14:solidFill>
          </w14:textFill>
        </w:rPr>
        <w:t>年初预算为</w:t>
      </w:r>
      <w:r>
        <w:rPr>
          <w:rFonts w:hint="eastAsia" w:ascii="仿宋_GB2312" w:hAnsi="仿宋_GB2312" w:eastAsia="仿宋_GB2312"/>
          <w:color w:val="000000" w:themeColor="text1"/>
          <w:sz w:val="32"/>
          <w:szCs w:val="32"/>
          <w:lang w:val="en-US" w:eastAsia="zh-CN"/>
          <w14:textFill>
            <w14:solidFill>
              <w14:schemeClr w14:val="tx1"/>
            </w14:solidFill>
          </w14:textFill>
        </w:rPr>
        <w:t>144.7万元，较年初预算减少了32.03万元，完</w:t>
      </w:r>
      <w:bookmarkEnd w:id="42"/>
      <w:r>
        <w:rPr>
          <w:rFonts w:hint="eastAsia" w:ascii="仿宋_GB2312" w:hAnsi="仿宋_GB2312" w:eastAsia="仿宋_GB2312"/>
          <w:color w:val="000000" w:themeColor="text1"/>
          <w:sz w:val="32"/>
          <w:szCs w:val="32"/>
          <w:lang w:val="en-US" w:eastAsia="zh-CN"/>
        </w:rPr>
        <w:t>成全年预算的84.78%，主要原因是厉行节俭节约。</w:t>
      </w:r>
      <w:r>
        <w:rPr>
          <w:rFonts w:hint="eastAsia" w:ascii="仿宋_GB2312" w:hAnsi="仿宋_GB2312" w:eastAsia="仿宋_GB2312"/>
          <w:color w:val="000000" w:themeColor="text1"/>
          <w:sz w:val="32"/>
          <w:szCs w:val="32"/>
          <w:lang w:eastAsia="zh-CN"/>
        </w:rPr>
        <w:t>其中行政单位运行经费为</w:t>
      </w:r>
      <w:r>
        <w:rPr>
          <w:rFonts w:hint="eastAsia" w:ascii="仿宋_GB2312" w:hAnsi="仿宋_GB2312" w:eastAsia="仿宋_GB2312"/>
          <w:color w:val="000000" w:themeColor="text1"/>
          <w:sz w:val="32"/>
          <w:szCs w:val="32"/>
          <w:lang w:val="en-US" w:eastAsia="zh-CN"/>
        </w:rPr>
        <w:t>112.67万元。</w:t>
      </w:r>
      <w:r>
        <w:rPr>
          <w:rFonts w:hint="eastAsia" w:ascii="仿宋_GB2312" w:hAnsi="仿宋_GB2312" w:eastAsia="仿宋_GB2312"/>
          <w:color w:val="000000" w:themeColor="text1"/>
          <w:sz w:val="32"/>
          <w:szCs w:val="32"/>
          <w:lang w:eastAsia="zh-CN"/>
        </w:rPr>
        <w:t>本年度发生额</w:t>
      </w:r>
      <w:r>
        <w:rPr>
          <w:rFonts w:hint="eastAsia" w:ascii="仿宋_GB2312" w:hAnsi="仿宋_GB2312" w:eastAsia="仿宋_GB2312"/>
          <w:color w:val="000000" w:themeColor="text1"/>
          <w:sz w:val="32"/>
          <w:szCs w:val="32"/>
        </w:rPr>
        <w:t>比上年减少76.38万元，下降40.40%，</w:t>
      </w:r>
      <w:r>
        <w:rPr>
          <w:rFonts w:hint="eastAsia" w:ascii="仿宋_GB2312" w:hAnsi="仿宋_GB2312" w:eastAsia="仿宋_GB2312"/>
          <w:color w:val="000000" w:themeColor="text1"/>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账务规范化处理</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eastAsia="zh-CN"/>
        </w:rPr>
        <w:t>机关运行经费明细为：办公费</w:t>
      </w:r>
      <w:r>
        <w:rPr>
          <w:rFonts w:hint="eastAsia" w:ascii="仿宋_GB2312" w:hAnsi="仿宋_GB2312" w:eastAsia="仿宋_GB2312"/>
          <w:color w:val="000000" w:themeColor="text1"/>
          <w:sz w:val="32"/>
          <w:szCs w:val="32"/>
          <w:lang w:val="en-US" w:eastAsia="zh-CN"/>
        </w:rPr>
        <w:t>14</w:t>
      </w:r>
      <w:r>
        <w:rPr>
          <w:rFonts w:hint="eastAsia" w:ascii="仿宋_GB2312" w:hAnsi="仿宋_GB2312" w:eastAsia="仿宋_GB2312"/>
          <w:color w:val="000000" w:themeColor="text1"/>
          <w:sz w:val="32"/>
          <w:szCs w:val="32"/>
          <w:lang w:eastAsia="zh-CN"/>
        </w:rPr>
        <w:t>万元，印刷费</w:t>
      </w:r>
      <w:r>
        <w:rPr>
          <w:rFonts w:hint="eastAsia" w:ascii="仿宋_GB2312" w:hAnsi="仿宋_GB2312" w:eastAsia="仿宋_GB2312"/>
          <w:color w:val="000000" w:themeColor="text1"/>
          <w:sz w:val="32"/>
          <w:szCs w:val="32"/>
          <w:lang w:val="en-US" w:eastAsia="zh-CN"/>
        </w:rPr>
        <w:t>4.59万元，</w:t>
      </w:r>
      <w:r>
        <w:rPr>
          <w:rFonts w:hint="eastAsia" w:ascii="仿宋_GB2312" w:hAnsi="仿宋_GB2312" w:eastAsia="仿宋_GB2312"/>
          <w:color w:val="000000" w:themeColor="text1"/>
          <w:sz w:val="32"/>
          <w:szCs w:val="32"/>
          <w:lang w:eastAsia="zh-CN"/>
        </w:rPr>
        <w:t>水费</w:t>
      </w:r>
      <w:r>
        <w:rPr>
          <w:rFonts w:hint="eastAsia" w:ascii="仿宋_GB2312" w:hAnsi="仿宋_GB2312" w:eastAsia="仿宋_GB2312"/>
          <w:color w:val="000000" w:themeColor="text1"/>
          <w:sz w:val="32"/>
          <w:szCs w:val="32"/>
          <w:lang w:val="en-US" w:eastAsia="zh-CN"/>
        </w:rPr>
        <w:t>0.31万元，电费4.66万元</w:t>
      </w:r>
      <w:r>
        <w:rPr>
          <w:rFonts w:hint="eastAsia" w:ascii="仿宋_GB2312" w:hAnsi="仿宋_GB2312" w:eastAsia="仿宋_GB2312"/>
          <w:color w:val="000000" w:themeColor="text1"/>
          <w:sz w:val="32"/>
          <w:szCs w:val="32"/>
          <w:lang w:eastAsia="zh-CN"/>
        </w:rPr>
        <w:t>，邮电费</w:t>
      </w:r>
      <w:r>
        <w:rPr>
          <w:rFonts w:hint="eastAsia" w:ascii="仿宋_GB2312" w:hAnsi="仿宋_GB2312" w:eastAsia="仿宋_GB2312"/>
          <w:color w:val="000000" w:themeColor="text1"/>
          <w:sz w:val="32"/>
          <w:szCs w:val="32"/>
          <w:lang w:val="en-US" w:eastAsia="zh-CN"/>
        </w:rPr>
        <w:t>4.1万元，差旅费0.77万元，</w:t>
      </w:r>
      <w:r>
        <w:rPr>
          <w:rFonts w:hint="eastAsia" w:ascii="仿宋_GB2312" w:hAnsi="仿宋_GB2312" w:eastAsia="仿宋_GB2312"/>
          <w:color w:val="000000" w:themeColor="text1"/>
          <w:sz w:val="32"/>
          <w:szCs w:val="32"/>
          <w:lang w:eastAsia="zh-CN"/>
        </w:rPr>
        <w:t>维修维护费</w:t>
      </w:r>
      <w:r>
        <w:rPr>
          <w:rFonts w:hint="eastAsia" w:ascii="仿宋_GB2312" w:hAnsi="仿宋_GB2312" w:eastAsia="仿宋_GB2312"/>
          <w:color w:val="000000" w:themeColor="text1"/>
          <w:sz w:val="32"/>
          <w:szCs w:val="32"/>
          <w:lang w:val="en-US" w:eastAsia="zh-CN"/>
        </w:rPr>
        <w:t>29.3万元，会议费0.19万元，培训费1.34万元，公务接待费0.06万元，</w:t>
      </w:r>
      <w:r>
        <w:rPr>
          <w:rFonts w:hint="eastAsia" w:ascii="仿宋_GB2312" w:hAnsi="仿宋_GB2312" w:eastAsia="仿宋_GB2312"/>
          <w:color w:val="000000" w:themeColor="text1"/>
          <w:sz w:val="32"/>
          <w:szCs w:val="32"/>
          <w:lang w:eastAsia="zh-CN"/>
        </w:rPr>
        <w:t>劳务费</w:t>
      </w:r>
      <w:r>
        <w:rPr>
          <w:rFonts w:hint="eastAsia" w:ascii="仿宋_GB2312" w:hAnsi="仿宋_GB2312" w:eastAsia="仿宋_GB2312"/>
          <w:color w:val="000000" w:themeColor="text1"/>
          <w:sz w:val="32"/>
          <w:szCs w:val="32"/>
          <w:lang w:val="en-US" w:eastAsia="zh-CN"/>
        </w:rPr>
        <w:t>12.4</w:t>
      </w:r>
      <w:r>
        <w:rPr>
          <w:rFonts w:hint="eastAsia" w:ascii="仿宋_GB2312" w:hAnsi="仿宋_GB2312" w:eastAsia="仿宋_GB2312"/>
          <w:color w:val="000000" w:themeColor="text1"/>
          <w:sz w:val="32"/>
          <w:szCs w:val="32"/>
          <w:lang w:eastAsia="zh-CN"/>
        </w:rPr>
        <w:t>万元，委托业务费</w:t>
      </w:r>
      <w:r>
        <w:rPr>
          <w:rFonts w:hint="eastAsia" w:ascii="仿宋_GB2312" w:hAnsi="仿宋_GB2312" w:eastAsia="仿宋_GB2312"/>
          <w:color w:val="000000" w:themeColor="text1"/>
          <w:sz w:val="32"/>
          <w:szCs w:val="32"/>
          <w:lang w:val="en-US" w:eastAsia="zh-CN"/>
        </w:rPr>
        <w:t>3.47</w:t>
      </w:r>
      <w:r>
        <w:rPr>
          <w:rFonts w:hint="eastAsia" w:ascii="仿宋_GB2312" w:hAnsi="仿宋_GB2312" w:eastAsia="仿宋_GB2312"/>
          <w:color w:val="000000" w:themeColor="text1"/>
          <w:sz w:val="32"/>
          <w:szCs w:val="32"/>
          <w:lang w:eastAsia="zh-CN"/>
        </w:rPr>
        <w:t>万元，工会经费</w:t>
      </w:r>
      <w:r>
        <w:rPr>
          <w:rFonts w:hint="eastAsia" w:ascii="仿宋_GB2312" w:hAnsi="仿宋_GB2312" w:eastAsia="仿宋_GB2312"/>
          <w:color w:val="000000" w:themeColor="text1"/>
          <w:sz w:val="32"/>
          <w:szCs w:val="32"/>
          <w:lang w:val="en-US" w:eastAsia="zh-CN"/>
        </w:rPr>
        <w:t>4.47万元，福利费27.71万元，</w:t>
      </w:r>
      <w:r>
        <w:rPr>
          <w:rFonts w:hint="eastAsia" w:ascii="仿宋_GB2312" w:hAnsi="仿宋_GB2312" w:eastAsia="仿宋_GB2312"/>
          <w:color w:val="000000" w:themeColor="text1"/>
          <w:sz w:val="32"/>
          <w:szCs w:val="32"/>
          <w:lang w:eastAsia="zh-CN"/>
        </w:rPr>
        <w:t>公车运维费</w:t>
      </w:r>
      <w:r>
        <w:rPr>
          <w:rFonts w:hint="eastAsia" w:ascii="仿宋_GB2312" w:hAnsi="仿宋_GB2312" w:eastAsia="仿宋_GB2312"/>
          <w:color w:val="000000" w:themeColor="text1"/>
          <w:sz w:val="32"/>
          <w:szCs w:val="32"/>
          <w:lang w:val="en-US" w:eastAsia="zh-CN"/>
        </w:rPr>
        <w:t>5.3</w:t>
      </w:r>
      <w:r>
        <w:rPr>
          <w:rFonts w:hint="eastAsia" w:ascii="仿宋_GB2312" w:hAnsi="仿宋_GB2312" w:eastAsia="仿宋_GB2312"/>
          <w:color w:val="000000" w:themeColor="text1"/>
          <w:sz w:val="32"/>
          <w:szCs w:val="32"/>
          <w:lang w:eastAsia="zh-CN"/>
        </w:rPr>
        <w:t>万元。</w:t>
      </w:r>
    </w:p>
    <w:p w14:paraId="389AD77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1F45D90">
      <w:pPr>
        <w:pStyle w:val="2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本部门2023年度政府采购支出总额82.69万元，其中：政府采购货物支出82.69万元</w:t>
      </w:r>
      <w:r>
        <w:rPr>
          <w:rFonts w:hint="eastAsia" w:ascii="仿宋_GB2312" w:hAnsi="仿宋_GB2312" w:eastAsia="仿宋_GB2312"/>
          <w:sz w:val="32"/>
          <w:szCs w:val="32"/>
        </w:rPr>
        <w:t>。</w:t>
      </w:r>
    </w:p>
    <w:p w14:paraId="0D027BBB">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4650227A">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9</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9</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E14FDA1">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1A202152">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62A9E8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773.63</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个项目评价结果</w:t>
      </w:r>
      <w:r>
        <w:rPr>
          <w:rFonts w:hint="eastAsia" w:ascii="仿宋_GB2312" w:hAnsi="仿宋_GB2312" w:eastAsia="仿宋_GB2312" w:cs="仿宋_GB2312"/>
          <w:kern w:val="0"/>
          <w:sz w:val="32"/>
          <w:szCs w:val="32"/>
          <w:lang w:val="en-US" w:eastAsia="zh-CN"/>
        </w:rPr>
        <w:t>均</w:t>
      </w:r>
      <w:r>
        <w:rPr>
          <w:rFonts w:hint="eastAsia" w:ascii="仿宋_GB2312" w:hAnsi="仿宋_GB2312" w:eastAsia="仿宋_GB2312" w:cs="仿宋_GB2312"/>
          <w:kern w:val="0"/>
          <w:sz w:val="32"/>
          <w:szCs w:val="32"/>
        </w:rPr>
        <w:t xml:space="preserve">为“优”。   </w:t>
      </w:r>
    </w:p>
    <w:p w14:paraId="1465571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773.63</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p>
    <w:p w14:paraId="721409E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2338.24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Times New Roman"/>
          <w:color w:val="auto"/>
          <w:sz w:val="32"/>
          <w:szCs w:val="32"/>
          <w:lang w:val="en-US" w:eastAsia="zh-CN"/>
        </w:rPr>
        <w:t>优</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w:t>
      </w:r>
    </w:p>
    <w:p w14:paraId="693CA047">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46F605E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olor w:val="auto"/>
          <w:sz w:val="32"/>
          <w:szCs w:val="32"/>
          <w:lang w:val="en-US" w:eastAsia="zh-CN"/>
        </w:rPr>
        <w:t>本部门共有22个项目，均开展了绩效自评工作；部门整体绩效工作也依财政部门要求如期完成，现本部门决算公开两个单位（浮梁县市场监督管理局本级和浮梁县检验检测认证中心）其中的4个项目自评结果</w:t>
      </w:r>
      <w:r>
        <w:rPr>
          <w:rFonts w:hint="eastAsia" w:ascii="仿宋_GB2312" w:hAnsi="仿宋_GB2312" w:eastAsia="仿宋_GB2312" w:cs="仿宋_GB2312"/>
          <w:color w:val="auto"/>
          <w:kern w:val="0"/>
          <w:sz w:val="32"/>
          <w:szCs w:val="32"/>
        </w:rPr>
        <w:t>：</w:t>
      </w:r>
    </w:p>
    <w:p w14:paraId="76BC6B1D">
      <w:pPr>
        <w:autoSpaceDE w:val="0"/>
        <w:autoSpaceDN w:val="0"/>
        <w:adjustRightInd w:val="0"/>
        <w:spacing w:line="360" w:lineRule="auto"/>
        <w:ind w:firstLine="600"/>
        <w:jc w:val="left"/>
        <w:outlineLvl w:val="2"/>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1.食品安全抽检经费(本级)</w:t>
      </w:r>
    </w:p>
    <w:tbl>
      <w:tblPr>
        <w:tblStyle w:val="12"/>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709"/>
        <w:gridCol w:w="180"/>
        <w:gridCol w:w="1532"/>
        <w:gridCol w:w="1843"/>
        <w:gridCol w:w="1136"/>
        <w:gridCol w:w="1121"/>
        <w:gridCol w:w="820"/>
        <w:gridCol w:w="738"/>
        <w:gridCol w:w="671"/>
        <w:gridCol w:w="621"/>
      </w:tblGrid>
      <w:tr w14:paraId="686D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1"/>
            <w:tcBorders>
              <w:top w:val="nil"/>
              <w:left w:val="nil"/>
              <w:bottom w:val="nil"/>
              <w:right w:val="nil"/>
            </w:tcBorders>
            <w:shd w:val="clear" w:color="auto" w:fill="auto"/>
            <w:vAlign w:val="center"/>
          </w:tcPr>
          <w:p w14:paraId="48042928">
            <w:pPr>
              <w:keepNext w:val="0"/>
              <w:keepLines w:val="0"/>
              <w:widowControl/>
              <w:suppressLineNumbers w:val="0"/>
              <w:jc w:val="center"/>
              <w:textAlignment w:val="center"/>
              <w:rPr>
                <w:rFonts w:hint="eastAsia" w:ascii="宋体" w:hAnsi="宋体" w:eastAsia="宋体" w:cs="宋体"/>
                <w:b/>
                <w:bCs/>
                <w:i w:val="0"/>
                <w:iCs w:val="0"/>
                <w:color w:val="auto"/>
                <w:sz w:val="42"/>
                <w:szCs w:val="42"/>
                <w:u w:val="none"/>
              </w:rPr>
            </w:pPr>
            <w:r>
              <w:rPr>
                <w:rFonts w:hint="eastAsia" w:ascii="宋体" w:hAnsi="宋体" w:eastAsia="宋体" w:cs="宋体"/>
                <w:b/>
                <w:bCs/>
                <w:i w:val="0"/>
                <w:iCs w:val="0"/>
                <w:color w:val="auto"/>
                <w:kern w:val="0"/>
                <w:sz w:val="42"/>
                <w:szCs w:val="42"/>
                <w:u w:val="none"/>
                <w:lang w:val="en-US" w:eastAsia="zh-CN" w:bidi="ar"/>
              </w:rPr>
              <w:t>项目支出绩效自评表</w:t>
            </w:r>
          </w:p>
        </w:tc>
      </w:tr>
      <w:tr w14:paraId="5B9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1"/>
            <w:tcBorders>
              <w:top w:val="nil"/>
              <w:left w:val="nil"/>
              <w:bottom w:val="nil"/>
              <w:right w:val="nil"/>
            </w:tcBorders>
            <w:shd w:val="clear" w:color="auto" w:fill="auto"/>
            <w:vAlign w:val="center"/>
          </w:tcPr>
          <w:p w14:paraId="0EEEA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（2023年度）</w:t>
            </w:r>
          </w:p>
        </w:tc>
      </w:tr>
      <w:tr w14:paraId="4B12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AAD4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项目名称</w:t>
            </w:r>
          </w:p>
        </w:tc>
        <w:tc>
          <w:tcPr>
            <w:tcW w:w="8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F35D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食品安全抽检经费</w:t>
            </w:r>
          </w:p>
        </w:tc>
      </w:tr>
      <w:tr w14:paraId="6137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87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主管部门</w:t>
            </w:r>
          </w:p>
        </w:tc>
        <w:tc>
          <w:tcPr>
            <w:tcW w:w="46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904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浮梁县市场监督管理局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D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实施单位</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17D8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浮梁县市场监督管理局</w:t>
            </w:r>
          </w:p>
        </w:tc>
      </w:tr>
      <w:tr w14:paraId="6FE7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23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项目资金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（万元）</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A5BE3">
            <w:pPr>
              <w:jc w:val="center"/>
              <w:rPr>
                <w:rFonts w:hint="eastAsia" w:ascii="宋体" w:hAnsi="宋体" w:eastAsia="宋体" w:cs="宋体"/>
                <w:i w:val="0"/>
                <w:iCs w:val="0"/>
                <w:color w:val="auto"/>
                <w:sz w:val="16"/>
                <w:szCs w:val="16"/>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CF6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年初预算数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FA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全年预算数A</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95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全年执行数B</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F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E2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6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r>
      <w:tr w14:paraId="1D02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2212">
            <w:pPr>
              <w:jc w:val="center"/>
              <w:rPr>
                <w:rFonts w:hint="eastAsia" w:ascii="宋体" w:hAnsi="宋体" w:eastAsia="宋体" w:cs="宋体"/>
                <w:i w:val="0"/>
                <w:iCs w:val="0"/>
                <w:color w:val="auto"/>
                <w:sz w:val="16"/>
                <w:szCs w:val="16"/>
                <w:u w:val="none"/>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B6CC">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年度资金总额</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8C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0F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A8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03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 </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087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65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w:t>
            </w:r>
          </w:p>
        </w:tc>
      </w:tr>
      <w:tr w14:paraId="29C9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484B">
            <w:pPr>
              <w:jc w:val="center"/>
              <w:rPr>
                <w:rFonts w:hint="eastAsia" w:ascii="宋体" w:hAnsi="宋体" w:eastAsia="宋体" w:cs="宋体"/>
                <w:i w:val="0"/>
                <w:iCs w:val="0"/>
                <w:color w:val="auto"/>
                <w:sz w:val="16"/>
                <w:szCs w:val="16"/>
                <w:u w:val="none"/>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978A6">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政府预算资金</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A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D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CD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D7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003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0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w:t>
            </w:r>
          </w:p>
        </w:tc>
      </w:tr>
      <w:tr w14:paraId="260F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2C0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总体</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目标</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FF0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预期目标</w:t>
            </w:r>
          </w:p>
        </w:tc>
        <w:tc>
          <w:tcPr>
            <w:tcW w:w="3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986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实际完成情况</w:t>
            </w:r>
          </w:p>
        </w:tc>
      </w:tr>
      <w:tr w14:paraId="5497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DF48">
            <w:pPr>
              <w:jc w:val="center"/>
              <w:rPr>
                <w:rFonts w:hint="eastAsia" w:ascii="宋体" w:hAnsi="宋体" w:eastAsia="宋体" w:cs="宋体"/>
                <w:i w:val="0"/>
                <w:iCs w:val="0"/>
                <w:color w:val="auto"/>
                <w:sz w:val="16"/>
                <w:szCs w:val="16"/>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E16F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高度重视食品安全抽检工作，确保年度食品安全筹建工作落实到位，不合格食品依法及时处置，抽检信息公布到位。</w:t>
            </w:r>
          </w:p>
        </w:tc>
        <w:tc>
          <w:tcPr>
            <w:tcW w:w="39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389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2023年市县安排食品安全抽检监测计划247批次，省转移安排食品安全抽检监测190批次，合计抽检437批次。截止年底食品安全抽检监测计划已全部完成，对于抽检不合格食品核查处置9批次，各项抽检合格率为98%。</w:t>
            </w:r>
          </w:p>
        </w:tc>
      </w:tr>
      <w:tr w14:paraId="7DCD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844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绩效指标</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76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一级指标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99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二级指标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BB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三级指标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B4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年度</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指标</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1AB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实际</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完成值</w:t>
            </w:r>
          </w:p>
        </w:tc>
        <w:tc>
          <w:tcPr>
            <w:tcW w:w="82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29F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分值</w:t>
            </w:r>
          </w:p>
        </w:tc>
        <w:tc>
          <w:tcPr>
            <w:tcW w:w="73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DBB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得分</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5D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偏差原因分析</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及改进措施</w:t>
            </w:r>
          </w:p>
        </w:tc>
      </w:tr>
      <w:tr w14:paraId="44F8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FAB54">
            <w:pPr>
              <w:jc w:val="center"/>
              <w:rPr>
                <w:rFonts w:hint="eastAsia" w:ascii="宋体" w:hAnsi="宋体" w:eastAsia="宋体" w:cs="宋体"/>
                <w:i w:val="0"/>
                <w:iCs w:val="0"/>
                <w:color w:val="auto"/>
                <w:sz w:val="16"/>
                <w:szCs w:val="16"/>
                <w:u w:val="none"/>
              </w:rPr>
            </w:pPr>
          </w:p>
        </w:tc>
        <w:tc>
          <w:tcPr>
            <w:tcW w:w="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863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成本指标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8A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经济成本指标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EE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每批次平均抽检成本</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7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≤1000元</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7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1E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93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92AC">
            <w:pPr>
              <w:jc w:val="center"/>
              <w:rPr>
                <w:rFonts w:hint="eastAsia" w:ascii="宋体" w:hAnsi="宋体" w:eastAsia="宋体" w:cs="宋体"/>
                <w:i w:val="0"/>
                <w:iCs w:val="0"/>
                <w:color w:val="auto"/>
                <w:sz w:val="16"/>
                <w:szCs w:val="16"/>
                <w:u w:val="none"/>
              </w:rPr>
            </w:pPr>
          </w:p>
        </w:tc>
      </w:tr>
      <w:tr w14:paraId="0C0C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188FD">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1397">
            <w:pPr>
              <w:jc w:val="center"/>
              <w:rPr>
                <w:rFonts w:hint="eastAsia" w:ascii="宋体" w:hAnsi="宋体" w:eastAsia="宋体" w:cs="宋体"/>
                <w:i w:val="0"/>
                <w:iCs w:val="0"/>
                <w:color w:val="auto"/>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E14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社会成本指标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679B">
            <w:pPr>
              <w:jc w:val="left"/>
              <w:rPr>
                <w:rFonts w:hint="eastAsia" w:ascii="宋体" w:hAnsi="宋体" w:eastAsia="宋体" w:cs="宋体"/>
                <w:i w:val="0"/>
                <w:iCs w:val="0"/>
                <w:color w:val="auto"/>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54B">
            <w:pPr>
              <w:jc w:val="center"/>
              <w:rPr>
                <w:rFonts w:hint="eastAsia" w:ascii="宋体" w:hAnsi="宋体" w:eastAsia="宋体" w:cs="宋体"/>
                <w:i w:val="0"/>
                <w:iCs w:val="0"/>
                <w:color w:val="auto"/>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071">
            <w:pPr>
              <w:jc w:val="center"/>
              <w:rPr>
                <w:rFonts w:hint="eastAsia" w:ascii="宋体" w:hAnsi="宋体" w:eastAsia="宋体" w:cs="宋体"/>
                <w:i w:val="0"/>
                <w:iCs w:val="0"/>
                <w:color w:val="auto"/>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3CD8">
            <w:pPr>
              <w:jc w:val="center"/>
              <w:rPr>
                <w:rFonts w:hint="eastAsia" w:ascii="宋体" w:hAnsi="宋体" w:eastAsia="宋体" w:cs="宋体"/>
                <w:i w:val="0"/>
                <w:iCs w:val="0"/>
                <w:color w:val="auto"/>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2C07">
            <w:pPr>
              <w:jc w:val="center"/>
              <w:rPr>
                <w:rFonts w:hint="eastAsia" w:ascii="宋体" w:hAnsi="宋体" w:eastAsia="宋体" w:cs="宋体"/>
                <w:i w:val="0"/>
                <w:iCs w:val="0"/>
                <w:color w:val="auto"/>
                <w:sz w:val="16"/>
                <w:szCs w:val="16"/>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8AE0D">
            <w:pPr>
              <w:jc w:val="center"/>
              <w:rPr>
                <w:rFonts w:hint="eastAsia" w:ascii="宋体" w:hAnsi="宋体" w:eastAsia="宋体" w:cs="宋体"/>
                <w:i w:val="0"/>
                <w:iCs w:val="0"/>
                <w:color w:val="auto"/>
                <w:sz w:val="16"/>
                <w:szCs w:val="16"/>
                <w:u w:val="none"/>
              </w:rPr>
            </w:pPr>
          </w:p>
        </w:tc>
      </w:tr>
      <w:tr w14:paraId="0837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E53AE">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D2FD">
            <w:pPr>
              <w:jc w:val="center"/>
              <w:rPr>
                <w:rFonts w:hint="eastAsia" w:ascii="宋体" w:hAnsi="宋体" w:eastAsia="宋体" w:cs="宋体"/>
                <w:i w:val="0"/>
                <w:iCs w:val="0"/>
                <w:color w:val="auto"/>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1F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生态环境成本指标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B1B1">
            <w:pPr>
              <w:jc w:val="left"/>
              <w:rPr>
                <w:rFonts w:hint="eastAsia" w:ascii="宋体" w:hAnsi="宋体" w:eastAsia="宋体" w:cs="宋体"/>
                <w:i w:val="0"/>
                <w:iCs w:val="0"/>
                <w:color w:val="auto"/>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301A">
            <w:pPr>
              <w:jc w:val="center"/>
              <w:rPr>
                <w:rFonts w:hint="eastAsia" w:ascii="宋体" w:hAnsi="宋体" w:eastAsia="宋体" w:cs="宋体"/>
                <w:i w:val="0"/>
                <w:iCs w:val="0"/>
                <w:color w:val="auto"/>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4A3">
            <w:pPr>
              <w:jc w:val="center"/>
              <w:rPr>
                <w:rFonts w:hint="eastAsia" w:ascii="宋体" w:hAnsi="宋体" w:eastAsia="宋体" w:cs="宋体"/>
                <w:i w:val="0"/>
                <w:iCs w:val="0"/>
                <w:color w:val="auto"/>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B3A">
            <w:pPr>
              <w:jc w:val="center"/>
              <w:rPr>
                <w:rFonts w:hint="eastAsia" w:ascii="宋体" w:hAnsi="宋体" w:eastAsia="宋体" w:cs="宋体"/>
                <w:i w:val="0"/>
                <w:iCs w:val="0"/>
                <w:color w:val="auto"/>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7543">
            <w:pPr>
              <w:jc w:val="center"/>
              <w:rPr>
                <w:rFonts w:hint="eastAsia" w:ascii="宋体" w:hAnsi="宋体" w:eastAsia="宋体" w:cs="宋体"/>
                <w:i w:val="0"/>
                <w:iCs w:val="0"/>
                <w:color w:val="auto"/>
                <w:sz w:val="16"/>
                <w:szCs w:val="16"/>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52F84">
            <w:pPr>
              <w:jc w:val="center"/>
              <w:rPr>
                <w:rFonts w:hint="eastAsia" w:ascii="宋体" w:hAnsi="宋体" w:eastAsia="宋体" w:cs="宋体"/>
                <w:i w:val="0"/>
                <w:iCs w:val="0"/>
                <w:color w:val="auto"/>
                <w:sz w:val="16"/>
                <w:szCs w:val="16"/>
                <w:u w:val="none"/>
              </w:rPr>
            </w:pPr>
          </w:p>
        </w:tc>
      </w:tr>
      <w:tr w14:paraId="6B83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F8BED">
            <w:pPr>
              <w:jc w:val="center"/>
              <w:rPr>
                <w:rFonts w:hint="eastAsia" w:ascii="宋体" w:hAnsi="宋体" w:eastAsia="宋体" w:cs="宋体"/>
                <w:i w:val="0"/>
                <w:iCs w:val="0"/>
                <w:color w:val="auto"/>
                <w:sz w:val="16"/>
                <w:szCs w:val="16"/>
                <w:u w:val="none"/>
              </w:rPr>
            </w:pPr>
          </w:p>
        </w:tc>
        <w:tc>
          <w:tcPr>
            <w:tcW w:w="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57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产出指标</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86B5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927D">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食品安全县级匹配监督抽检批次</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8E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≥200批次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01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8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C1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C0608">
            <w:pPr>
              <w:jc w:val="center"/>
              <w:rPr>
                <w:rFonts w:hint="eastAsia" w:ascii="宋体" w:hAnsi="宋体" w:eastAsia="宋体" w:cs="宋体"/>
                <w:i w:val="0"/>
                <w:iCs w:val="0"/>
                <w:color w:val="auto"/>
                <w:sz w:val="16"/>
                <w:szCs w:val="16"/>
                <w:u w:val="none"/>
              </w:rPr>
            </w:pPr>
          </w:p>
        </w:tc>
      </w:tr>
      <w:tr w14:paraId="018A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DC21AA">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0B49">
            <w:pPr>
              <w:jc w:val="center"/>
              <w:rPr>
                <w:rFonts w:hint="eastAsia" w:ascii="宋体" w:hAnsi="宋体" w:eastAsia="宋体" w:cs="宋体"/>
                <w:i w:val="0"/>
                <w:iCs w:val="0"/>
                <w:color w:val="auto"/>
                <w:sz w:val="16"/>
                <w:szCs w:val="16"/>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6F84">
            <w:pPr>
              <w:jc w:val="center"/>
              <w:rPr>
                <w:rFonts w:hint="eastAsia" w:ascii="宋体" w:hAnsi="宋体" w:eastAsia="宋体" w:cs="宋体"/>
                <w:i w:val="0"/>
                <w:iCs w:val="0"/>
                <w:color w:val="auto"/>
                <w:sz w:val="16"/>
                <w:szCs w:val="16"/>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2BA">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抽检场所</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B0F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≥5个</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0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FB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2C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DAD7A">
            <w:pPr>
              <w:jc w:val="center"/>
              <w:rPr>
                <w:rFonts w:hint="eastAsia" w:ascii="宋体" w:hAnsi="宋体" w:eastAsia="宋体" w:cs="宋体"/>
                <w:i w:val="0"/>
                <w:iCs w:val="0"/>
                <w:color w:val="auto"/>
                <w:sz w:val="16"/>
                <w:szCs w:val="16"/>
                <w:u w:val="none"/>
              </w:rPr>
            </w:pPr>
          </w:p>
        </w:tc>
      </w:tr>
      <w:tr w14:paraId="0B3C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BDC47F">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F621">
            <w:pPr>
              <w:jc w:val="center"/>
              <w:rPr>
                <w:rFonts w:hint="eastAsia" w:ascii="宋体" w:hAnsi="宋体" w:eastAsia="宋体" w:cs="宋体"/>
                <w:i w:val="0"/>
                <w:iCs w:val="0"/>
                <w:color w:val="auto"/>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F9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质量指标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AF4">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抽检不合格食品处置率</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A9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8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4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B6AD3">
            <w:pPr>
              <w:jc w:val="center"/>
              <w:rPr>
                <w:rFonts w:hint="eastAsia" w:ascii="宋体" w:hAnsi="宋体" w:eastAsia="宋体" w:cs="宋体"/>
                <w:i w:val="0"/>
                <w:iCs w:val="0"/>
                <w:color w:val="auto"/>
                <w:sz w:val="16"/>
                <w:szCs w:val="16"/>
                <w:u w:val="none"/>
              </w:rPr>
            </w:pPr>
          </w:p>
        </w:tc>
      </w:tr>
      <w:tr w14:paraId="38A9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AC0869">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C57B">
            <w:pPr>
              <w:jc w:val="center"/>
              <w:rPr>
                <w:rFonts w:hint="eastAsia" w:ascii="宋体" w:hAnsi="宋体" w:eastAsia="宋体" w:cs="宋体"/>
                <w:i w:val="0"/>
                <w:iCs w:val="0"/>
                <w:color w:val="auto"/>
                <w:sz w:val="16"/>
                <w:szCs w:val="16"/>
                <w:u w:val="none"/>
              </w:rPr>
            </w:pP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DA6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时效指标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0272">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完成抽样工作</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4E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≤12月31日</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3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258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B8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14E25">
            <w:pPr>
              <w:jc w:val="center"/>
              <w:rPr>
                <w:rFonts w:hint="eastAsia" w:ascii="宋体" w:hAnsi="宋体" w:eastAsia="宋体" w:cs="宋体"/>
                <w:i w:val="0"/>
                <w:iCs w:val="0"/>
                <w:color w:val="auto"/>
                <w:sz w:val="16"/>
                <w:szCs w:val="16"/>
                <w:u w:val="none"/>
              </w:rPr>
            </w:pPr>
          </w:p>
        </w:tc>
      </w:tr>
      <w:tr w14:paraId="6580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F2516E">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7903">
            <w:pPr>
              <w:jc w:val="center"/>
              <w:rPr>
                <w:rFonts w:hint="eastAsia" w:ascii="宋体" w:hAnsi="宋体" w:eastAsia="宋体" w:cs="宋体"/>
                <w:i w:val="0"/>
                <w:iCs w:val="0"/>
                <w:color w:val="auto"/>
                <w:sz w:val="16"/>
                <w:szCs w:val="16"/>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6A84">
            <w:pPr>
              <w:jc w:val="center"/>
              <w:rPr>
                <w:rFonts w:hint="eastAsia" w:ascii="宋体" w:hAnsi="宋体" w:eastAsia="宋体" w:cs="宋体"/>
                <w:i w:val="0"/>
                <w:iCs w:val="0"/>
                <w:color w:val="auto"/>
                <w:sz w:val="16"/>
                <w:szCs w:val="16"/>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93DB">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启动核查处置程序</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EDB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≤3工作日</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B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4E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777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5D160">
            <w:pPr>
              <w:jc w:val="center"/>
              <w:rPr>
                <w:rFonts w:hint="eastAsia" w:ascii="宋体" w:hAnsi="宋体" w:eastAsia="宋体" w:cs="宋体"/>
                <w:i w:val="0"/>
                <w:iCs w:val="0"/>
                <w:color w:val="auto"/>
                <w:sz w:val="16"/>
                <w:szCs w:val="16"/>
                <w:u w:val="none"/>
              </w:rPr>
            </w:pPr>
          </w:p>
        </w:tc>
      </w:tr>
      <w:tr w14:paraId="1357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E68BC">
            <w:pPr>
              <w:jc w:val="center"/>
              <w:rPr>
                <w:rFonts w:hint="eastAsia" w:ascii="宋体" w:hAnsi="宋体" w:eastAsia="宋体" w:cs="宋体"/>
                <w:i w:val="0"/>
                <w:iCs w:val="0"/>
                <w:color w:val="auto"/>
                <w:sz w:val="16"/>
                <w:szCs w:val="16"/>
                <w:u w:val="none"/>
              </w:rPr>
            </w:pPr>
          </w:p>
        </w:tc>
        <w:tc>
          <w:tcPr>
            <w:tcW w:w="8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291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效益指标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304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经济效益指标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3509">
            <w:pPr>
              <w:jc w:val="left"/>
              <w:rPr>
                <w:rFonts w:hint="eastAsia" w:ascii="宋体" w:hAnsi="宋体" w:eastAsia="宋体" w:cs="宋体"/>
                <w:i w:val="0"/>
                <w:iCs w:val="0"/>
                <w:color w:val="auto"/>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0A66">
            <w:pPr>
              <w:jc w:val="center"/>
              <w:rPr>
                <w:rFonts w:hint="eastAsia" w:ascii="宋体" w:hAnsi="宋体" w:eastAsia="宋体" w:cs="宋体"/>
                <w:i w:val="0"/>
                <w:iCs w:val="0"/>
                <w:color w:val="auto"/>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5EA2">
            <w:pPr>
              <w:jc w:val="center"/>
              <w:rPr>
                <w:rFonts w:hint="eastAsia" w:ascii="宋体" w:hAnsi="宋体" w:eastAsia="宋体" w:cs="宋体"/>
                <w:i w:val="0"/>
                <w:iCs w:val="0"/>
                <w:color w:val="auto"/>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6FDC">
            <w:pPr>
              <w:jc w:val="center"/>
              <w:rPr>
                <w:rFonts w:hint="eastAsia" w:ascii="宋体" w:hAnsi="宋体" w:eastAsia="宋体" w:cs="宋体"/>
                <w:i w:val="0"/>
                <w:iCs w:val="0"/>
                <w:color w:val="auto"/>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679C">
            <w:pPr>
              <w:jc w:val="center"/>
              <w:rPr>
                <w:rFonts w:hint="eastAsia" w:ascii="宋体" w:hAnsi="宋体" w:eastAsia="宋体" w:cs="宋体"/>
                <w:i w:val="0"/>
                <w:iCs w:val="0"/>
                <w:color w:val="auto"/>
                <w:sz w:val="16"/>
                <w:szCs w:val="16"/>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D9326">
            <w:pPr>
              <w:jc w:val="center"/>
              <w:rPr>
                <w:rFonts w:hint="eastAsia" w:ascii="宋体" w:hAnsi="宋体" w:eastAsia="宋体" w:cs="宋体"/>
                <w:i w:val="0"/>
                <w:iCs w:val="0"/>
                <w:color w:val="auto"/>
                <w:sz w:val="16"/>
                <w:szCs w:val="16"/>
                <w:u w:val="none"/>
              </w:rPr>
            </w:pPr>
          </w:p>
        </w:tc>
      </w:tr>
      <w:tr w14:paraId="657C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07048">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5248">
            <w:pPr>
              <w:jc w:val="center"/>
              <w:rPr>
                <w:rFonts w:hint="eastAsia" w:ascii="宋体" w:hAnsi="宋体" w:eastAsia="宋体" w:cs="宋体"/>
                <w:i w:val="0"/>
                <w:iCs w:val="0"/>
                <w:color w:val="auto"/>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49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社会效益指标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790">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通过抽检发现假冒伪劣产品，及时开展核查处置执法，有效防控危害隐患的发生</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2BA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有效防控</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2B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基本达成目标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F4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F5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AAA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基层监管任务重、人员少，监管覆盖面难以保证。</w:t>
            </w:r>
          </w:p>
        </w:tc>
      </w:tr>
      <w:tr w14:paraId="0466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79A5AD">
            <w:pPr>
              <w:jc w:val="center"/>
              <w:rPr>
                <w:rFonts w:hint="eastAsia" w:ascii="宋体" w:hAnsi="宋体" w:eastAsia="宋体" w:cs="宋体"/>
                <w:i w:val="0"/>
                <w:iCs w:val="0"/>
                <w:color w:val="auto"/>
                <w:sz w:val="16"/>
                <w:szCs w:val="16"/>
                <w:u w:val="none"/>
              </w:rPr>
            </w:pPr>
          </w:p>
        </w:tc>
        <w:tc>
          <w:tcPr>
            <w:tcW w:w="8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E104">
            <w:pPr>
              <w:jc w:val="center"/>
              <w:rPr>
                <w:rFonts w:hint="eastAsia" w:ascii="宋体" w:hAnsi="宋体" w:eastAsia="宋体" w:cs="宋体"/>
                <w:i w:val="0"/>
                <w:iCs w:val="0"/>
                <w:color w:val="auto"/>
                <w:sz w:val="16"/>
                <w:szCs w:val="16"/>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E2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生态效益指标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AB8E">
            <w:pPr>
              <w:jc w:val="left"/>
              <w:rPr>
                <w:rFonts w:hint="eastAsia" w:ascii="宋体" w:hAnsi="宋体" w:eastAsia="宋体" w:cs="宋体"/>
                <w:i w:val="0"/>
                <w:iCs w:val="0"/>
                <w:color w:val="auto"/>
                <w:sz w:val="16"/>
                <w:szCs w:val="16"/>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07BE">
            <w:pPr>
              <w:jc w:val="center"/>
              <w:rPr>
                <w:rFonts w:hint="eastAsia" w:ascii="宋体" w:hAnsi="宋体" w:eastAsia="宋体" w:cs="宋体"/>
                <w:i w:val="0"/>
                <w:iCs w:val="0"/>
                <w:color w:val="auto"/>
                <w:sz w:val="16"/>
                <w:szCs w:val="16"/>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24B8">
            <w:pPr>
              <w:jc w:val="center"/>
              <w:rPr>
                <w:rFonts w:hint="eastAsia" w:ascii="宋体" w:hAnsi="宋体" w:eastAsia="宋体" w:cs="宋体"/>
                <w:i w:val="0"/>
                <w:iCs w:val="0"/>
                <w:color w:val="auto"/>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6F1E">
            <w:pPr>
              <w:jc w:val="center"/>
              <w:rPr>
                <w:rFonts w:hint="eastAsia" w:ascii="宋体" w:hAnsi="宋体" w:eastAsia="宋体" w:cs="宋体"/>
                <w:i w:val="0"/>
                <w:iCs w:val="0"/>
                <w:color w:val="auto"/>
                <w:sz w:val="16"/>
                <w:szCs w:val="16"/>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DB8">
            <w:pPr>
              <w:jc w:val="center"/>
              <w:rPr>
                <w:rFonts w:hint="eastAsia" w:ascii="宋体" w:hAnsi="宋体" w:eastAsia="宋体" w:cs="宋体"/>
                <w:i w:val="0"/>
                <w:iCs w:val="0"/>
                <w:color w:val="auto"/>
                <w:sz w:val="16"/>
                <w:szCs w:val="16"/>
                <w:u w:val="none"/>
              </w:rP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7AB4A">
            <w:pPr>
              <w:jc w:val="center"/>
              <w:rPr>
                <w:rFonts w:hint="eastAsia" w:ascii="宋体" w:hAnsi="宋体" w:eastAsia="宋体" w:cs="宋体"/>
                <w:i w:val="0"/>
                <w:iCs w:val="0"/>
                <w:color w:val="auto"/>
                <w:sz w:val="16"/>
                <w:szCs w:val="16"/>
                <w:u w:val="none"/>
              </w:rPr>
            </w:pPr>
          </w:p>
        </w:tc>
      </w:tr>
      <w:tr w14:paraId="75A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3B586">
            <w:pPr>
              <w:jc w:val="center"/>
              <w:rPr>
                <w:rFonts w:hint="eastAsia" w:ascii="宋体" w:hAnsi="宋体" w:eastAsia="宋体" w:cs="宋体"/>
                <w:i w:val="0"/>
                <w:iCs w:val="0"/>
                <w:color w:val="auto"/>
                <w:sz w:val="16"/>
                <w:szCs w:val="16"/>
                <w:u w:val="none"/>
              </w:rPr>
            </w:pP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740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满意度指标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17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服务对象满意度</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DFE">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公众对食品质量安全监管的满意程度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C6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E6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6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F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FE7C6">
            <w:pPr>
              <w:jc w:val="center"/>
              <w:rPr>
                <w:rFonts w:hint="eastAsia" w:ascii="宋体" w:hAnsi="宋体" w:eastAsia="宋体" w:cs="宋体"/>
                <w:i w:val="0"/>
                <w:iCs w:val="0"/>
                <w:color w:val="auto"/>
                <w:sz w:val="16"/>
                <w:szCs w:val="16"/>
                <w:u w:val="none"/>
              </w:rPr>
            </w:pPr>
          </w:p>
        </w:tc>
      </w:tr>
      <w:tr w14:paraId="351D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95AC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总分</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9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C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97</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DD11B">
            <w:pPr>
              <w:jc w:val="center"/>
              <w:rPr>
                <w:rFonts w:hint="eastAsia" w:ascii="宋体" w:hAnsi="宋体" w:eastAsia="宋体" w:cs="宋体"/>
                <w:i w:val="0"/>
                <w:iCs w:val="0"/>
                <w:color w:val="auto"/>
                <w:sz w:val="16"/>
                <w:szCs w:val="16"/>
                <w:u w:val="none"/>
              </w:rPr>
            </w:pPr>
          </w:p>
        </w:tc>
      </w:tr>
    </w:tbl>
    <w:p w14:paraId="7E281C3A">
      <w:pPr>
        <w:autoSpaceDE w:val="0"/>
        <w:autoSpaceDN w:val="0"/>
        <w:adjustRightInd w:val="0"/>
        <w:spacing w:line="360" w:lineRule="auto"/>
        <w:ind w:firstLine="600"/>
        <w:jc w:val="left"/>
        <w:outlineLvl w:val="2"/>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2.2022年度科技创新奖励(知识产权类)资金(本级)</w:t>
      </w:r>
    </w:p>
    <w:tbl>
      <w:tblPr>
        <w:tblStyle w:val="12"/>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844"/>
        <w:gridCol w:w="67"/>
        <w:gridCol w:w="1223"/>
        <w:gridCol w:w="1627"/>
        <w:gridCol w:w="1039"/>
        <w:gridCol w:w="1407"/>
        <w:gridCol w:w="1027"/>
        <w:gridCol w:w="1030"/>
        <w:gridCol w:w="621"/>
        <w:gridCol w:w="621"/>
      </w:tblGrid>
      <w:tr w14:paraId="4ADE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1"/>
            <w:tcBorders>
              <w:top w:val="nil"/>
              <w:left w:val="nil"/>
              <w:bottom w:val="nil"/>
              <w:right w:val="nil"/>
            </w:tcBorders>
            <w:shd w:val="clear" w:color="auto" w:fill="auto"/>
            <w:vAlign w:val="center"/>
          </w:tcPr>
          <w:p w14:paraId="653F522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48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1"/>
            <w:tcBorders>
              <w:top w:val="nil"/>
              <w:left w:val="nil"/>
              <w:bottom w:val="nil"/>
              <w:right w:val="nil"/>
            </w:tcBorders>
            <w:shd w:val="clear" w:color="auto" w:fill="auto"/>
            <w:vAlign w:val="center"/>
          </w:tcPr>
          <w:p w14:paraId="5AA30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（2023年度）</w:t>
            </w:r>
          </w:p>
        </w:tc>
      </w:tr>
      <w:tr w14:paraId="4466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69F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6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4D1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2022年度科技创新奖励(知识产权类)资金</w:t>
            </w:r>
          </w:p>
        </w:tc>
      </w:tr>
      <w:tr w14:paraId="2D21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F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1F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浮梁县市场监督管理局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EA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浮梁县市场监督管理局</w:t>
            </w:r>
          </w:p>
        </w:tc>
      </w:tr>
      <w:tr w14:paraId="764C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8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94302">
            <w:pPr>
              <w:jc w:val="center"/>
              <w:rPr>
                <w:rFonts w:hint="eastAsia" w:ascii="宋体" w:hAnsi="宋体" w:eastAsia="宋体" w:cs="宋体"/>
                <w:i w:val="0"/>
                <w:iCs w:val="0"/>
                <w:color w:val="000000"/>
                <w:sz w:val="16"/>
                <w:szCs w:val="16"/>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0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1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6DB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2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A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0993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BBCD">
            <w:pPr>
              <w:jc w:val="center"/>
              <w:rPr>
                <w:rFonts w:hint="eastAsia" w:ascii="宋体" w:hAnsi="宋体" w:eastAsia="宋体" w:cs="宋体"/>
                <w:i w:val="0"/>
                <w:iCs w:val="0"/>
                <w:color w:val="000000"/>
                <w:sz w:val="16"/>
                <w:szCs w:val="16"/>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041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年度资金总额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5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23.354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66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23.354</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41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A87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603B">
            <w:pPr>
              <w:jc w:val="center"/>
              <w:rPr>
                <w:rFonts w:hint="eastAsia" w:ascii="宋体" w:hAnsi="宋体" w:eastAsia="宋体" w:cs="宋体"/>
                <w:i w:val="0"/>
                <w:iCs w:val="0"/>
                <w:color w:val="000000"/>
                <w:sz w:val="16"/>
                <w:szCs w:val="16"/>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37B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政府预算资金</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8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23.3536</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23.3536</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E8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8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3C48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0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总体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B1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01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0F43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8C04">
            <w:pPr>
              <w:jc w:val="center"/>
              <w:rPr>
                <w:rFonts w:hint="eastAsia" w:ascii="宋体" w:hAnsi="宋体" w:eastAsia="宋体" w:cs="宋体"/>
                <w:i w:val="0"/>
                <w:iCs w:val="0"/>
                <w:color w:val="000000"/>
                <w:sz w:val="16"/>
                <w:szCs w:val="16"/>
                <w:u w:val="none"/>
              </w:rPr>
            </w:pP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9A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2022年度科技创新奖励(知识产权类)资金</w:t>
            </w:r>
          </w:p>
        </w:tc>
        <w:tc>
          <w:tcPr>
            <w:tcW w:w="4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F7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全县授权专利721件，其中授权发明专利77件，实用新型198件，外观设计446件；现有有效发明专利462件，同比增长16.96%；每万人有效发明专利拥有量16.5件，同比增长2.39件，高价值发明专利102件，每万人价值专利拥有量3.64件，同比增长10.64%。奖励办法助推有力，完善《浮梁县促进知识产权高质量发展管理办法（修订稿）》，将授权发明专利转化运用奖励由原来的3千元提高至3万元，提高全县知识产权创造热情，成功兑现2022年度申请促进知识产权高质量发展奖补23.3536万元。</w:t>
            </w:r>
          </w:p>
        </w:tc>
      </w:tr>
      <w:tr w14:paraId="52D1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C8F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27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C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三级指标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102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72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98C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D1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及改进措施</w:t>
            </w:r>
          </w:p>
        </w:tc>
      </w:tr>
      <w:tr w14:paraId="563F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839F8">
            <w:pPr>
              <w:jc w:val="center"/>
              <w:rPr>
                <w:rFonts w:hint="eastAsia" w:ascii="宋体" w:hAnsi="宋体" w:eastAsia="宋体" w:cs="宋体"/>
                <w:i w:val="0"/>
                <w:iCs w:val="0"/>
                <w:color w:val="000000"/>
                <w:sz w:val="16"/>
                <w:szCs w:val="16"/>
                <w:u w:val="none"/>
              </w:rPr>
            </w:pPr>
          </w:p>
        </w:tc>
        <w:tc>
          <w:tcPr>
            <w:tcW w:w="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B3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4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4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高维持发明专利 官费补助费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E0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≥2136元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3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2C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9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CCF07">
            <w:pPr>
              <w:jc w:val="center"/>
              <w:rPr>
                <w:rFonts w:hint="eastAsia" w:ascii="宋体" w:hAnsi="宋体" w:eastAsia="宋体" w:cs="宋体"/>
                <w:i w:val="0"/>
                <w:iCs w:val="0"/>
                <w:color w:val="000000"/>
                <w:sz w:val="16"/>
                <w:szCs w:val="16"/>
                <w:u w:val="none"/>
              </w:rPr>
            </w:pPr>
          </w:p>
        </w:tc>
      </w:tr>
      <w:tr w14:paraId="2C8F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13F6E">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8D37">
            <w:pPr>
              <w:jc w:val="center"/>
              <w:rPr>
                <w:rFonts w:hint="eastAsia" w:ascii="宋体" w:hAnsi="宋体" w:eastAsia="宋体" w:cs="宋体"/>
                <w:i w:val="0"/>
                <w:iCs w:val="0"/>
                <w:color w:val="000000"/>
                <w:sz w:val="16"/>
                <w:szCs w:val="16"/>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2AC9">
            <w:pPr>
              <w:jc w:val="center"/>
              <w:rPr>
                <w:rFonts w:hint="eastAsia" w:ascii="宋体" w:hAnsi="宋体" w:eastAsia="宋体" w:cs="宋体"/>
                <w:i w:val="0"/>
                <w:iCs w:val="0"/>
                <w:color w:val="000000"/>
                <w:sz w:val="16"/>
                <w:szCs w:val="16"/>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9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专利转化运用奖励费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D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≥39400元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0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39400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19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8717">
            <w:pPr>
              <w:jc w:val="center"/>
              <w:rPr>
                <w:rFonts w:hint="eastAsia" w:ascii="宋体" w:hAnsi="宋体" w:eastAsia="宋体" w:cs="宋体"/>
                <w:i w:val="0"/>
                <w:iCs w:val="0"/>
                <w:color w:val="000000"/>
                <w:sz w:val="16"/>
                <w:szCs w:val="16"/>
                <w:u w:val="none"/>
              </w:rPr>
            </w:pPr>
          </w:p>
        </w:tc>
      </w:tr>
      <w:tr w14:paraId="17C3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E96ED">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9368">
            <w:pPr>
              <w:jc w:val="center"/>
              <w:rPr>
                <w:rFonts w:hint="eastAsia" w:ascii="宋体" w:hAnsi="宋体" w:eastAsia="宋体" w:cs="宋体"/>
                <w:i w:val="0"/>
                <w:iCs w:val="0"/>
                <w:color w:val="000000"/>
                <w:sz w:val="16"/>
                <w:szCs w:val="16"/>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27A3">
            <w:pPr>
              <w:jc w:val="center"/>
              <w:rPr>
                <w:rFonts w:hint="eastAsia" w:ascii="宋体" w:hAnsi="宋体" w:eastAsia="宋体" w:cs="宋体"/>
                <w:i w:val="0"/>
                <w:iCs w:val="0"/>
                <w:color w:val="000000"/>
                <w:sz w:val="16"/>
                <w:szCs w:val="16"/>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F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发明专利授权奖励费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2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≥192000元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192000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B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3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252D">
            <w:pPr>
              <w:jc w:val="center"/>
              <w:rPr>
                <w:rFonts w:hint="eastAsia" w:ascii="宋体" w:hAnsi="宋体" w:eastAsia="宋体" w:cs="宋体"/>
                <w:i w:val="0"/>
                <w:iCs w:val="0"/>
                <w:color w:val="000000"/>
                <w:sz w:val="16"/>
                <w:szCs w:val="16"/>
                <w:u w:val="none"/>
              </w:rPr>
            </w:pPr>
          </w:p>
        </w:tc>
      </w:tr>
      <w:tr w14:paraId="6425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52D26B">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AD94">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38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5158">
            <w:pPr>
              <w:jc w:val="left"/>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B3E">
            <w:pPr>
              <w:jc w:val="center"/>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21F">
            <w:pPr>
              <w:jc w:val="center"/>
              <w:rPr>
                <w:rFonts w:hint="eastAsia" w:ascii="宋体" w:hAnsi="宋体" w:eastAsia="宋体" w:cs="宋体"/>
                <w:i w:val="0"/>
                <w:iCs w:val="0"/>
                <w:color w:val="000000"/>
                <w:sz w:val="16"/>
                <w:szCs w:val="16"/>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179A">
            <w:pPr>
              <w:jc w:val="center"/>
              <w:rPr>
                <w:rFonts w:hint="eastAsia" w:ascii="宋体" w:hAnsi="宋体" w:eastAsia="宋体" w:cs="宋体"/>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9B68">
            <w:pPr>
              <w:jc w:val="center"/>
              <w:rPr>
                <w:rFonts w:hint="eastAsia" w:ascii="宋体" w:hAnsi="宋体" w:eastAsia="宋体" w:cs="宋体"/>
                <w:i w:val="0"/>
                <w:iCs w:val="0"/>
                <w:color w:val="000000"/>
                <w:sz w:val="16"/>
                <w:szCs w:val="16"/>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E76B5">
            <w:pPr>
              <w:jc w:val="center"/>
              <w:rPr>
                <w:rFonts w:hint="eastAsia" w:ascii="宋体" w:hAnsi="宋体" w:eastAsia="宋体" w:cs="宋体"/>
                <w:i w:val="0"/>
                <w:iCs w:val="0"/>
                <w:color w:val="000000"/>
                <w:sz w:val="16"/>
                <w:szCs w:val="16"/>
                <w:u w:val="none"/>
              </w:rPr>
            </w:pPr>
          </w:p>
        </w:tc>
      </w:tr>
      <w:tr w14:paraId="6597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D1733D">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B824">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A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生态环境成本指标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B39">
            <w:pPr>
              <w:jc w:val="left"/>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C95">
            <w:pPr>
              <w:jc w:val="center"/>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770F">
            <w:pPr>
              <w:jc w:val="center"/>
              <w:rPr>
                <w:rFonts w:hint="eastAsia" w:ascii="宋体" w:hAnsi="宋体" w:eastAsia="宋体" w:cs="宋体"/>
                <w:i w:val="0"/>
                <w:iCs w:val="0"/>
                <w:color w:val="000000"/>
                <w:sz w:val="16"/>
                <w:szCs w:val="16"/>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BCBE">
            <w:pPr>
              <w:jc w:val="center"/>
              <w:rPr>
                <w:rFonts w:hint="eastAsia" w:ascii="宋体" w:hAnsi="宋体" w:eastAsia="宋体" w:cs="宋体"/>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937C">
            <w:pPr>
              <w:jc w:val="center"/>
              <w:rPr>
                <w:rFonts w:hint="eastAsia" w:ascii="宋体" w:hAnsi="宋体" w:eastAsia="宋体" w:cs="宋体"/>
                <w:i w:val="0"/>
                <w:iCs w:val="0"/>
                <w:color w:val="000000"/>
                <w:sz w:val="16"/>
                <w:szCs w:val="16"/>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16BD3">
            <w:pPr>
              <w:jc w:val="center"/>
              <w:rPr>
                <w:rFonts w:hint="eastAsia" w:ascii="宋体" w:hAnsi="宋体" w:eastAsia="宋体" w:cs="宋体"/>
                <w:i w:val="0"/>
                <w:iCs w:val="0"/>
                <w:color w:val="000000"/>
                <w:sz w:val="16"/>
                <w:szCs w:val="16"/>
                <w:u w:val="none"/>
              </w:rPr>
            </w:pPr>
          </w:p>
        </w:tc>
      </w:tr>
      <w:tr w14:paraId="41C0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63764">
            <w:pPr>
              <w:jc w:val="center"/>
              <w:rPr>
                <w:rFonts w:hint="eastAsia" w:ascii="宋体" w:hAnsi="宋体" w:eastAsia="宋体" w:cs="宋体"/>
                <w:i w:val="0"/>
                <w:iCs w:val="0"/>
                <w:color w:val="000000"/>
                <w:sz w:val="16"/>
                <w:szCs w:val="16"/>
                <w:u w:val="none"/>
              </w:rPr>
            </w:pPr>
          </w:p>
        </w:tc>
        <w:tc>
          <w:tcPr>
            <w:tcW w:w="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F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30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66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高维持发明专利 官费补助</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9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CF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A423D">
            <w:pPr>
              <w:jc w:val="center"/>
              <w:rPr>
                <w:rFonts w:hint="eastAsia" w:ascii="宋体" w:hAnsi="宋体" w:eastAsia="宋体" w:cs="宋体"/>
                <w:i w:val="0"/>
                <w:iCs w:val="0"/>
                <w:color w:val="000000"/>
                <w:sz w:val="16"/>
                <w:szCs w:val="16"/>
                <w:u w:val="none"/>
              </w:rPr>
            </w:pPr>
          </w:p>
        </w:tc>
      </w:tr>
      <w:tr w14:paraId="6BDD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A79A2">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AA91">
            <w:pPr>
              <w:jc w:val="center"/>
              <w:rPr>
                <w:rFonts w:hint="eastAsia" w:ascii="宋体" w:hAnsi="宋体" w:eastAsia="宋体" w:cs="宋体"/>
                <w:i w:val="0"/>
                <w:iCs w:val="0"/>
                <w:color w:val="000000"/>
                <w:sz w:val="16"/>
                <w:szCs w:val="16"/>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E8B6">
            <w:pPr>
              <w:jc w:val="center"/>
              <w:rPr>
                <w:rFonts w:hint="eastAsia" w:ascii="宋体" w:hAnsi="宋体" w:eastAsia="宋体" w:cs="宋体"/>
                <w:i w:val="0"/>
                <w:iCs w:val="0"/>
                <w:color w:val="000000"/>
                <w:sz w:val="16"/>
                <w:szCs w:val="16"/>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EF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专利转化运用奖励</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9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D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C2C22">
            <w:pPr>
              <w:jc w:val="center"/>
              <w:rPr>
                <w:rFonts w:hint="eastAsia" w:ascii="宋体" w:hAnsi="宋体" w:eastAsia="宋体" w:cs="宋体"/>
                <w:i w:val="0"/>
                <w:iCs w:val="0"/>
                <w:color w:val="000000"/>
                <w:sz w:val="16"/>
                <w:szCs w:val="16"/>
                <w:u w:val="none"/>
              </w:rPr>
            </w:pPr>
          </w:p>
        </w:tc>
      </w:tr>
      <w:tr w14:paraId="5E44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647F8">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3A84">
            <w:pPr>
              <w:jc w:val="center"/>
              <w:rPr>
                <w:rFonts w:hint="eastAsia" w:ascii="宋体" w:hAnsi="宋体" w:eastAsia="宋体" w:cs="宋体"/>
                <w:i w:val="0"/>
                <w:iCs w:val="0"/>
                <w:color w:val="000000"/>
                <w:sz w:val="16"/>
                <w:szCs w:val="16"/>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A8DA">
            <w:pPr>
              <w:jc w:val="center"/>
              <w:rPr>
                <w:rFonts w:hint="eastAsia" w:ascii="宋体" w:hAnsi="宋体" w:eastAsia="宋体" w:cs="宋体"/>
                <w:i w:val="0"/>
                <w:iCs w:val="0"/>
                <w:color w:val="000000"/>
                <w:sz w:val="16"/>
                <w:szCs w:val="16"/>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BA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发明专利授权奖励</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BC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≥64个</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B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B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1F5AA">
            <w:pPr>
              <w:jc w:val="center"/>
              <w:rPr>
                <w:rFonts w:hint="eastAsia" w:ascii="宋体" w:hAnsi="宋体" w:eastAsia="宋体" w:cs="宋体"/>
                <w:i w:val="0"/>
                <w:iCs w:val="0"/>
                <w:color w:val="000000"/>
                <w:sz w:val="16"/>
                <w:szCs w:val="16"/>
                <w:u w:val="none"/>
              </w:rPr>
            </w:pPr>
          </w:p>
        </w:tc>
      </w:tr>
      <w:tr w14:paraId="6AAF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F9B60A">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CCF2">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50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有效提升知识产权监管工作质量</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2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F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7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7A826">
            <w:pPr>
              <w:jc w:val="center"/>
              <w:rPr>
                <w:rFonts w:hint="eastAsia" w:ascii="宋体" w:hAnsi="宋体" w:eastAsia="宋体" w:cs="宋体"/>
                <w:i w:val="0"/>
                <w:iCs w:val="0"/>
                <w:color w:val="000000"/>
                <w:sz w:val="16"/>
                <w:szCs w:val="16"/>
                <w:u w:val="none"/>
              </w:rPr>
            </w:pPr>
          </w:p>
        </w:tc>
      </w:tr>
      <w:tr w14:paraId="3D19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4E775F">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E521">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BC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发放资金时间</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5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37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7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1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D62A8">
            <w:pPr>
              <w:jc w:val="center"/>
              <w:rPr>
                <w:rFonts w:hint="eastAsia" w:ascii="宋体" w:hAnsi="宋体" w:eastAsia="宋体" w:cs="宋体"/>
                <w:i w:val="0"/>
                <w:iCs w:val="0"/>
                <w:color w:val="000000"/>
                <w:sz w:val="16"/>
                <w:szCs w:val="16"/>
                <w:u w:val="none"/>
              </w:rPr>
            </w:pPr>
          </w:p>
        </w:tc>
      </w:tr>
      <w:tr w14:paraId="23A8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6CA431">
            <w:pPr>
              <w:jc w:val="center"/>
              <w:rPr>
                <w:rFonts w:hint="eastAsia" w:ascii="宋体" w:hAnsi="宋体" w:eastAsia="宋体" w:cs="宋体"/>
                <w:i w:val="0"/>
                <w:iCs w:val="0"/>
                <w:color w:val="000000"/>
                <w:sz w:val="16"/>
                <w:szCs w:val="16"/>
                <w:u w:val="none"/>
              </w:rPr>
            </w:pPr>
          </w:p>
        </w:tc>
        <w:tc>
          <w:tcPr>
            <w:tcW w:w="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9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4B38">
            <w:pPr>
              <w:jc w:val="left"/>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E7E">
            <w:pPr>
              <w:jc w:val="center"/>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C14C">
            <w:pPr>
              <w:jc w:val="center"/>
              <w:rPr>
                <w:rFonts w:hint="eastAsia" w:ascii="宋体" w:hAnsi="宋体" w:eastAsia="宋体" w:cs="宋体"/>
                <w:i w:val="0"/>
                <w:iCs w:val="0"/>
                <w:color w:val="000000"/>
                <w:sz w:val="16"/>
                <w:szCs w:val="16"/>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F9F1">
            <w:pPr>
              <w:jc w:val="center"/>
              <w:rPr>
                <w:rFonts w:hint="eastAsia" w:ascii="宋体" w:hAnsi="宋体" w:eastAsia="宋体" w:cs="宋体"/>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9BB">
            <w:pPr>
              <w:jc w:val="center"/>
              <w:rPr>
                <w:rFonts w:hint="eastAsia" w:ascii="宋体" w:hAnsi="宋体" w:eastAsia="宋体" w:cs="宋体"/>
                <w:i w:val="0"/>
                <w:iCs w:val="0"/>
                <w:color w:val="000000"/>
                <w:sz w:val="16"/>
                <w:szCs w:val="16"/>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7CB9">
            <w:pPr>
              <w:jc w:val="center"/>
              <w:rPr>
                <w:rFonts w:hint="eastAsia" w:ascii="宋体" w:hAnsi="宋体" w:eastAsia="宋体" w:cs="宋体"/>
                <w:i w:val="0"/>
                <w:iCs w:val="0"/>
                <w:color w:val="000000"/>
                <w:sz w:val="16"/>
                <w:szCs w:val="16"/>
                <w:u w:val="none"/>
              </w:rPr>
            </w:pPr>
          </w:p>
        </w:tc>
      </w:tr>
      <w:tr w14:paraId="0887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B50F0C">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6D40">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1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74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激发全社会创新创业活力</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D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激发</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1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8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23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35F2">
            <w:pPr>
              <w:jc w:val="center"/>
              <w:rPr>
                <w:rFonts w:hint="eastAsia" w:ascii="宋体" w:hAnsi="宋体" w:eastAsia="宋体" w:cs="宋体"/>
                <w:i w:val="0"/>
                <w:iCs w:val="0"/>
                <w:color w:val="000000"/>
                <w:sz w:val="16"/>
                <w:szCs w:val="16"/>
                <w:u w:val="none"/>
              </w:rPr>
            </w:pPr>
          </w:p>
        </w:tc>
      </w:tr>
      <w:tr w14:paraId="0493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DC7C9">
            <w:pPr>
              <w:jc w:val="center"/>
              <w:rPr>
                <w:rFonts w:hint="eastAsia" w:ascii="宋体" w:hAnsi="宋体" w:eastAsia="宋体" w:cs="宋体"/>
                <w:i w:val="0"/>
                <w:iCs w:val="0"/>
                <w:color w:val="000000"/>
                <w:sz w:val="16"/>
                <w:szCs w:val="16"/>
                <w:u w:val="none"/>
              </w:rPr>
            </w:pPr>
          </w:p>
        </w:tc>
        <w:tc>
          <w:tcPr>
            <w:tcW w:w="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B133">
            <w:pPr>
              <w:jc w:val="center"/>
              <w:rPr>
                <w:rFonts w:hint="eastAsia" w:ascii="宋体" w:hAnsi="宋体" w:eastAsia="宋体" w:cs="宋体"/>
                <w:i w:val="0"/>
                <w:iCs w:val="0"/>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0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8BE5">
            <w:pPr>
              <w:jc w:val="left"/>
              <w:rPr>
                <w:rFonts w:hint="eastAsia" w:ascii="宋体" w:hAnsi="宋体" w:eastAsia="宋体" w:cs="宋体"/>
                <w:i w:val="0"/>
                <w:iCs w:val="0"/>
                <w:color w:val="000000"/>
                <w:sz w:val="16"/>
                <w:szCs w:val="16"/>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EAF">
            <w:pPr>
              <w:jc w:val="center"/>
              <w:rPr>
                <w:rFonts w:hint="eastAsia" w:ascii="宋体" w:hAnsi="宋体" w:eastAsia="宋体" w:cs="宋体"/>
                <w:i w:val="0"/>
                <w:iCs w:val="0"/>
                <w:color w:val="000000"/>
                <w:sz w:val="16"/>
                <w:szCs w:val="16"/>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B18">
            <w:pPr>
              <w:jc w:val="center"/>
              <w:rPr>
                <w:rFonts w:hint="eastAsia" w:ascii="宋体" w:hAnsi="宋体" w:eastAsia="宋体" w:cs="宋体"/>
                <w:i w:val="0"/>
                <w:iCs w:val="0"/>
                <w:color w:val="000000"/>
                <w:sz w:val="16"/>
                <w:szCs w:val="16"/>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6F6">
            <w:pPr>
              <w:jc w:val="center"/>
              <w:rPr>
                <w:rFonts w:hint="eastAsia" w:ascii="宋体" w:hAnsi="宋体" w:eastAsia="宋体" w:cs="宋体"/>
                <w:i w:val="0"/>
                <w:iCs w:val="0"/>
                <w:color w:val="000000"/>
                <w:sz w:val="16"/>
                <w:szCs w:val="16"/>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0D7">
            <w:pPr>
              <w:jc w:val="center"/>
              <w:rPr>
                <w:rFonts w:hint="eastAsia" w:ascii="宋体" w:hAnsi="宋体" w:eastAsia="宋体" w:cs="宋体"/>
                <w:i w:val="0"/>
                <w:iCs w:val="0"/>
                <w:color w:val="000000"/>
                <w:sz w:val="16"/>
                <w:szCs w:val="16"/>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28C6">
            <w:pPr>
              <w:jc w:val="center"/>
              <w:rPr>
                <w:rFonts w:hint="eastAsia" w:ascii="宋体" w:hAnsi="宋体" w:eastAsia="宋体" w:cs="宋体"/>
                <w:i w:val="0"/>
                <w:iCs w:val="0"/>
                <w:color w:val="000000"/>
                <w:sz w:val="16"/>
                <w:szCs w:val="16"/>
                <w:u w:val="none"/>
              </w:rPr>
            </w:pPr>
          </w:p>
        </w:tc>
      </w:tr>
      <w:tr w14:paraId="6000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31B5DD">
            <w:pPr>
              <w:jc w:val="center"/>
              <w:rPr>
                <w:rFonts w:hint="eastAsia" w:ascii="宋体" w:hAnsi="宋体" w:eastAsia="宋体" w:cs="宋体"/>
                <w:i w:val="0"/>
                <w:iCs w:val="0"/>
                <w:color w:val="000000"/>
                <w:sz w:val="16"/>
                <w:szCs w:val="16"/>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217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3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FF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奖励资金申请群众满意度</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C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2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1C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17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C4648">
            <w:pPr>
              <w:jc w:val="center"/>
              <w:rPr>
                <w:rFonts w:hint="eastAsia" w:ascii="宋体" w:hAnsi="宋体" w:eastAsia="宋体" w:cs="宋体"/>
                <w:i w:val="0"/>
                <w:iCs w:val="0"/>
                <w:color w:val="000000"/>
                <w:sz w:val="16"/>
                <w:szCs w:val="16"/>
                <w:u w:val="none"/>
              </w:rPr>
            </w:pPr>
          </w:p>
        </w:tc>
      </w:tr>
      <w:tr w14:paraId="6C69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EFC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CE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F266E">
            <w:pPr>
              <w:jc w:val="center"/>
              <w:rPr>
                <w:rFonts w:hint="eastAsia" w:ascii="宋体" w:hAnsi="宋体" w:eastAsia="宋体" w:cs="宋体"/>
                <w:i w:val="0"/>
                <w:iCs w:val="0"/>
                <w:color w:val="000000"/>
                <w:sz w:val="16"/>
                <w:szCs w:val="16"/>
                <w:u w:val="none"/>
              </w:rPr>
            </w:pPr>
          </w:p>
        </w:tc>
      </w:tr>
    </w:tbl>
    <w:p w14:paraId="3BD72E18">
      <w:pPr>
        <w:autoSpaceDE w:val="0"/>
        <w:autoSpaceDN w:val="0"/>
        <w:adjustRightInd w:val="0"/>
        <w:spacing w:line="360" w:lineRule="auto"/>
        <w:ind w:firstLine="600"/>
        <w:jc w:val="left"/>
        <w:outlineLvl w:val="2"/>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3.浮梁县检验检测认证中心资质认定及能力提升经费（检验检测认证中心）</w:t>
      </w:r>
    </w:p>
    <w:tbl>
      <w:tblPr>
        <w:tblStyle w:val="12"/>
        <w:tblpPr w:leftFromText="180" w:rightFromText="180" w:vertAnchor="text" w:horzAnchor="page" w:tblpX="1158" w:tblpY="627"/>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
        <w:gridCol w:w="323"/>
        <w:gridCol w:w="58"/>
        <w:gridCol w:w="819"/>
        <w:gridCol w:w="1685"/>
        <w:gridCol w:w="750"/>
        <w:gridCol w:w="692"/>
        <w:gridCol w:w="427"/>
        <w:gridCol w:w="658"/>
        <w:gridCol w:w="680"/>
        <w:gridCol w:w="970"/>
        <w:gridCol w:w="1407"/>
        <w:gridCol w:w="1089"/>
      </w:tblGrid>
      <w:tr w14:paraId="52A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3"/>
            <w:tcBorders>
              <w:top w:val="nil"/>
              <w:left w:val="nil"/>
              <w:bottom w:val="nil"/>
              <w:right w:val="nil"/>
            </w:tcBorders>
            <w:shd w:val="clear" w:color="auto" w:fill="auto"/>
            <w:vAlign w:val="center"/>
          </w:tcPr>
          <w:p w14:paraId="1A19B91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447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3"/>
            <w:tcBorders>
              <w:top w:val="nil"/>
              <w:left w:val="nil"/>
              <w:bottom w:val="nil"/>
              <w:right w:val="nil"/>
            </w:tcBorders>
            <w:shd w:val="clear" w:color="auto" w:fill="auto"/>
            <w:vAlign w:val="center"/>
          </w:tcPr>
          <w:p w14:paraId="63D47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DF3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F4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2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D8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浮梁县检验检测认证中心资质认定及能力提升经费</w:t>
            </w:r>
          </w:p>
        </w:tc>
      </w:tr>
      <w:tr w14:paraId="5DD6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4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浮梁县市场监督管理局</w:t>
            </w:r>
          </w:p>
        </w:tc>
        <w:tc>
          <w:tcPr>
            <w:tcW w:w="1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F1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4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4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浮梁县检验检测认证中心</w:t>
            </w:r>
          </w:p>
        </w:tc>
      </w:tr>
      <w:tr w14:paraId="5E0A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7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6F6AD">
            <w:pPr>
              <w:jc w:val="center"/>
              <w:rPr>
                <w:rFonts w:hint="eastAsia" w:ascii="宋体" w:hAnsi="宋体" w:eastAsia="宋体" w:cs="宋体"/>
                <w:i w:val="0"/>
                <w:iCs w:val="0"/>
                <w:color w:val="000000"/>
                <w:sz w:val="22"/>
                <w:szCs w:val="22"/>
                <w:u w:val="none"/>
              </w:rPr>
            </w:pP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4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2B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0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9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877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DF0F">
            <w:pPr>
              <w:jc w:val="center"/>
              <w:rPr>
                <w:rFonts w:hint="eastAsia" w:ascii="宋体" w:hAnsi="宋体" w:eastAsia="宋体" w:cs="宋体"/>
                <w:i w:val="0"/>
                <w:iCs w:val="0"/>
                <w:color w:val="000000"/>
                <w:sz w:val="18"/>
                <w:szCs w:val="18"/>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07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D0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44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E8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A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70.73</w:t>
            </w:r>
            <w:r>
              <w:rPr>
                <w:rFonts w:hint="eastAsia" w:ascii="宋体" w:hAnsi="宋体" w:cs="宋体"/>
                <w:i w:val="0"/>
                <w:iCs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B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8A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38DB">
            <w:pPr>
              <w:jc w:val="center"/>
              <w:rPr>
                <w:rFonts w:hint="eastAsia" w:ascii="宋体" w:hAnsi="宋体" w:eastAsia="宋体" w:cs="宋体"/>
                <w:i w:val="0"/>
                <w:iCs w:val="0"/>
                <w:color w:val="000000"/>
                <w:sz w:val="18"/>
                <w:szCs w:val="18"/>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6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C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55.17291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3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70.73</w:t>
            </w:r>
            <w:r>
              <w:rPr>
                <w:rFonts w:hint="eastAsia" w:ascii="宋体" w:hAnsi="宋体" w:cs="宋体"/>
                <w:i w:val="0"/>
                <w:iCs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820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20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3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D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59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70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0A3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2056D">
            <w:pPr>
              <w:jc w:val="center"/>
              <w:rPr>
                <w:rFonts w:hint="eastAsia" w:ascii="宋体" w:hAnsi="宋体" w:eastAsia="宋体" w:cs="宋体"/>
                <w:i w:val="0"/>
                <w:iCs w:val="0"/>
                <w:color w:val="000000"/>
                <w:sz w:val="18"/>
                <w:szCs w:val="18"/>
                <w:u w:val="none"/>
              </w:rPr>
            </w:pPr>
          </w:p>
        </w:tc>
        <w:tc>
          <w:tcPr>
            <w:tcW w:w="3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A0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引进先进的设备和技术、提高专业技术人员素质、拓展检测范围，着力提升检测能力和服务水平，以满足不断提高的食品安全监管要求。</w:t>
            </w:r>
          </w:p>
        </w:tc>
        <w:tc>
          <w:tcPr>
            <w:tcW w:w="59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31D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检测中心成功通过法定计量检定机构现场考核。经过细致的审查，考核组认为：浮梁县检验检测认证中心管理体系持续有效运行，符合考核规范的要求，申请授权项目的人员、设施、环境条件等均能满足相关技术要求，能保证检定结果的准确可靠。8月，中心4名技术人员通过考试获得二级注册计量师证书。在5月“世界计量日”期间，检测中心充分发挥计量技术优势，免费为人民群众检定与百姓生活密切相关的民用计量器具。通过悬挂横幅、发放宣传单以及公众号发布等形式，宣传计量相关法律法规、民生计量、电子秤防作弊、加油防骗小窍门、等宣传资料，进一步扩大了计量工作的社会认知度和影响力。同时，深入企业开展计量需求调研和服务，引导中小企业不断提高计量意识，帮助企业加强计量制度建设，指导企业正确使用强检器具网上约检系统，为企业解决生产经营活动中的计量问题、难题。本次活动发放各类计量宣传资料1900余份，服务企事业单位15家、解答企事业计量的问题10余个、免费检定计量器具50余台。中心顺利完成今年计量器具周期强制检定工作，让县域内商超、医疗机构、药店、气站、加油站、陶瓷厂、茶企、金店等企事业单位享受到了更为便捷的优质免费强检服务，免收检定费用24余万元，进一步加强了优化营商环境工作力度。为切实守护好浮梁人民舌尖上的安全，充分发挥食品快速检测便捷高效的优势，在主管局的调配下，检测中心今年新增大米重金属检测用仪器——X射线荧光光谱仪和新型食品快检仪器量子点微球荧光读取仪，在县域食品各行业开展食品快速检测项目，努力提升食品安全风险排查能力。已在新的快检管理系统按要求开展快检抽检工作，已完成2449批次快检任务（达到每千人10批次要求）。同时，检测中心全流程参与主管局负责的各类重大活动食品安全保障活动，用技术和数据分析判定，有效排查和降低食品安全风险。利用快检技术结合食品安全四个最严的标准监管，圆满完成了春节、两会、浮梁买茶节、“天湖里”音乐美食节、高考、瑶里改编85周年纪念活动、古县衙啤酒音乐节、高岭中国村环鄱阳湖自行车赛、浮梁草莓音乐节等十余次重大安全保障活动及“食品快检进校园”活动，食品安全快检批次700余批次。快检能力的提升增强了食品安全监管的有效性和针对性，充分发挥食品快速检测在食品安全现场监管和风险防控方面的积极作用，营造高标准高质量营商环境。</w:t>
            </w:r>
          </w:p>
        </w:tc>
      </w:tr>
      <w:tr w14:paraId="5499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11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B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A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77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65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0E1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8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9E4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48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89D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7DE7B3">
            <w:pPr>
              <w:jc w:val="center"/>
              <w:rPr>
                <w:rFonts w:hint="eastAsia" w:ascii="宋体" w:hAnsi="宋体" w:eastAsia="宋体" w:cs="宋体"/>
                <w:i w:val="0"/>
                <w:iCs w:val="0"/>
                <w:color w:val="000000"/>
                <w:sz w:val="18"/>
                <w:szCs w:val="18"/>
                <w:u w:val="none"/>
              </w:rPr>
            </w:pPr>
          </w:p>
        </w:tc>
        <w:tc>
          <w:tcPr>
            <w:tcW w:w="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D8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68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9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检测设备检定/校准、维修保养费用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≤15万元</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02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F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B770B">
            <w:pPr>
              <w:jc w:val="center"/>
              <w:rPr>
                <w:rFonts w:hint="eastAsia" w:ascii="宋体" w:hAnsi="宋体" w:eastAsia="宋体" w:cs="宋体"/>
                <w:i w:val="0"/>
                <w:iCs w:val="0"/>
                <w:color w:val="000000"/>
                <w:sz w:val="22"/>
                <w:szCs w:val="22"/>
                <w:u w:val="none"/>
              </w:rPr>
            </w:pPr>
          </w:p>
        </w:tc>
      </w:tr>
      <w:tr w14:paraId="0CA5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B6942F">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3B24">
            <w:pPr>
              <w:jc w:val="center"/>
              <w:rPr>
                <w:rFonts w:hint="eastAsia" w:ascii="宋体" w:hAnsi="宋体" w:eastAsia="宋体" w:cs="宋体"/>
                <w:i w:val="0"/>
                <w:iCs w:val="0"/>
                <w:color w:val="000000"/>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83DB">
            <w:pPr>
              <w:jc w:val="center"/>
              <w:rPr>
                <w:rFonts w:hint="eastAsia" w:ascii="宋体" w:hAnsi="宋体" w:eastAsia="宋体" w:cs="宋体"/>
                <w:i w:val="0"/>
                <w:iCs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气相ECD检测器等仪器设备采购经费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≤25万元</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9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2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DE7CF">
            <w:pPr>
              <w:jc w:val="center"/>
              <w:rPr>
                <w:rFonts w:hint="eastAsia" w:ascii="宋体" w:hAnsi="宋体" w:eastAsia="宋体" w:cs="宋体"/>
                <w:i w:val="0"/>
                <w:iCs w:val="0"/>
                <w:color w:val="000000"/>
                <w:sz w:val="22"/>
                <w:szCs w:val="22"/>
                <w:u w:val="none"/>
              </w:rPr>
            </w:pPr>
          </w:p>
        </w:tc>
      </w:tr>
      <w:tr w14:paraId="0047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7373E">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9A01">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A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D67D">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9182">
            <w:pPr>
              <w:jc w:val="center"/>
              <w:rPr>
                <w:rFonts w:hint="eastAsia" w:ascii="宋体" w:hAnsi="宋体" w:eastAsia="宋体" w:cs="宋体"/>
                <w:i w:val="0"/>
                <w:iCs w:val="0"/>
                <w:color w:val="000000"/>
                <w:sz w:val="22"/>
                <w:szCs w:val="22"/>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B556C">
            <w:pPr>
              <w:jc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4052">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EF2B">
            <w:pPr>
              <w:jc w:val="center"/>
              <w:rPr>
                <w:rFonts w:hint="eastAsia" w:ascii="宋体" w:hAnsi="宋体" w:eastAsia="宋体" w:cs="宋体"/>
                <w:i w:val="0"/>
                <w:iCs w:val="0"/>
                <w:color w:val="000000"/>
                <w:sz w:val="22"/>
                <w:szCs w:val="22"/>
                <w:u w:val="none"/>
              </w:rPr>
            </w:pP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484D6">
            <w:pPr>
              <w:jc w:val="center"/>
              <w:rPr>
                <w:rFonts w:hint="eastAsia" w:ascii="宋体" w:hAnsi="宋体" w:eastAsia="宋体" w:cs="宋体"/>
                <w:i w:val="0"/>
                <w:iCs w:val="0"/>
                <w:color w:val="000000"/>
                <w:sz w:val="22"/>
                <w:szCs w:val="22"/>
                <w:u w:val="none"/>
              </w:rPr>
            </w:pPr>
          </w:p>
        </w:tc>
      </w:tr>
      <w:tr w14:paraId="5788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3A3C7">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20D11">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6ABD">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A71">
            <w:pPr>
              <w:jc w:val="center"/>
              <w:rPr>
                <w:rFonts w:hint="eastAsia" w:ascii="宋体" w:hAnsi="宋体" w:eastAsia="宋体" w:cs="宋体"/>
                <w:i w:val="0"/>
                <w:iCs w:val="0"/>
                <w:color w:val="000000"/>
                <w:sz w:val="22"/>
                <w:szCs w:val="22"/>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DDA67">
            <w:pPr>
              <w:jc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CED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2F8">
            <w:pPr>
              <w:jc w:val="center"/>
              <w:rPr>
                <w:rFonts w:hint="eastAsia" w:ascii="宋体" w:hAnsi="宋体" w:eastAsia="宋体" w:cs="宋体"/>
                <w:i w:val="0"/>
                <w:iCs w:val="0"/>
                <w:color w:val="000000"/>
                <w:sz w:val="22"/>
                <w:szCs w:val="22"/>
                <w:u w:val="none"/>
              </w:rPr>
            </w:pP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8817E">
            <w:pPr>
              <w:jc w:val="center"/>
              <w:rPr>
                <w:rFonts w:hint="eastAsia" w:ascii="宋体" w:hAnsi="宋体" w:eastAsia="宋体" w:cs="宋体"/>
                <w:i w:val="0"/>
                <w:iCs w:val="0"/>
                <w:color w:val="000000"/>
                <w:sz w:val="22"/>
                <w:szCs w:val="22"/>
                <w:u w:val="none"/>
              </w:rPr>
            </w:pPr>
          </w:p>
        </w:tc>
      </w:tr>
      <w:tr w14:paraId="4ACF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D49C56">
            <w:pPr>
              <w:jc w:val="center"/>
              <w:rPr>
                <w:rFonts w:hint="eastAsia" w:ascii="宋体" w:hAnsi="宋体" w:eastAsia="宋体" w:cs="宋体"/>
                <w:i w:val="0"/>
                <w:iCs w:val="0"/>
                <w:color w:val="000000"/>
                <w:sz w:val="18"/>
                <w:szCs w:val="18"/>
                <w:u w:val="none"/>
              </w:rPr>
            </w:pPr>
          </w:p>
        </w:tc>
        <w:tc>
          <w:tcPr>
            <w:tcW w:w="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专业技术人员检验检测能力培训次数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F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20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B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EE575">
            <w:pPr>
              <w:jc w:val="center"/>
              <w:rPr>
                <w:rFonts w:hint="eastAsia" w:ascii="宋体" w:hAnsi="宋体" w:eastAsia="宋体" w:cs="宋体"/>
                <w:i w:val="0"/>
                <w:iCs w:val="0"/>
                <w:color w:val="000000"/>
                <w:sz w:val="22"/>
                <w:szCs w:val="22"/>
                <w:u w:val="none"/>
              </w:rPr>
            </w:pPr>
          </w:p>
        </w:tc>
      </w:tr>
      <w:tr w14:paraId="061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C4B9F3">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995D">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C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专业技术人员检验检测能力培训合格率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F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D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C4FC3">
            <w:pPr>
              <w:jc w:val="center"/>
              <w:rPr>
                <w:rFonts w:hint="eastAsia" w:ascii="宋体" w:hAnsi="宋体" w:eastAsia="宋体" w:cs="宋体"/>
                <w:i w:val="0"/>
                <w:iCs w:val="0"/>
                <w:color w:val="000000"/>
                <w:sz w:val="22"/>
                <w:szCs w:val="22"/>
                <w:u w:val="none"/>
              </w:rPr>
            </w:pPr>
          </w:p>
        </w:tc>
      </w:tr>
      <w:tr w14:paraId="139A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DA3A64">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949D">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B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专业技术人员检验检测能力培训时间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42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2B180">
            <w:pPr>
              <w:jc w:val="center"/>
              <w:rPr>
                <w:rFonts w:hint="eastAsia" w:ascii="宋体" w:hAnsi="宋体" w:eastAsia="宋体" w:cs="宋体"/>
                <w:i w:val="0"/>
                <w:iCs w:val="0"/>
                <w:color w:val="000000"/>
                <w:sz w:val="22"/>
                <w:szCs w:val="22"/>
                <w:u w:val="none"/>
              </w:rPr>
            </w:pPr>
          </w:p>
        </w:tc>
      </w:tr>
      <w:tr w14:paraId="1284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A4FBF">
            <w:pPr>
              <w:jc w:val="center"/>
              <w:rPr>
                <w:rFonts w:hint="eastAsia" w:ascii="宋体" w:hAnsi="宋体" w:eastAsia="宋体" w:cs="宋体"/>
                <w:i w:val="0"/>
                <w:iCs w:val="0"/>
                <w:color w:val="000000"/>
                <w:sz w:val="18"/>
                <w:szCs w:val="18"/>
                <w:u w:val="none"/>
              </w:rPr>
            </w:pPr>
          </w:p>
        </w:tc>
        <w:tc>
          <w:tcPr>
            <w:tcW w:w="3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70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4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852B">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F6EE">
            <w:pPr>
              <w:jc w:val="center"/>
              <w:rPr>
                <w:rFonts w:hint="eastAsia" w:ascii="宋体" w:hAnsi="宋体" w:eastAsia="宋体" w:cs="宋体"/>
                <w:i w:val="0"/>
                <w:iCs w:val="0"/>
                <w:color w:val="000000"/>
                <w:sz w:val="22"/>
                <w:szCs w:val="22"/>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C204">
            <w:pPr>
              <w:jc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679">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FE6">
            <w:pPr>
              <w:jc w:val="center"/>
              <w:rPr>
                <w:rFonts w:hint="eastAsia" w:ascii="宋体" w:hAnsi="宋体" w:eastAsia="宋体" w:cs="宋体"/>
                <w:i w:val="0"/>
                <w:iCs w:val="0"/>
                <w:color w:val="000000"/>
                <w:sz w:val="22"/>
                <w:szCs w:val="22"/>
                <w:u w:val="none"/>
              </w:rPr>
            </w:pP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C4B10">
            <w:pPr>
              <w:jc w:val="center"/>
              <w:rPr>
                <w:rFonts w:hint="eastAsia" w:ascii="宋体" w:hAnsi="宋体" w:eastAsia="宋体" w:cs="宋体"/>
                <w:i w:val="0"/>
                <w:iCs w:val="0"/>
                <w:color w:val="000000"/>
                <w:sz w:val="22"/>
                <w:szCs w:val="22"/>
                <w:u w:val="none"/>
              </w:rPr>
            </w:pPr>
          </w:p>
        </w:tc>
      </w:tr>
      <w:tr w14:paraId="5793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307424">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B960">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A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6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提升检测能力和服务水平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9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4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F9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中心人员实践操作培训学习，注重理论与实践结合，着力提升中心实验技能的整体水平，加强与市检测中心以及有资质有经验的第三方优秀检测机构的沟通交流，以跟班学习的方式不断提高计量和检测能力，在实践中保障中心质量体系的有序运行立足职责，继续开展计量器具周期检定工作，提升服务能力和服务水平，进一步提升服务质量，助力优化营商环境</w:t>
            </w:r>
          </w:p>
        </w:tc>
      </w:tr>
      <w:tr w14:paraId="725E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D2B97">
            <w:pPr>
              <w:jc w:val="center"/>
              <w:rPr>
                <w:rFonts w:hint="eastAsia" w:ascii="宋体" w:hAnsi="宋体" w:eastAsia="宋体" w:cs="宋体"/>
                <w:i w:val="0"/>
                <w:iCs w:val="0"/>
                <w:color w:val="000000"/>
                <w:sz w:val="18"/>
                <w:szCs w:val="18"/>
                <w:u w:val="none"/>
              </w:rPr>
            </w:pPr>
          </w:p>
        </w:tc>
        <w:tc>
          <w:tcPr>
            <w:tcW w:w="3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0CAA">
            <w:pPr>
              <w:jc w:val="center"/>
              <w:rPr>
                <w:rFonts w:hint="eastAsia" w:ascii="宋体" w:hAnsi="宋体" w:eastAsia="宋体" w:cs="宋体"/>
                <w:i w:val="0"/>
                <w:iCs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11D3">
            <w:pPr>
              <w:jc w:val="left"/>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A19">
            <w:pPr>
              <w:jc w:val="center"/>
              <w:rPr>
                <w:rFonts w:hint="eastAsia" w:ascii="宋体" w:hAnsi="宋体" w:eastAsia="宋体" w:cs="宋体"/>
                <w:i w:val="0"/>
                <w:iCs w:val="0"/>
                <w:color w:val="000000"/>
                <w:sz w:val="22"/>
                <w:szCs w:val="22"/>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49AD2">
            <w:pPr>
              <w:jc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FD0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9EB">
            <w:pPr>
              <w:jc w:val="center"/>
              <w:rPr>
                <w:rFonts w:hint="eastAsia" w:ascii="宋体" w:hAnsi="宋体" w:eastAsia="宋体" w:cs="宋体"/>
                <w:i w:val="0"/>
                <w:iCs w:val="0"/>
                <w:color w:val="000000"/>
                <w:sz w:val="22"/>
                <w:szCs w:val="22"/>
                <w:u w:val="none"/>
              </w:rPr>
            </w:pP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B2B85">
            <w:pPr>
              <w:jc w:val="center"/>
              <w:rPr>
                <w:rFonts w:hint="eastAsia" w:ascii="宋体" w:hAnsi="宋体" w:eastAsia="宋体" w:cs="宋体"/>
                <w:i w:val="0"/>
                <w:iCs w:val="0"/>
                <w:color w:val="000000"/>
                <w:sz w:val="22"/>
                <w:szCs w:val="22"/>
                <w:u w:val="none"/>
              </w:rPr>
            </w:pPr>
          </w:p>
        </w:tc>
      </w:tr>
      <w:tr w14:paraId="0278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C7165B">
            <w:pPr>
              <w:jc w:val="center"/>
              <w:rPr>
                <w:rFonts w:hint="eastAsia" w:ascii="宋体" w:hAnsi="宋体" w:eastAsia="宋体" w:cs="宋体"/>
                <w:i w:val="0"/>
                <w:iCs w:val="0"/>
                <w:color w:val="000000"/>
                <w:sz w:val="18"/>
                <w:szCs w:val="18"/>
                <w:u w:val="none"/>
              </w:rPr>
            </w:pPr>
          </w:p>
        </w:tc>
        <w:tc>
          <w:tcPr>
            <w:tcW w:w="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CE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D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辖区群众对中心检测能力满意度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65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9D8F1">
            <w:pPr>
              <w:jc w:val="center"/>
              <w:rPr>
                <w:rFonts w:hint="eastAsia" w:ascii="宋体" w:hAnsi="宋体" w:eastAsia="宋体" w:cs="宋体"/>
                <w:i w:val="0"/>
                <w:iCs w:val="0"/>
                <w:color w:val="000000"/>
                <w:sz w:val="22"/>
                <w:szCs w:val="22"/>
                <w:u w:val="none"/>
              </w:rPr>
            </w:pPr>
          </w:p>
        </w:tc>
      </w:tr>
      <w:tr w14:paraId="035D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1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44C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A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3ABF7">
            <w:pPr>
              <w:jc w:val="center"/>
              <w:rPr>
                <w:rFonts w:hint="eastAsia" w:ascii="宋体" w:hAnsi="宋体" w:eastAsia="宋体" w:cs="宋体"/>
                <w:i w:val="0"/>
                <w:iCs w:val="0"/>
                <w:color w:val="000000"/>
                <w:sz w:val="22"/>
                <w:szCs w:val="22"/>
                <w:u w:val="none"/>
              </w:rPr>
            </w:pPr>
          </w:p>
        </w:tc>
      </w:tr>
    </w:tbl>
    <w:p w14:paraId="29822B32">
      <w:pPr>
        <w:autoSpaceDE w:val="0"/>
        <w:autoSpaceDN w:val="0"/>
        <w:adjustRightInd w:val="0"/>
        <w:spacing w:line="360" w:lineRule="auto"/>
        <w:ind w:firstLine="600"/>
        <w:jc w:val="left"/>
        <w:outlineLvl w:val="2"/>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3.检验检测试剂购买、仪器维护等项目（检验检测认证中心）</w:t>
      </w:r>
    </w:p>
    <w:tbl>
      <w:tblPr>
        <w:tblStyle w:val="12"/>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
        <w:gridCol w:w="312"/>
        <w:gridCol w:w="588"/>
        <w:gridCol w:w="900"/>
        <w:gridCol w:w="1604"/>
        <w:gridCol w:w="93"/>
        <w:gridCol w:w="680"/>
        <w:gridCol w:w="1373"/>
        <w:gridCol w:w="81"/>
        <w:gridCol w:w="566"/>
        <w:gridCol w:w="542"/>
        <w:gridCol w:w="92"/>
        <w:gridCol w:w="762"/>
        <w:gridCol w:w="2007"/>
      </w:tblGrid>
      <w:tr w14:paraId="0FB0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4"/>
            <w:tcBorders>
              <w:top w:val="nil"/>
              <w:left w:val="nil"/>
              <w:bottom w:val="nil"/>
              <w:right w:val="nil"/>
            </w:tcBorders>
            <w:shd w:val="clear" w:color="auto" w:fill="auto"/>
            <w:vAlign w:val="center"/>
          </w:tcPr>
          <w:p w14:paraId="53E81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EEB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9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2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AE6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检验检测试剂购买、仪器维护等项目</w:t>
            </w:r>
          </w:p>
        </w:tc>
      </w:tr>
      <w:tr w14:paraId="48E2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C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4C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浮梁县市场监督管理局</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A2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0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浮梁县检验检测认证中心</w:t>
            </w:r>
          </w:p>
        </w:tc>
      </w:tr>
      <w:tr w14:paraId="1255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AB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5956">
            <w:pPr>
              <w:jc w:val="center"/>
              <w:rPr>
                <w:rFonts w:hint="eastAsia" w:ascii="宋体" w:hAnsi="宋体" w:eastAsia="宋体" w:cs="宋体"/>
                <w:i w:val="0"/>
                <w:iCs w:val="0"/>
                <w:color w:val="000000"/>
                <w:sz w:val="22"/>
                <w:szCs w:val="22"/>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6C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DC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B3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092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D380">
            <w:pPr>
              <w:jc w:val="center"/>
              <w:rPr>
                <w:rFonts w:hint="eastAsia" w:ascii="宋体" w:hAnsi="宋体" w:eastAsia="宋体" w:cs="宋体"/>
                <w:i w:val="0"/>
                <w:iCs w:val="0"/>
                <w:color w:val="000000"/>
                <w:sz w:val="18"/>
                <w:szCs w:val="18"/>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17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D6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F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46.72</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EE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78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C51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4D8E">
            <w:pPr>
              <w:jc w:val="center"/>
              <w:rPr>
                <w:rFonts w:hint="eastAsia" w:ascii="宋体" w:hAnsi="宋体" w:eastAsia="宋体" w:cs="宋体"/>
                <w:i w:val="0"/>
                <w:iCs w:val="0"/>
                <w:color w:val="000000"/>
                <w:sz w:val="18"/>
                <w:szCs w:val="18"/>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9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0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E5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1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46.72</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E0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E4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93.44</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CDB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16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41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AA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54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DA8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9D9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8357">
            <w:pPr>
              <w:jc w:val="center"/>
              <w:rPr>
                <w:rFonts w:hint="eastAsia" w:ascii="宋体" w:hAnsi="宋体" w:eastAsia="宋体" w:cs="宋体"/>
                <w:i w:val="0"/>
                <w:iCs w:val="0"/>
                <w:color w:val="000000"/>
                <w:sz w:val="18"/>
                <w:szCs w:val="18"/>
                <w:u w:val="none"/>
              </w:rPr>
            </w:pPr>
          </w:p>
        </w:tc>
        <w:tc>
          <w:tcPr>
            <w:tcW w:w="41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A7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逐步开展县域内新建标准计量强检工作，切实为企、事业单位提供免费计量强检服务。</w:t>
            </w:r>
          </w:p>
        </w:tc>
        <w:tc>
          <w:tcPr>
            <w:tcW w:w="54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74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步推进计量强检工作，助力优化营商环境2023年5月，检测中心成功通过法定计量检定机构现场考核。经过细致的审查，考核组认为：浮梁县检验检测认证中心管理体系持续有效运行，符合考核规范的要求，申请授权项目的人员、设施、环境条件等均能满足相关技术要求，能保证检定结果的准确可靠。8月，中心4名技术人员通过考试获得二级注册计量师证书。在5月“世界计量日”期间，检测中心充分发挥计量技术优势，免费为人民群众检定与百姓生活密切相关的民用计量器具。通过悬挂横幅、发放宣传单以及公众号发布等形式，宣传计量相关法律法规、民生计量、电子秤防作弊、加油防骗小窍门、等宣传资料，进一步扩大了计量工作的社会认知度和影响力。同时，深入企业开展计量需求调研和服务，引导中小企业不断提高计量意识，帮助企业加强计量制度建设，指导企业正确使用强检器具网上约检系统，为企业解决生产经营活动中的计量问题、难题。本次活动发放各类计量宣传资料1900余份，服务企事业单位15家、解答企事业计量的问题10余个、免费检定计量器具50余台中心顺利完成今年计量器具周期强制检定工作，让县域内商超、医疗机构、药店、气站、加油站、陶瓷厂、茶企、金店等企事业单位享受到了更为便捷的优质免费强检服务，免收检定费用24余万元，进一步加强了优化营商环境工作力度。截至11月，检测中心共免费检定强检工作计量器具1300余台件次。其中，燃油加油机检定309台件次，覆盖率100%；压力表625台件次；非自动衡器300台件次；血压计89台件次；天平8台件次。</w:t>
            </w:r>
          </w:p>
        </w:tc>
      </w:tr>
      <w:tr w14:paraId="7C16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122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7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2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0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1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CB1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08F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B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E9A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3D48AD">
            <w:pPr>
              <w:jc w:val="center"/>
              <w:rPr>
                <w:rFonts w:hint="eastAsia" w:ascii="宋体" w:hAnsi="宋体" w:eastAsia="宋体" w:cs="宋体"/>
                <w:i w:val="0"/>
                <w:iCs w:val="0"/>
                <w:color w:val="000000"/>
                <w:sz w:val="18"/>
                <w:szCs w:val="18"/>
                <w:u w:val="none"/>
              </w:rPr>
            </w:pP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0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3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3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单位内部开展培训会人员平均参训成本</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9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A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E137">
            <w:pPr>
              <w:jc w:val="center"/>
              <w:rPr>
                <w:rFonts w:hint="eastAsia" w:ascii="宋体" w:hAnsi="宋体" w:eastAsia="宋体" w:cs="宋体"/>
                <w:i w:val="0"/>
                <w:iCs w:val="0"/>
                <w:color w:val="000000"/>
                <w:sz w:val="22"/>
                <w:szCs w:val="22"/>
                <w:u w:val="none"/>
              </w:rPr>
            </w:pPr>
          </w:p>
        </w:tc>
      </w:tr>
      <w:tr w14:paraId="57AB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5D4155">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FDC4">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4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24784">
            <w:pPr>
              <w:jc w:val="left"/>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78D1">
            <w:pPr>
              <w:jc w:val="center"/>
              <w:rPr>
                <w:rFonts w:hint="eastAsia" w:ascii="宋体" w:hAnsi="宋体" w:eastAsia="宋体" w:cs="宋体"/>
                <w:i w:val="0"/>
                <w:iCs w:val="0"/>
                <w:color w:val="000000"/>
                <w:sz w:val="22"/>
                <w:szCs w:val="22"/>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8E0EB">
            <w:pPr>
              <w:jc w:val="cente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7529">
            <w:pPr>
              <w:jc w:val="center"/>
              <w:rPr>
                <w:rFonts w:hint="eastAsia" w:ascii="宋体" w:hAnsi="宋体" w:eastAsia="宋体" w:cs="宋体"/>
                <w:i w:val="0"/>
                <w:iCs w:val="0"/>
                <w:color w:val="000000"/>
                <w:sz w:val="22"/>
                <w:szCs w:val="22"/>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EA54">
            <w:pPr>
              <w:jc w:val="center"/>
              <w:rPr>
                <w:rFonts w:hint="eastAsia" w:ascii="宋体" w:hAnsi="宋体" w:eastAsia="宋体" w:cs="宋体"/>
                <w:i w:val="0"/>
                <w:iCs w:val="0"/>
                <w:color w:val="000000"/>
                <w:sz w:val="22"/>
                <w:szCs w:val="22"/>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6D24B">
            <w:pPr>
              <w:jc w:val="center"/>
              <w:rPr>
                <w:rFonts w:hint="eastAsia" w:ascii="宋体" w:hAnsi="宋体" w:eastAsia="宋体" w:cs="宋体"/>
                <w:i w:val="0"/>
                <w:iCs w:val="0"/>
                <w:color w:val="000000"/>
                <w:sz w:val="22"/>
                <w:szCs w:val="22"/>
                <w:u w:val="none"/>
              </w:rPr>
            </w:pPr>
          </w:p>
        </w:tc>
      </w:tr>
      <w:tr w14:paraId="3CE4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578A90">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9EA2">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D0E7">
            <w:pPr>
              <w:jc w:val="left"/>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8AE">
            <w:pPr>
              <w:jc w:val="center"/>
              <w:rPr>
                <w:rFonts w:hint="eastAsia" w:ascii="宋体" w:hAnsi="宋体" w:eastAsia="宋体" w:cs="宋体"/>
                <w:i w:val="0"/>
                <w:iCs w:val="0"/>
                <w:color w:val="000000"/>
                <w:sz w:val="22"/>
                <w:szCs w:val="22"/>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FD042">
            <w:pPr>
              <w:jc w:val="cente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06B">
            <w:pPr>
              <w:jc w:val="center"/>
              <w:rPr>
                <w:rFonts w:hint="eastAsia" w:ascii="宋体" w:hAnsi="宋体" w:eastAsia="宋体" w:cs="宋体"/>
                <w:i w:val="0"/>
                <w:iCs w:val="0"/>
                <w:color w:val="000000"/>
                <w:sz w:val="22"/>
                <w:szCs w:val="22"/>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4071B">
            <w:pPr>
              <w:jc w:val="center"/>
              <w:rPr>
                <w:rFonts w:hint="eastAsia" w:ascii="宋体" w:hAnsi="宋体" w:eastAsia="宋体" w:cs="宋体"/>
                <w:i w:val="0"/>
                <w:iCs w:val="0"/>
                <w:color w:val="000000"/>
                <w:sz w:val="22"/>
                <w:szCs w:val="22"/>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3AD5B">
            <w:pPr>
              <w:jc w:val="center"/>
              <w:rPr>
                <w:rFonts w:hint="eastAsia" w:ascii="宋体" w:hAnsi="宋体" w:eastAsia="宋体" w:cs="宋体"/>
                <w:i w:val="0"/>
                <w:iCs w:val="0"/>
                <w:color w:val="000000"/>
                <w:sz w:val="22"/>
                <w:szCs w:val="22"/>
                <w:u w:val="none"/>
              </w:rPr>
            </w:pPr>
          </w:p>
        </w:tc>
      </w:tr>
      <w:tr w14:paraId="3785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71F9D9">
            <w:pPr>
              <w:jc w:val="center"/>
              <w:rPr>
                <w:rFonts w:hint="eastAsia" w:ascii="宋体" w:hAnsi="宋体" w:eastAsia="宋体" w:cs="宋体"/>
                <w:i w:val="0"/>
                <w:iCs w:val="0"/>
                <w:color w:val="000000"/>
                <w:sz w:val="18"/>
                <w:szCs w:val="18"/>
                <w:u w:val="none"/>
              </w:rPr>
            </w:pP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BC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20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C3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检测从业人员培训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8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≥5次</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88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9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7A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C0EE4">
            <w:pPr>
              <w:jc w:val="center"/>
              <w:rPr>
                <w:rFonts w:hint="eastAsia" w:ascii="宋体" w:hAnsi="宋体" w:eastAsia="宋体" w:cs="宋体"/>
                <w:i w:val="0"/>
                <w:iCs w:val="0"/>
                <w:color w:val="000000"/>
                <w:sz w:val="22"/>
                <w:szCs w:val="22"/>
                <w:u w:val="none"/>
              </w:rPr>
            </w:pPr>
          </w:p>
        </w:tc>
      </w:tr>
      <w:tr w14:paraId="4AAD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C4911">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0BCB9">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B515">
            <w:pPr>
              <w:jc w:val="center"/>
              <w:rPr>
                <w:rFonts w:hint="eastAsia" w:ascii="宋体" w:hAnsi="宋体" w:eastAsia="宋体" w:cs="宋体"/>
                <w:i w:val="0"/>
                <w:iCs w:val="0"/>
                <w:color w:val="000000"/>
                <w:sz w:val="18"/>
                <w:szCs w:val="18"/>
                <w:u w:val="none"/>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B6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维护计量检测项目数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≥2项</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5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F9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DC8D1">
            <w:pPr>
              <w:jc w:val="center"/>
              <w:rPr>
                <w:rFonts w:hint="eastAsia" w:ascii="宋体" w:hAnsi="宋体" w:eastAsia="宋体" w:cs="宋体"/>
                <w:i w:val="0"/>
                <w:iCs w:val="0"/>
                <w:color w:val="000000"/>
                <w:sz w:val="22"/>
                <w:szCs w:val="22"/>
                <w:u w:val="none"/>
              </w:rPr>
            </w:pPr>
          </w:p>
        </w:tc>
      </w:tr>
      <w:tr w14:paraId="1147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1010F">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5BBE">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71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5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食品检测存档报告出具率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E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B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CE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A4A1D">
            <w:pPr>
              <w:jc w:val="center"/>
              <w:rPr>
                <w:rFonts w:hint="eastAsia" w:ascii="宋体" w:hAnsi="宋体" w:eastAsia="宋体" w:cs="宋体"/>
                <w:i w:val="0"/>
                <w:iCs w:val="0"/>
                <w:color w:val="000000"/>
                <w:sz w:val="22"/>
                <w:szCs w:val="22"/>
                <w:u w:val="none"/>
              </w:rPr>
            </w:pPr>
          </w:p>
        </w:tc>
      </w:tr>
      <w:tr w14:paraId="667F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FC47D4">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36A4">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D9D2">
            <w:pPr>
              <w:jc w:val="center"/>
              <w:rPr>
                <w:rFonts w:hint="eastAsia" w:ascii="宋体" w:hAnsi="宋体" w:eastAsia="宋体" w:cs="宋体"/>
                <w:i w:val="0"/>
                <w:iCs w:val="0"/>
                <w:color w:val="000000"/>
                <w:sz w:val="18"/>
                <w:szCs w:val="18"/>
                <w:u w:val="none"/>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AB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采购试剂验收通过率（%）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0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1E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D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B3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EE0DD">
            <w:pPr>
              <w:jc w:val="center"/>
              <w:rPr>
                <w:rFonts w:hint="eastAsia" w:ascii="宋体" w:hAnsi="宋体" w:eastAsia="宋体" w:cs="宋体"/>
                <w:i w:val="0"/>
                <w:iCs w:val="0"/>
                <w:color w:val="000000"/>
                <w:sz w:val="22"/>
                <w:szCs w:val="22"/>
                <w:u w:val="none"/>
              </w:rPr>
            </w:pPr>
          </w:p>
        </w:tc>
      </w:tr>
      <w:tr w14:paraId="585E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22316">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FDFE">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C0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8B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检测存档报告出具时限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≤30工作日</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F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1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1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D9BE7">
            <w:pPr>
              <w:jc w:val="center"/>
              <w:rPr>
                <w:rFonts w:hint="eastAsia" w:ascii="宋体" w:hAnsi="宋体" w:eastAsia="宋体" w:cs="宋体"/>
                <w:i w:val="0"/>
                <w:iCs w:val="0"/>
                <w:color w:val="000000"/>
                <w:sz w:val="22"/>
                <w:szCs w:val="22"/>
                <w:u w:val="none"/>
              </w:rPr>
            </w:pPr>
          </w:p>
        </w:tc>
      </w:tr>
      <w:tr w14:paraId="4857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DAEAE">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7A10">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3F87">
            <w:pPr>
              <w:jc w:val="center"/>
              <w:rPr>
                <w:rFonts w:hint="eastAsia" w:ascii="宋体" w:hAnsi="宋体" w:eastAsia="宋体" w:cs="宋体"/>
                <w:i w:val="0"/>
                <w:iCs w:val="0"/>
                <w:color w:val="000000"/>
                <w:sz w:val="18"/>
                <w:szCs w:val="18"/>
                <w:u w:val="none"/>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9A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试剂按合同交付、验收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5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8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F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26B92">
            <w:pPr>
              <w:jc w:val="center"/>
              <w:rPr>
                <w:rFonts w:hint="eastAsia" w:ascii="宋体" w:hAnsi="宋体" w:eastAsia="宋体" w:cs="宋体"/>
                <w:i w:val="0"/>
                <w:iCs w:val="0"/>
                <w:color w:val="000000"/>
                <w:sz w:val="22"/>
                <w:szCs w:val="22"/>
                <w:u w:val="none"/>
              </w:rPr>
            </w:pPr>
          </w:p>
        </w:tc>
      </w:tr>
      <w:tr w14:paraId="59FF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CC541">
            <w:pPr>
              <w:jc w:val="center"/>
              <w:rPr>
                <w:rFonts w:hint="eastAsia" w:ascii="宋体" w:hAnsi="宋体" w:eastAsia="宋体" w:cs="宋体"/>
                <w:i w:val="0"/>
                <w:iCs w:val="0"/>
                <w:color w:val="000000"/>
                <w:sz w:val="18"/>
                <w:szCs w:val="18"/>
                <w:u w:val="none"/>
              </w:rPr>
            </w:pP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8A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3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3F17">
            <w:pPr>
              <w:jc w:val="left"/>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B1A">
            <w:pPr>
              <w:jc w:val="center"/>
              <w:rPr>
                <w:rFonts w:hint="eastAsia" w:ascii="宋体" w:hAnsi="宋体" w:eastAsia="宋体" w:cs="宋体"/>
                <w:i w:val="0"/>
                <w:iCs w:val="0"/>
                <w:color w:val="000000"/>
                <w:sz w:val="22"/>
                <w:szCs w:val="22"/>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F58A0">
            <w:pPr>
              <w:jc w:val="cente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B709">
            <w:pPr>
              <w:jc w:val="center"/>
              <w:rPr>
                <w:rFonts w:hint="eastAsia" w:ascii="宋体" w:hAnsi="宋体" w:eastAsia="宋体" w:cs="宋体"/>
                <w:i w:val="0"/>
                <w:iCs w:val="0"/>
                <w:color w:val="000000"/>
                <w:sz w:val="22"/>
                <w:szCs w:val="22"/>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A6C3C">
            <w:pPr>
              <w:jc w:val="center"/>
              <w:rPr>
                <w:rFonts w:hint="eastAsia" w:ascii="宋体" w:hAnsi="宋体" w:eastAsia="宋体" w:cs="宋体"/>
                <w:i w:val="0"/>
                <w:iCs w:val="0"/>
                <w:color w:val="000000"/>
                <w:sz w:val="22"/>
                <w:szCs w:val="22"/>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5AF01">
            <w:pPr>
              <w:jc w:val="center"/>
              <w:rPr>
                <w:rFonts w:hint="eastAsia" w:ascii="宋体" w:hAnsi="宋体" w:eastAsia="宋体" w:cs="宋体"/>
                <w:i w:val="0"/>
                <w:iCs w:val="0"/>
                <w:color w:val="000000"/>
                <w:sz w:val="22"/>
                <w:szCs w:val="22"/>
                <w:u w:val="none"/>
              </w:rPr>
            </w:pPr>
          </w:p>
        </w:tc>
      </w:tr>
      <w:tr w14:paraId="6B25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3"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4B680E">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FB1E">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92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55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为食品等行业提供安全保障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7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3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4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6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58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足职责，继续开展计量器具周期检定工作，提升服务能力和服务水平，进一步提升服务质量，助力优化营商环境立足职责，继续开展计量器具周期检定工作，提升服务能力和服务水平，进一步提升服务质量，助力优化营商环境</w:t>
            </w:r>
          </w:p>
        </w:tc>
      </w:tr>
      <w:tr w14:paraId="6A69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7D4E15">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8C3D">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C60C">
            <w:pPr>
              <w:jc w:val="center"/>
              <w:rPr>
                <w:rFonts w:hint="eastAsia" w:ascii="宋体" w:hAnsi="宋体" w:eastAsia="宋体" w:cs="宋体"/>
                <w:i w:val="0"/>
                <w:iCs w:val="0"/>
                <w:color w:val="000000"/>
                <w:sz w:val="18"/>
                <w:szCs w:val="18"/>
                <w:u w:val="none"/>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55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检测能力视企业检测需求进一步完善补充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D5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2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CE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加快与检验检测咨询服务公司联系，完善体系文件及记录，全面开展拟检测工作，维持为期6个月的机构试运行，申报食品检验检测机构资质</w:t>
            </w:r>
          </w:p>
        </w:tc>
      </w:tr>
      <w:tr w14:paraId="306E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A4AE2">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8EE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D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40454">
            <w:pPr>
              <w:jc w:val="left"/>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B064">
            <w:pPr>
              <w:jc w:val="center"/>
              <w:rPr>
                <w:rFonts w:hint="eastAsia" w:ascii="宋体" w:hAnsi="宋体" w:eastAsia="宋体" w:cs="宋体"/>
                <w:i w:val="0"/>
                <w:iCs w:val="0"/>
                <w:color w:val="000000"/>
                <w:sz w:val="22"/>
                <w:szCs w:val="22"/>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D1B4B">
            <w:pPr>
              <w:jc w:val="center"/>
              <w:rPr>
                <w:rFonts w:hint="eastAsia" w:ascii="宋体" w:hAnsi="宋体" w:eastAsia="宋体" w:cs="宋体"/>
                <w:i w:val="0"/>
                <w:iCs w:val="0"/>
                <w:color w:val="000000"/>
                <w:sz w:val="22"/>
                <w:szCs w:val="22"/>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1AE">
            <w:pPr>
              <w:jc w:val="center"/>
              <w:rPr>
                <w:rFonts w:hint="eastAsia" w:ascii="宋体" w:hAnsi="宋体" w:eastAsia="宋体" w:cs="宋体"/>
                <w:i w:val="0"/>
                <w:iCs w:val="0"/>
                <w:color w:val="000000"/>
                <w:sz w:val="22"/>
                <w:szCs w:val="22"/>
                <w:u w:val="none"/>
              </w:rPr>
            </w:pP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7FE1C">
            <w:pPr>
              <w:jc w:val="center"/>
              <w:rPr>
                <w:rFonts w:hint="eastAsia" w:ascii="宋体" w:hAnsi="宋体" w:eastAsia="宋体" w:cs="宋体"/>
                <w:i w:val="0"/>
                <w:iCs w:val="0"/>
                <w:color w:val="000000"/>
                <w:sz w:val="22"/>
                <w:szCs w:val="22"/>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7E7C3">
            <w:pPr>
              <w:jc w:val="center"/>
              <w:rPr>
                <w:rFonts w:hint="eastAsia" w:ascii="宋体" w:hAnsi="宋体" w:eastAsia="宋体" w:cs="宋体"/>
                <w:i w:val="0"/>
                <w:iCs w:val="0"/>
                <w:color w:val="000000"/>
                <w:sz w:val="22"/>
                <w:szCs w:val="22"/>
                <w:u w:val="none"/>
              </w:rPr>
            </w:pPr>
          </w:p>
        </w:tc>
      </w:tr>
      <w:tr w14:paraId="11BA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E5473A">
            <w:pPr>
              <w:jc w:val="center"/>
              <w:rPr>
                <w:rFonts w:hint="eastAsia" w:ascii="宋体" w:hAnsi="宋体" w:eastAsia="宋体" w:cs="宋体"/>
                <w:i w:val="0"/>
                <w:iCs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F4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2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FE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6217">
            <w:pPr>
              <w:jc w:val="center"/>
              <w:rPr>
                <w:rFonts w:hint="eastAsia" w:ascii="宋体" w:hAnsi="宋体" w:eastAsia="宋体" w:cs="宋体"/>
                <w:i w:val="0"/>
                <w:iCs w:val="0"/>
                <w:color w:val="000000"/>
                <w:sz w:val="22"/>
                <w:szCs w:val="22"/>
                <w:u w:val="none"/>
              </w:rPr>
            </w:pPr>
          </w:p>
        </w:tc>
      </w:tr>
      <w:tr w14:paraId="391F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9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161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D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F4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967C">
            <w:pPr>
              <w:jc w:val="center"/>
              <w:rPr>
                <w:rFonts w:hint="eastAsia" w:ascii="宋体" w:hAnsi="宋体" w:eastAsia="宋体" w:cs="宋体"/>
                <w:i w:val="0"/>
                <w:iCs w:val="0"/>
                <w:color w:val="000000"/>
                <w:sz w:val="22"/>
                <w:szCs w:val="22"/>
                <w:u w:val="none"/>
              </w:rPr>
            </w:pPr>
          </w:p>
        </w:tc>
      </w:tr>
    </w:tbl>
    <w:p w14:paraId="577A960E">
      <w:pPr>
        <w:autoSpaceDE w:val="0"/>
        <w:autoSpaceDN w:val="0"/>
        <w:adjustRightInd w:val="0"/>
        <w:spacing w:line="360" w:lineRule="auto"/>
        <w:ind w:firstLine="600"/>
        <w:jc w:val="left"/>
        <w:outlineLvl w:val="2"/>
        <w:rPr>
          <w:rFonts w:hint="default" w:ascii="仿宋_GB2312" w:hAnsi="仿宋_GB2312" w:eastAsia="仿宋_GB2312"/>
          <w:color w:val="FF0000"/>
          <w:sz w:val="32"/>
          <w:szCs w:val="32"/>
          <w:lang w:val="en-US" w:eastAsia="zh-CN"/>
        </w:rPr>
      </w:pPr>
    </w:p>
    <w:p w14:paraId="0C14A14C">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66DE538C">
      <w:pPr>
        <w:autoSpaceDE w:val="0"/>
        <w:autoSpaceDN w:val="0"/>
        <w:adjustRightInd w:val="0"/>
        <w:spacing w:line="360" w:lineRule="auto"/>
        <w:ind w:firstLine="600"/>
        <w:jc w:val="left"/>
        <w:rPr>
          <w:rFonts w:hint="eastAsia"/>
        </w:rPr>
      </w:pPr>
      <w:r>
        <w:rPr>
          <w:rFonts w:hint="eastAsia" w:ascii="仿宋_GB2312" w:hAnsi="仿宋_GB2312" w:eastAsia="仿宋_GB2312" w:cs="仿宋_GB2312"/>
          <w:kern w:val="0"/>
          <w:sz w:val="32"/>
          <w:szCs w:val="32"/>
        </w:rPr>
        <w:t>项目部门评价报告见第五部分附件。</w:t>
      </w:r>
    </w:p>
    <w:p w14:paraId="684DB0A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E13429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BEF128F">
      <w:pPr>
        <w:ind w:firstLine="630"/>
        <w:jc w:val="left"/>
        <w:outlineLvl w:val="1"/>
        <w:rPr>
          <w:rFonts w:hint="eastAsia" w:ascii="黑体" w:hAnsi="黑体" w:eastAsia="黑体" w:cs="Times New Roman"/>
          <w:sz w:val="32"/>
          <w:szCs w:val="32"/>
        </w:rPr>
      </w:pPr>
    </w:p>
    <w:p w14:paraId="4B41815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75E880C7">
      <w:pPr>
        <w:ind w:firstLine="643"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b/>
          <w:bCs/>
          <w:color w:val="000000" w:themeColor="text1"/>
          <w:kern w:val="0"/>
          <w:sz w:val="32"/>
          <w:szCs w:val="32"/>
          <w:lang w:val="en-US" w:eastAsia="zh-CN"/>
        </w:rPr>
        <w:t>(一)</w:t>
      </w:r>
      <w:r>
        <w:rPr>
          <w:rFonts w:hint="eastAsia" w:ascii="仿宋_GB2312" w:hAnsi="仿宋_GB2312" w:eastAsia="仿宋_GB2312"/>
          <w:b/>
          <w:bCs/>
          <w:color w:val="000000" w:themeColor="text1"/>
          <w:kern w:val="0"/>
          <w:sz w:val="32"/>
          <w:szCs w:val="32"/>
        </w:rPr>
        <w:t>财政拨款收入：</w:t>
      </w:r>
      <w:r>
        <w:rPr>
          <w:rFonts w:hint="eastAsia" w:ascii="仿宋_GB2312" w:hAnsi="仿宋_GB2312" w:eastAsia="仿宋_GB2312"/>
          <w:color w:val="000000" w:themeColor="text1"/>
          <w:kern w:val="0"/>
          <w:sz w:val="32"/>
          <w:szCs w:val="32"/>
        </w:rPr>
        <w:t>指单位本年度从本级财政部门取得的财政拨款，包括一般公共预算财政拨款、政府性基金预算财政拨款和国有资本经营预算财政拨款。</w:t>
      </w:r>
    </w:p>
    <w:p w14:paraId="4E2C2810">
      <w:pPr>
        <w:ind w:firstLine="643"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二</w:t>
      </w: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事业收入：</w:t>
      </w:r>
      <w:r>
        <w:rPr>
          <w:rFonts w:hint="eastAsia" w:ascii="仿宋_GB2312" w:hAnsi="仿宋_GB2312" w:eastAsia="仿宋_GB2312"/>
          <w:color w:val="000000" w:themeColor="text1"/>
          <w:kern w:val="0"/>
          <w:sz w:val="32"/>
          <w:szCs w:val="32"/>
        </w:rPr>
        <w:t>指事业单位开展专业业务活动及其辅助活动取得的收入。</w:t>
      </w:r>
    </w:p>
    <w:p w14:paraId="12DF878F">
      <w:pPr>
        <w:ind w:firstLine="643"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三</w:t>
      </w: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经营收入：</w:t>
      </w:r>
      <w:r>
        <w:rPr>
          <w:rFonts w:hint="eastAsia" w:ascii="仿宋_GB2312" w:hAnsi="仿宋_GB2312" w:eastAsia="仿宋_GB2312"/>
          <w:color w:val="000000" w:themeColor="text1"/>
          <w:kern w:val="0"/>
          <w:sz w:val="32"/>
          <w:szCs w:val="32"/>
        </w:rPr>
        <w:t>指事业单位在专业业务活动及其辅助活动之外开展非独立核算经营活动取得的收入。</w:t>
      </w:r>
    </w:p>
    <w:p w14:paraId="360A2BEB">
      <w:pPr>
        <w:ind w:firstLine="643" w:firstLineChars="200"/>
        <w:rPr>
          <w:rFonts w:hint="eastAsia" w:ascii="仿宋_GB2312" w:hAnsi="仿宋_GB2312" w:eastAsia="仿宋_GB2312"/>
          <w:color w:val="000000" w:themeColor="text1"/>
          <w:kern w:val="0"/>
          <w:sz w:val="32"/>
          <w:szCs w:val="32"/>
          <w:lang w:eastAsia="zh-CN"/>
        </w:rPr>
      </w:pP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四</w:t>
      </w: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其他收入：</w:t>
      </w:r>
      <w:r>
        <w:rPr>
          <w:rFonts w:hint="eastAsia" w:ascii="仿宋_GB2312" w:hAnsi="仿宋_GB2312" w:eastAsia="仿宋_GB2312"/>
          <w:color w:val="000000" w:themeColor="text1"/>
          <w:kern w:val="0"/>
          <w:sz w:val="32"/>
          <w:szCs w:val="32"/>
        </w:rPr>
        <w:t>指单位取得的除“财政拨款收入”、“事业收入”、“经营收入”等以外的收入。</w:t>
      </w:r>
    </w:p>
    <w:p w14:paraId="24654040">
      <w:pPr>
        <w:ind w:firstLine="643"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五</w:t>
      </w: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年初结转和结余：</w:t>
      </w:r>
      <w:r>
        <w:rPr>
          <w:rFonts w:hint="eastAsia" w:ascii="仿宋_GB2312" w:hAnsi="仿宋_GB2312" w:eastAsia="仿宋_GB2312"/>
          <w:color w:val="000000" w:themeColor="text1"/>
          <w:kern w:val="0"/>
          <w:sz w:val="32"/>
          <w:szCs w:val="32"/>
        </w:rPr>
        <w:t>指以前年度尚未完成、结转到本年按有关 规定继续使用的资金。</w:t>
      </w:r>
    </w:p>
    <w:p w14:paraId="5D2BDC09">
      <w:pPr>
        <w:ind w:firstLine="643" w:firstLineChars="200"/>
        <w:rPr>
          <w:rFonts w:hint="eastAsia" w:ascii="仿宋_GB2312" w:hAnsi="仿宋_GB2312" w:eastAsia="仿宋_GB2312"/>
          <w:color w:val="FF0000"/>
          <w:kern w:val="0"/>
          <w:sz w:val="32"/>
          <w:szCs w:val="32"/>
        </w:rPr>
      </w:pP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六</w:t>
      </w:r>
      <w:r>
        <w:rPr>
          <w:rFonts w:hint="eastAsia" w:ascii="仿宋_GB2312" w:hAnsi="仿宋_GB2312" w:eastAsia="仿宋_GB2312"/>
          <w:b/>
          <w:bCs/>
          <w:color w:val="000000" w:themeColor="text1"/>
          <w:kern w:val="0"/>
          <w:sz w:val="32"/>
          <w:szCs w:val="32"/>
          <w:lang w:eastAsia="zh-CN"/>
        </w:rPr>
        <w:t>）</w:t>
      </w:r>
      <w:r>
        <w:rPr>
          <w:rFonts w:hint="eastAsia" w:ascii="仿宋_GB2312" w:hAnsi="仿宋_GB2312" w:eastAsia="仿宋_GB2312"/>
          <w:b/>
          <w:bCs/>
          <w:color w:val="000000" w:themeColor="text1"/>
          <w:kern w:val="0"/>
          <w:sz w:val="32"/>
          <w:szCs w:val="32"/>
        </w:rPr>
        <w:t>年末结转和结余：</w:t>
      </w:r>
      <w:r>
        <w:rPr>
          <w:rFonts w:hint="eastAsia" w:ascii="仿宋_GB2312" w:hAnsi="仿宋_GB2312" w:eastAsia="仿宋_GB2312"/>
          <w:color w:val="000000" w:themeColor="text1"/>
          <w:kern w:val="0"/>
          <w:sz w:val="32"/>
          <w:szCs w:val="32"/>
        </w:rPr>
        <w:t>指本年度或以前年度预算安排、因客观条 件发生变化无法按原计划实施，需延迟到以后年度按有关规定继续使用的资金。</w:t>
      </w:r>
    </w:p>
    <w:p w14:paraId="557545E7">
      <w:pPr>
        <w:numPr>
          <w:ilvl w:val="0"/>
          <w:numId w:val="3"/>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14:paraId="3A54379B">
      <w:pPr>
        <w:ind w:firstLine="643" w:firstLineChars="200"/>
        <w:rPr>
          <w:rFonts w:hint="eastAsia" w:ascii="仿宋_GB2312" w:hAnsi="仿宋_GB2312" w:eastAsia="仿宋_GB2312"/>
          <w:color w:val="000000" w:themeColor="text1"/>
          <w:kern w:val="0"/>
          <w:sz w:val="32"/>
          <w:szCs w:val="32"/>
          <w:lang w:eastAsia="zh-CN"/>
        </w:rPr>
      </w:pPr>
      <w:r>
        <w:rPr>
          <w:rFonts w:hint="eastAsia" w:ascii="仿宋_GB2312" w:hAnsi="仿宋_GB2312" w:eastAsia="仿宋_GB2312"/>
          <w:b/>
          <w:bCs/>
          <w:color w:val="000000" w:themeColor="text1"/>
          <w:kern w:val="0"/>
          <w:sz w:val="32"/>
          <w:szCs w:val="32"/>
          <w:lang w:eastAsia="zh-CN"/>
        </w:rPr>
        <w:t>（一）基本支出：</w:t>
      </w:r>
      <w:r>
        <w:rPr>
          <w:rFonts w:hint="eastAsia" w:ascii="仿宋_GB2312" w:hAnsi="仿宋_GB2312" w:eastAsia="仿宋_GB2312"/>
          <w:color w:val="000000" w:themeColor="text1"/>
          <w:kern w:val="0"/>
          <w:sz w:val="32"/>
          <w:szCs w:val="32"/>
          <w:lang w:eastAsia="zh-CN"/>
        </w:rPr>
        <w:t>指单位为保障机构正常运转、完成日常工作任务而发生的各项支出。</w:t>
      </w:r>
    </w:p>
    <w:p w14:paraId="5D269F7B">
      <w:pPr>
        <w:ind w:firstLine="643" w:firstLineChars="200"/>
        <w:rPr>
          <w:rFonts w:hint="eastAsia" w:ascii="仿宋_GB2312" w:hAnsi="仿宋_GB2312" w:eastAsia="仿宋_GB2312"/>
          <w:color w:val="000000" w:themeColor="text1"/>
          <w:kern w:val="0"/>
          <w:sz w:val="32"/>
          <w:szCs w:val="32"/>
          <w:lang w:eastAsia="zh-CN"/>
        </w:rPr>
      </w:pPr>
      <w:r>
        <w:rPr>
          <w:rFonts w:hint="eastAsia" w:ascii="仿宋_GB2312" w:hAnsi="仿宋_GB2312" w:eastAsia="仿宋_GB2312"/>
          <w:b/>
          <w:bCs/>
          <w:color w:val="000000" w:themeColor="text1"/>
          <w:kern w:val="0"/>
          <w:sz w:val="32"/>
          <w:szCs w:val="32"/>
          <w:lang w:eastAsia="zh-CN"/>
        </w:rPr>
        <w:t>（二）项目支出：</w:t>
      </w:r>
      <w:r>
        <w:rPr>
          <w:rFonts w:hint="eastAsia" w:ascii="仿宋_GB2312" w:hAnsi="仿宋_GB2312" w:eastAsia="仿宋_GB2312"/>
          <w:color w:val="000000" w:themeColor="text1"/>
          <w:kern w:val="0"/>
          <w:sz w:val="32"/>
          <w:szCs w:val="32"/>
          <w:lang w:eastAsia="zh-CN"/>
        </w:rPr>
        <w:t>指单位为完成特定的行政工作任务或事业发展目标，在基本支出之外发生的各项支出。</w:t>
      </w:r>
    </w:p>
    <w:p w14:paraId="1B927B27">
      <w:pPr>
        <w:ind w:firstLine="643" w:firstLineChars="200"/>
        <w:rPr>
          <w:rFonts w:hint="eastAsia" w:ascii="仿宋_GB2312" w:hAnsi="仿宋_GB2312" w:eastAsia="仿宋_GB2312"/>
          <w:color w:val="000000" w:themeColor="text1"/>
          <w:kern w:val="0"/>
          <w:sz w:val="32"/>
          <w:szCs w:val="32"/>
          <w:lang w:eastAsia="zh-CN"/>
        </w:rPr>
      </w:pPr>
      <w:r>
        <w:rPr>
          <w:rFonts w:hint="eastAsia" w:ascii="仿宋_GB2312" w:hAnsi="仿宋_GB2312" w:eastAsia="仿宋_GB2312"/>
          <w:b/>
          <w:bCs/>
          <w:color w:val="000000" w:themeColor="text1"/>
          <w:kern w:val="0"/>
          <w:sz w:val="32"/>
          <w:szCs w:val="32"/>
          <w:lang w:eastAsia="zh-CN"/>
        </w:rPr>
        <w:t>（三）经营支出：</w:t>
      </w:r>
      <w:r>
        <w:rPr>
          <w:rFonts w:hint="eastAsia" w:ascii="仿宋_GB2312" w:hAnsi="仿宋_GB2312" w:eastAsia="仿宋_GB2312"/>
          <w:color w:val="000000" w:themeColor="text1"/>
          <w:kern w:val="0"/>
          <w:sz w:val="32"/>
          <w:szCs w:val="32"/>
          <w:lang w:eastAsia="zh-CN"/>
        </w:rPr>
        <w:t>指事业单位在专业活动及辅助活动之外开展非独立核算经营活动发生的支出。</w:t>
      </w:r>
    </w:p>
    <w:p w14:paraId="53623C7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947D07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DEE5CB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8F09AB1">
      <w:pPr>
        <w:bidi w:val="0"/>
        <w:rPr>
          <w:rFonts w:hint="eastAsia"/>
        </w:rPr>
      </w:pPr>
    </w:p>
    <w:p w14:paraId="7064CE02">
      <w:pPr>
        <w:bidi w:val="0"/>
        <w:rPr>
          <w:rFonts w:hint="eastAsia"/>
        </w:rPr>
      </w:pPr>
    </w:p>
    <w:p w14:paraId="3467D7A7">
      <w:pPr>
        <w:bidi w:val="0"/>
        <w:rPr>
          <w:rFonts w:hint="eastAsia"/>
        </w:rPr>
      </w:pPr>
    </w:p>
    <w:p w14:paraId="70FAB21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1EA8705A">
      <w:pPr>
        <w:bidi w:val="0"/>
        <w:rPr>
          <w:rFonts w:hint="eastAsia"/>
        </w:rPr>
      </w:pPr>
    </w:p>
    <w:p w14:paraId="3520D096">
      <w:pPr>
        <w:spacing w:before="153" w:line="375" w:lineRule="auto"/>
        <w:ind w:left="278" w:right="266" w:firstLine="904"/>
        <w:jc w:val="center"/>
        <w:rPr>
          <w:rFonts w:ascii="Times New Roman" w:hAnsi="Times New Roman" w:eastAsia="方正小标宋简体" w:cs="Times New Roman"/>
          <w:sz w:val="44"/>
          <w:szCs w:val="44"/>
        </w:rPr>
      </w:pPr>
      <w:r>
        <w:rPr>
          <w:rFonts w:hint="eastAsia"/>
          <w:lang w:val="en-US" w:eastAsia="zh-CN"/>
        </w:rPr>
        <w:t xml:space="preserve"> </w:t>
      </w:r>
      <w:bookmarkStart w:id="0" w:name="_Toc10752"/>
      <w:bookmarkStart w:id="1" w:name="_Toc13652"/>
      <w:r>
        <w:rPr>
          <w:rFonts w:ascii="Times New Roman" w:hAnsi="Times New Roman" w:eastAsia="方正小标宋简体" w:cs="Times New Roman"/>
          <w:sz w:val="44"/>
          <w:szCs w:val="44"/>
        </w:rPr>
        <w:t>浮梁县市场监督管理局</w:t>
      </w:r>
      <w:r>
        <w:rPr>
          <w:rFonts w:hint="eastAsia" w:ascii="Times New Roman" w:hAnsi="Times New Roman" w:eastAsia="方正小标宋简体" w:cs="Times New Roman"/>
          <w:sz w:val="44"/>
          <w:szCs w:val="44"/>
        </w:rPr>
        <w:t>2023年度</w:t>
      </w:r>
    </w:p>
    <w:p w14:paraId="3F7C5863">
      <w:pPr>
        <w:spacing w:before="153" w:line="375" w:lineRule="auto"/>
        <w:ind w:left="278" w:right="266" w:firstLine="904"/>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部门整体</w:t>
      </w:r>
      <w:r>
        <w:rPr>
          <w:rFonts w:ascii="Times New Roman" w:hAnsi="Times New Roman" w:eastAsia="方正小标宋简体" w:cs="Times New Roman"/>
          <w:sz w:val="44"/>
          <w:szCs w:val="44"/>
        </w:rPr>
        <w:t>支出绩效评价报告</w:t>
      </w:r>
      <w:bookmarkEnd w:id="0"/>
      <w:bookmarkEnd w:id="1"/>
    </w:p>
    <w:p w14:paraId="2FB3E2E7">
      <w:pPr>
        <w:spacing w:line="247" w:lineRule="auto"/>
        <w:ind w:firstLine="584"/>
        <w:rPr>
          <w:rFonts w:ascii="Times New Roman" w:hAnsi="Times New Roman" w:cs="Times New Roman"/>
        </w:rPr>
      </w:pPr>
    </w:p>
    <w:p w14:paraId="46B5E136">
      <w:pPr>
        <w:spacing w:line="247" w:lineRule="auto"/>
        <w:ind w:firstLine="584"/>
        <w:rPr>
          <w:rFonts w:ascii="Times New Roman" w:hAnsi="Times New Roman" w:cs="Times New Roman"/>
        </w:rPr>
      </w:pPr>
    </w:p>
    <w:p w14:paraId="58136E66">
      <w:pPr>
        <w:spacing w:line="247" w:lineRule="auto"/>
        <w:ind w:firstLine="584"/>
        <w:rPr>
          <w:rFonts w:ascii="Times New Roman" w:hAnsi="Times New Roman" w:cs="Times New Roman"/>
        </w:rPr>
      </w:pPr>
    </w:p>
    <w:p w14:paraId="63BE21C1">
      <w:pPr>
        <w:spacing w:line="247" w:lineRule="auto"/>
        <w:ind w:firstLine="584"/>
        <w:rPr>
          <w:rFonts w:ascii="Times New Roman" w:hAnsi="Times New Roman" w:cs="Times New Roman"/>
        </w:rPr>
      </w:pPr>
    </w:p>
    <w:p w14:paraId="1F964680">
      <w:pPr>
        <w:spacing w:line="247" w:lineRule="auto"/>
        <w:ind w:firstLine="142" w:firstLineChars="68"/>
        <w:rPr>
          <w:rFonts w:ascii="Times New Roman" w:hAnsi="Times New Roman" w:cs="Times New Roman"/>
        </w:rPr>
      </w:pPr>
    </w:p>
    <w:p w14:paraId="6F098B01">
      <w:pPr>
        <w:spacing w:line="247" w:lineRule="auto"/>
        <w:ind w:firstLine="640"/>
        <w:rPr>
          <w:rFonts w:ascii="Times New Roman" w:hAnsi="Times New Roman" w:cs="Times New Roman"/>
        </w:rPr>
      </w:pPr>
      <w:r>
        <w:rPr>
          <w:rFonts w:ascii="Times New Roman" w:hAnsi="Times New Roman" w:eastAsia="黑体" w:cs="Times New Roman"/>
          <w:sz w:val="32"/>
          <w:szCs w:val="32"/>
        </w:rPr>
        <w:drawing>
          <wp:anchor distT="0" distB="0" distL="0" distR="0" simplePos="0" relativeHeight="251660288" behindDoc="1" locked="0" layoutInCell="1" allowOverlap="1">
            <wp:simplePos x="0" y="0"/>
            <wp:positionH relativeFrom="column">
              <wp:posOffset>1976120</wp:posOffset>
            </wp:positionH>
            <wp:positionV relativeFrom="paragraph">
              <wp:posOffset>133985</wp:posOffset>
            </wp:positionV>
            <wp:extent cx="1578610" cy="1591310"/>
            <wp:effectExtent l="0" t="0" r="2540"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578514" cy="1591194"/>
                    </a:xfrm>
                    <a:prstGeom prst="rect">
                      <a:avLst/>
                    </a:prstGeom>
                  </pic:spPr>
                </pic:pic>
              </a:graphicData>
            </a:graphic>
          </wp:anchor>
        </w:drawing>
      </w:r>
    </w:p>
    <w:p w14:paraId="7A59F597">
      <w:pPr>
        <w:spacing w:line="247" w:lineRule="auto"/>
        <w:ind w:firstLine="584"/>
        <w:rPr>
          <w:rFonts w:ascii="Times New Roman" w:hAnsi="Times New Roman" w:cs="Times New Roman"/>
        </w:rPr>
      </w:pPr>
    </w:p>
    <w:p w14:paraId="441E3D80">
      <w:pPr>
        <w:spacing w:line="247" w:lineRule="auto"/>
        <w:ind w:firstLine="584"/>
        <w:rPr>
          <w:rFonts w:ascii="Times New Roman" w:hAnsi="Times New Roman" w:cs="Times New Roman"/>
        </w:rPr>
      </w:pPr>
    </w:p>
    <w:p w14:paraId="33885AB5">
      <w:pPr>
        <w:spacing w:line="247" w:lineRule="auto"/>
        <w:ind w:firstLine="584"/>
        <w:rPr>
          <w:rFonts w:ascii="Times New Roman" w:hAnsi="Times New Roman" w:cs="Times New Roman"/>
        </w:rPr>
      </w:pPr>
    </w:p>
    <w:p w14:paraId="46FB79CD">
      <w:pPr>
        <w:spacing w:line="247" w:lineRule="auto"/>
        <w:ind w:firstLine="584"/>
        <w:rPr>
          <w:rFonts w:ascii="Times New Roman" w:hAnsi="Times New Roman" w:cs="Times New Roman"/>
        </w:rPr>
      </w:pPr>
    </w:p>
    <w:p w14:paraId="042E11E5">
      <w:pPr>
        <w:spacing w:line="248" w:lineRule="auto"/>
        <w:ind w:firstLine="584"/>
        <w:rPr>
          <w:rFonts w:ascii="Times New Roman" w:hAnsi="Times New Roman" w:cs="Times New Roman"/>
        </w:rPr>
      </w:pPr>
    </w:p>
    <w:p w14:paraId="64D05163">
      <w:pPr>
        <w:spacing w:line="248" w:lineRule="auto"/>
        <w:ind w:firstLine="584"/>
        <w:rPr>
          <w:rFonts w:ascii="Times New Roman" w:hAnsi="Times New Roman" w:cs="Times New Roman"/>
        </w:rPr>
      </w:pPr>
    </w:p>
    <w:p w14:paraId="5B93108F">
      <w:pPr>
        <w:spacing w:line="248" w:lineRule="auto"/>
        <w:ind w:firstLine="584"/>
        <w:rPr>
          <w:rFonts w:ascii="Times New Roman" w:hAnsi="Times New Roman" w:cs="Times New Roman"/>
        </w:rPr>
      </w:pPr>
    </w:p>
    <w:p w14:paraId="537962A5">
      <w:pPr>
        <w:spacing w:line="248" w:lineRule="auto"/>
        <w:ind w:firstLine="584"/>
        <w:rPr>
          <w:rFonts w:ascii="Times New Roman" w:hAnsi="Times New Roman" w:cs="Times New Roman"/>
        </w:rPr>
      </w:pPr>
    </w:p>
    <w:p w14:paraId="446B8EC5">
      <w:pPr>
        <w:pStyle w:val="28"/>
        <w:widowControl w:val="0"/>
        <w:kinsoku/>
        <w:ind w:firstLine="584"/>
        <w:rPr>
          <w:rFonts w:ascii="Times New Roman" w:hAnsi="Times New Roman" w:cs="Times New Roman"/>
        </w:rPr>
      </w:pPr>
    </w:p>
    <w:p w14:paraId="531C07E6">
      <w:pPr>
        <w:pStyle w:val="28"/>
        <w:widowControl w:val="0"/>
        <w:kinsoku/>
        <w:ind w:firstLine="584"/>
        <w:rPr>
          <w:rFonts w:ascii="Times New Roman" w:hAnsi="Times New Roman" w:cs="Times New Roman"/>
        </w:rPr>
      </w:pPr>
    </w:p>
    <w:p w14:paraId="47790758">
      <w:pPr>
        <w:pStyle w:val="28"/>
        <w:widowControl w:val="0"/>
        <w:kinsoku/>
        <w:ind w:firstLine="584"/>
        <w:rPr>
          <w:rFonts w:ascii="Times New Roman" w:hAnsi="Times New Roman" w:cs="Times New Roman"/>
        </w:rPr>
      </w:pPr>
    </w:p>
    <w:p w14:paraId="6900E3F6">
      <w:pPr>
        <w:pStyle w:val="28"/>
        <w:widowControl w:val="0"/>
        <w:kinsoku/>
        <w:rPr>
          <w:rFonts w:ascii="Times New Roman" w:hAnsi="Times New Roman" w:cs="Times New Roman"/>
        </w:rPr>
      </w:pPr>
    </w:p>
    <w:p w14:paraId="17FCC7BE">
      <w:pPr>
        <w:spacing w:line="248" w:lineRule="auto"/>
        <w:ind w:firstLine="0" w:firstLineChars="0"/>
        <w:rPr>
          <w:rFonts w:ascii="Times New Roman" w:hAnsi="Times New Roman" w:cs="Times New Roman"/>
        </w:rPr>
      </w:pPr>
    </w:p>
    <w:p w14:paraId="01E70C7E">
      <w:pPr>
        <w:keepNext w:val="0"/>
        <w:keepLines w:val="0"/>
        <w:pageBreakBefore w:val="0"/>
        <w:widowControl w:val="0"/>
        <w:kinsoku/>
        <w:wordWrap/>
        <w:overflowPunct/>
        <w:topLinePunct w:val="0"/>
        <w:autoSpaceDE/>
        <w:autoSpaceDN/>
        <w:bidi w:val="0"/>
        <w:adjustRightInd/>
        <w:snapToGrid/>
        <w:spacing w:before="114" w:line="240" w:lineRule="exact"/>
        <w:ind w:firstLine="192" w:firstLineChars="53"/>
        <w:textAlignment w:val="auto"/>
        <w:rPr>
          <w:rFonts w:ascii="Times New Roman" w:hAnsi="Times New Roman" w:cs="Times New Roman"/>
          <w:b/>
          <w:bCs/>
          <w:sz w:val="36"/>
          <w:szCs w:val="36"/>
        </w:rPr>
      </w:pPr>
      <w:bookmarkStart w:id="2" w:name="_Toc19713"/>
      <w:bookmarkStart w:id="3" w:name="_Toc19849"/>
      <w:r>
        <w:rPr>
          <w:rFonts w:ascii="Times New Roman" w:hAnsi="Times New Roman" w:cs="Times New Roman"/>
          <w:b/>
          <w:bCs/>
          <w:sz w:val="36"/>
          <w:szCs w:val="36"/>
        </w:rPr>
        <w:t>主管部门：</w:t>
      </w:r>
      <w:bookmarkEnd w:id="2"/>
      <w:bookmarkEnd w:id="3"/>
      <w:r>
        <w:rPr>
          <w:rFonts w:ascii="Times New Roman" w:hAnsi="Times New Roman" w:cs="Times New Roman"/>
          <w:sz w:val="36"/>
          <w:szCs w:val="36"/>
        </w:rPr>
        <w:t>浮梁县</w:t>
      </w:r>
      <w:r>
        <w:rPr>
          <w:rFonts w:hint="eastAsia" w:ascii="Times New Roman" w:hAnsi="Times New Roman" w:cs="Times New Roman"/>
          <w:sz w:val="36"/>
          <w:szCs w:val="36"/>
        </w:rPr>
        <w:t>市场</w:t>
      </w:r>
      <w:r>
        <w:rPr>
          <w:rFonts w:ascii="Times New Roman" w:hAnsi="Times New Roman" w:cs="Times New Roman"/>
          <w:sz w:val="36"/>
          <w:szCs w:val="36"/>
        </w:rPr>
        <w:t>监督管理局</w:t>
      </w:r>
    </w:p>
    <w:p w14:paraId="763739A0">
      <w:pPr>
        <w:keepNext w:val="0"/>
        <w:keepLines w:val="0"/>
        <w:pageBreakBefore w:val="0"/>
        <w:widowControl w:val="0"/>
        <w:kinsoku/>
        <w:wordWrap/>
        <w:overflowPunct/>
        <w:topLinePunct w:val="0"/>
        <w:autoSpaceDE/>
        <w:autoSpaceDN/>
        <w:bidi w:val="0"/>
        <w:adjustRightInd/>
        <w:snapToGrid/>
        <w:spacing w:before="114" w:line="240" w:lineRule="exact"/>
        <w:textAlignment w:val="auto"/>
        <w:rPr>
          <w:rFonts w:ascii="Times New Roman" w:hAnsi="Times New Roman" w:cs="Times New Roman"/>
          <w:b/>
          <w:bCs/>
          <w:sz w:val="36"/>
          <w:szCs w:val="36"/>
        </w:rPr>
      </w:pPr>
    </w:p>
    <w:p w14:paraId="417B2492">
      <w:pPr>
        <w:keepNext w:val="0"/>
        <w:keepLines w:val="0"/>
        <w:pageBreakBefore w:val="0"/>
        <w:widowControl w:val="0"/>
        <w:kinsoku/>
        <w:wordWrap/>
        <w:overflowPunct/>
        <w:topLinePunct w:val="0"/>
        <w:autoSpaceDE/>
        <w:autoSpaceDN/>
        <w:bidi w:val="0"/>
        <w:adjustRightInd/>
        <w:snapToGrid/>
        <w:spacing w:before="114" w:line="240" w:lineRule="exact"/>
        <w:ind w:firstLine="192" w:firstLineChars="53"/>
        <w:textAlignment w:val="auto"/>
        <w:rPr>
          <w:rFonts w:ascii="Times New Roman" w:hAnsi="Times New Roman" w:cs="Times New Roman"/>
          <w:sz w:val="36"/>
          <w:szCs w:val="36"/>
        </w:rPr>
      </w:pPr>
      <w:r>
        <w:rPr>
          <w:rFonts w:ascii="Times New Roman" w:hAnsi="Times New Roman" w:cs="Times New Roman"/>
          <w:b/>
          <w:bCs/>
          <w:sz w:val="36"/>
          <w:szCs w:val="36"/>
        </w:rPr>
        <w:t>委托单位：</w:t>
      </w:r>
      <w:r>
        <w:rPr>
          <w:rFonts w:ascii="Times New Roman" w:hAnsi="Times New Roman" w:cs="Times New Roman"/>
          <w:sz w:val="36"/>
          <w:szCs w:val="36"/>
        </w:rPr>
        <w:t>浮梁县财政局</w:t>
      </w:r>
    </w:p>
    <w:p w14:paraId="352F8D54">
      <w:pPr>
        <w:keepNext w:val="0"/>
        <w:keepLines w:val="0"/>
        <w:pageBreakBefore w:val="0"/>
        <w:widowControl w:val="0"/>
        <w:kinsoku/>
        <w:wordWrap/>
        <w:overflowPunct/>
        <w:topLinePunct w:val="0"/>
        <w:autoSpaceDE/>
        <w:autoSpaceDN/>
        <w:bidi w:val="0"/>
        <w:adjustRightInd/>
        <w:snapToGrid/>
        <w:spacing w:before="114" w:line="240" w:lineRule="exact"/>
        <w:ind w:firstLine="190" w:firstLineChars="53"/>
        <w:textAlignment w:val="auto"/>
        <w:rPr>
          <w:rFonts w:ascii="Times New Roman" w:hAnsi="Times New Roman" w:cs="Times New Roman"/>
          <w:sz w:val="36"/>
          <w:szCs w:val="36"/>
        </w:rPr>
      </w:pPr>
    </w:p>
    <w:p w14:paraId="7B6F619C">
      <w:pPr>
        <w:keepNext w:val="0"/>
        <w:keepLines w:val="0"/>
        <w:pageBreakBefore w:val="0"/>
        <w:widowControl w:val="0"/>
        <w:kinsoku/>
        <w:wordWrap/>
        <w:overflowPunct/>
        <w:topLinePunct w:val="0"/>
        <w:autoSpaceDE/>
        <w:autoSpaceDN/>
        <w:bidi w:val="0"/>
        <w:adjustRightInd/>
        <w:snapToGrid/>
        <w:spacing w:before="114" w:line="240" w:lineRule="exact"/>
        <w:ind w:firstLine="192" w:firstLineChars="53"/>
        <w:textAlignment w:val="auto"/>
        <w:rPr>
          <w:rFonts w:ascii="Times New Roman" w:hAnsi="Times New Roman" w:cs="Times New Roman"/>
          <w:bCs/>
          <w:sz w:val="36"/>
          <w:szCs w:val="36"/>
        </w:rPr>
      </w:pPr>
      <w:r>
        <w:rPr>
          <w:rFonts w:hint="eastAsia" w:ascii="Times New Roman" w:hAnsi="Times New Roman" w:cs="Times New Roman"/>
          <w:b/>
          <w:bCs/>
          <w:sz w:val="36"/>
          <w:szCs w:val="36"/>
        </w:rPr>
        <w:t>主 评 人：</w:t>
      </w:r>
      <w:r>
        <w:rPr>
          <w:rFonts w:hint="eastAsia" w:ascii="Times New Roman" w:hAnsi="Times New Roman" w:cs="Times New Roman"/>
          <w:bCs/>
          <w:sz w:val="36"/>
          <w:szCs w:val="36"/>
        </w:rPr>
        <w:t>江早道</w:t>
      </w:r>
    </w:p>
    <w:p w14:paraId="6E5CC80F">
      <w:pPr>
        <w:keepNext w:val="0"/>
        <w:keepLines w:val="0"/>
        <w:pageBreakBefore w:val="0"/>
        <w:widowControl w:val="0"/>
        <w:kinsoku/>
        <w:wordWrap/>
        <w:overflowPunct/>
        <w:topLinePunct w:val="0"/>
        <w:autoSpaceDE/>
        <w:autoSpaceDN/>
        <w:bidi w:val="0"/>
        <w:adjustRightInd/>
        <w:snapToGrid/>
        <w:spacing w:line="240" w:lineRule="exact"/>
        <w:ind w:firstLine="586"/>
        <w:textAlignment w:val="auto"/>
        <w:rPr>
          <w:rFonts w:ascii="Times New Roman" w:hAnsi="Times New Roman" w:eastAsia="宋体" w:cs="Times New Roman"/>
          <w:b/>
          <w:bCs/>
        </w:rPr>
      </w:pPr>
    </w:p>
    <w:p w14:paraId="76770BFC">
      <w:pPr>
        <w:keepNext w:val="0"/>
        <w:keepLines w:val="0"/>
        <w:pageBreakBefore w:val="0"/>
        <w:widowControl w:val="0"/>
        <w:kinsoku/>
        <w:wordWrap/>
        <w:overflowPunct/>
        <w:topLinePunct w:val="0"/>
        <w:autoSpaceDE/>
        <w:autoSpaceDN/>
        <w:bidi w:val="0"/>
        <w:adjustRightInd/>
        <w:snapToGrid/>
        <w:spacing w:before="114" w:line="240" w:lineRule="exact"/>
        <w:ind w:firstLineChars="0"/>
        <w:textAlignment w:val="auto"/>
        <w:rPr>
          <w:rFonts w:ascii="Times New Roman" w:hAnsi="Times New Roman" w:eastAsia="宋体" w:cs="Times New Roman"/>
          <w:b/>
          <w:bCs/>
          <w:sz w:val="35"/>
          <w:szCs w:val="35"/>
        </w:rPr>
      </w:pPr>
      <w:bookmarkStart w:id="4" w:name="_Toc2134"/>
      <w:bookmarkStart w:id="5" w:name="_Toc12089"/>
      <w:r>
        <w:rPr>
          <w:rFonts w:ascii="Times New Roman" w:hAnsi="Times New Roman" w:cs="Times New Roman"/>
          <w:b/>
          <w:bCs/>
          <w:sz w:val="36"/>
          <w:szCs w:val="36"/>
        </w:rPr>
        <w:t>评价机构：</w:t>
      </w:r>
      <w:bookmarkEnd w:id="4"/>
      <w:bookmarkEnd w:id="5"/>
      <w:r>
        <w:rPr>
          <w:rFonts w:hint="eastAsia" w:ascii="Times New Roman" w:hAnsi="Times New Roman" w:cs="Times New Roman"/>
          <w:sz w:val="36"/>
          <w:szCs w:val="36"/>
        </w:rPr>
        <w:t>江西</w:t>
      </w:r>
      <w:r>
        <w:rPr>
          <w:rFonts w:ascii="Times New Roman" w:hAnsi="Times New Roman" w:cs="Times New Roman"/>
          <w:sz w:val="36"/>
          <w:szCs w:val="36"/>
        </w:rPr>
        <w:t>国辰会计师事务所有限责任公司</w:t>
      </w:r>
    </w:p>
    <w:p w14:paraId="1740B8C8">
      <w:pPr>
        <w:keepNext w:val="0"/>
        <w:keepLines w:val="0"/>
        <w:pageBreakBefore w:val="0"/>
        <w:widowControl w:val="0"/>
        <w:kinsoku/>
        <w:wordWrap/>
        <w:overflowPunct/>
        <w:topLinePunct w:val="0"/>
        <w:autoSpaceDE/>
        <w:autoSpaceDN/>
        <w:bidi w:val="0"/>
        <w:adjustRightInd/>
        <w:snapToGrid/>
        <w:spacing w:line="240" w:lineRule="exact"/>
        <w:ind w:firstLine="586"/>
        <w:textAlignment w:val="auto"/>
        <w:rPr>
          <w:rFonts w:ascii="Times New Roman" w:hAnsi="Times New Roman" w:eastAsia="宋体" w:cs="Times New Roman"/>
          <w:b/>
          <w:bCs/>
        </w:rPr>
      </w:pPr>
    </w:p>
    <w:p w14:paraId="5473B3EB">
      <w:pPr>
        <w:keepNext w:val="0"/>
        <w:keepLines w:val="0"/>
        <w:pageBreakBefore w:val="0"/>
        <w:widowControl w:val="0"/>
        <w:kinsoku/>
        <w:wordWrap/>
        <w:overflowPunct/>
        <w:topLinePunct w:val="0"/>
        <w:autoSpaceDE/>
        <w:autoSpaceDN/>
        <w:bidi w:val="0"/>
        <w:adjustRightInd/>
        <w:snapToGrid/>
        <w:spacing w:before="114" w:line="240" w:lineRule="exact"/>
        <w:ind w:firstLine="192" w:firstLineChars="53"/>
        <w:textAlignment w:val="auto"/>
        <w:rPr>
          <w:rFonts w:ascii="Times New Roman" w:hAnsi="Times New Roman" w:eastAsia="仿宋" w:cs="Times New Roman"/>
          <w:sz w:val="35"/>
          <w:szCs w:val="35"/>
        </w:rPr>
      </w:pPr>
      <w:r>
        <w:rPr>
          <w:rFonts w:ascii="Times New Roman" w:hAnsi="Times New Roman" w:cs="Times New Roman"/>
          <w:b/>
          <w:bCs/>
          <w:sz w:val="36"/>
          <w:szCs w:val="36"/>
        </w:rPr>
        <w:t>评价时间：</w:t>
      </w:r>
      <w:r>
        <w:rPr>
          <w:rFonts w:ascii="Times New Roman" w:hAnsi="Times New Roman" w:cs="Times New Roman"/>
          <w:sz w:val="36"/>
          <w:szCs w:val="36"/>
        </w:rPr>
        <w:t>202</w:t>
      </w:r>
      <w:r>
        <w:rPr>
          <w:rFonts w:hint="eastAsia" w:ascii="Times New Roman" w:hAnsi="Times New Roman" w:cs="Times New Roman"/>
          <w:sz w:val="36"/>
          <w:szCs w:val="36"/>
        </w:rPr>
        <w:t>4</w:t>
      </w:r>
      <w:r>
        <w:rPr>
          <w:rFonts w:ascii="Times New Roman" w:hAnsi="Times New Roman" w:cs="Times New Roman"/>
          <w:sz w:val="36"/>
          <w:szCs w:val="36"/>
        </w:rPr>
        <w:t>年</w:t>
      </w:r>
      <w:r>
        <w:rPr>
          <w:rFonts w:hint="eastAsia" w:ascii="Times New Roman" w:hAnsi="Times New Roman" w:cs="Times New Roman"/>
          <w:sz w:val="36"/>
          <w:szCs w:val="36"/>
        </w:rPr>
        <w:t>6</w:t>
      </w:r>
      <w:r>
        <w:rPr>
          <w:rFonts w:ascii="Times New Roman" w:hAnsi="Times New Roman" w:cs="Times New Roman"/>
          <w:sz w:val="36"/>
          <w:szCs w:val="36"/>
        </w:rPr>
        <w:t>月</w:t>
      </w:r>
    </w:p>
    <w:p w14:paraId="765FB51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eastAsia="宋体"/>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4F5644F0">
      <w:pPr>
        <w:pStyle w:val="8"/>
        <w:spacing w:line="360" w:lineRule="auto"/>
      </w:pPr>
      <w:r>
        <w:rPr>
          <w:rFonts w:hint="eastAsia"/>
          <w:sz w:val="32"/>
          <w:szCs w:val="32"/>
        </w:rPr>
        <w:t>目录</w:t>
      </w:r>
    </w:p>
    <w:p w14:paraId="6BF56199">
      <w:pPr>
        <w:pStyle w:val="8"/>
        <w:spacing w:line="336" w:lineRule="auto"/>
        <w:rPr>
          <w:rFonts w:asciiTheme="minorHAnsi" w:hAnsiTheme="minorHAnsi" w:eastAsiaTheme="minorEastAsia"/>
          <w:spacing w:val="0"/>
          <w:sz w:val="21"/>
          <w:szCs w:val="22"/>
        </w:rPr>
      </w:pPr>
      <w:r>
        <w:rPr>
          <w:sz w:val="44"/>
          <w:szCs w:val="44"/>
        </w:rPr>
        <w:fldChar w:fldCharType="begin"/>
      </w:r>
      <w:r>
        <w:rPr>
          <w:rFonts w:hint="eastAsia"/>
          <w:sz w:val="44"/>
          <w:szCs w:val="44"/>
        </w:rPr>
        <w:instrText xml:space="preserve">TOC \o "1-2" \h \z \u</w:instrText>
      </w:r>
      <w:r>
        <w:rPr>
          <w:sz w:val="44"/>
          <w:szCs w:val="44"/>
        </w:rPr>
        <w:fldChar w:fldCharType="separate"/>
      </w:r>
      <w:r>
        <w:fldChar w:fldCharType="begin"/>
      </w:r>
      <w:r>
        <w:instrText xml:space="preserve"> HYPERLINK \l "_Toc167874813" </w:instrText>
      </w:r>
      <w:r>
        <w:fldChar w:fldCharType="separate"/>
      </w:r>
      <w:r>
        <w:rPr>
          <w:rStyle w:val="15"/>
          <w:rFonts w:hint="eastAsia"/>
        </w:rPr>
        <w:t>摘</w:t>
      </w:r>
      <w:r>
        <w:rPr>
          <w:rStyle w:val="15"/>
        </w:rPr>
        <w:t xml:space="preserve"> </w:t>
      </w:r>
      <w:r>
        <w:rPr>
          <w:rStyle w:val="15"/>
          <w:rFonts w:hint="eastAsia"/>
        </w:rPr>
        <w:t>要</w:t>
      </w:r>
      <w:r>
        <w:tab/>
      </w:r>
      <w:r>
        <w:fldChar w:fldCharType="begin"/>
      </w:r>
      <w:r>
        <w:instrText xml:space="preserve"> PAGEREF _Toc167874813 \h </w:instrText>
      </w:r>
      <w:r>
        <w:fldChar w:fldCharType="separate"/>
      </w:r>
      <w:r>
        <w:t>- 1 -</w:t>
      </w:r>
      <w:r>
        <w:fldChar w:fldCharType="end"/>
      </w:r>
      <w:r>
        <w:fldChar w:fldCharType="end"/>
      </w:r>
    </w:p>
    <w:p w14:paraId="62F4A0F8">
      <w:pPr>
        <w:pStyle w:val="8"/>
        <w:spacing w:line="336" w:lineRule="auto"/>
        <w:rPr>
          <w:rFonts w:asciiTheme="minorHAnsi" w:hAnsiTheme="minorHAnsi" w:eastAsiaTheme="minorEastAsia"/>
          <w:spacing w:val="0"/>
          <w:sz w:val="21"/>
          <w:szCs w:val="22"/>
        </w:rPr>
      </w:pPr>
      <w:r>
        <w:fldChar w:fldCharType="begin"/>
      </w:r>
      <w:r>
        <w:instrText xml:space="preserve"> HYPERLINK \l "_Toc167874814" </w:instrText>
      </w:r>
      <w:r>
        <w:fldChar w:fldCharType="separate"/>
      </w:r>
      <w:r>
        <w:rPr>
          <w:rStyle w:val="15"/>
          <w:rFonts w:hint="eastAsia"/>
        </w:rPr>
        <w:t>一、部门概况</w:t>
      </w:r>
      <w:r>
        <w:tab/>
      </w:r>
      <w:r>
        <w:fldChar w:fldCharType="begin"/>
      </w:r>
      <w:r>
        <w:instrText xml:space="preserve"> PAGEREF _Toc167874814 \h </w:instrText>
      </w:r>
      <w:r>
        <w:fldChar w:fldCharType="separate"/>
      </w:r>
      <w:r>
        <w:t>- 5 -</w:t>
      </w:r>
      <w:r>
        <w:fldChar w:fldCharType="end"/>
      </w:r>
      <w:r>
        <w:fldChar w:fldCharType="end"/>
      </w:r>
    </w:p>
    <w:p w14:paraId="60367086">
      <w:pPr>
        <w:pStyle w:val="10"/>
        <w:spacing w:line="336" w:lineRule="auto"/>
        <w:rPr>
          <w:rFonts w:asciiTheme="minorHAnsi" w:hAnsiTheme="minorHAnsi" w:eastAsiaTheme="minorEastAsia"/>
          <w:spacing w:val="0"/>
          <w:sz w:val="21"/>
        </w:rPr>
      </w:pPr>
      <w:r>
        <w:fldChar w:fldCharType="begin"/>
      </w:r>
      <w:r>
        <w:instrText xml:space="preserve"> HYPERLINK \l "_Toc167874815" </w:instrText>
      </w:r>
      <w:r>
        <w:fldChar w:fldCharType="separate"/>
      </w:r>
      <w:r>
        <w:rPr>
          <w:rStyle w:val="15"/>
          <w:rFonts w:hint="eastAsia"/>
        </w:rPr>
        <w:t>（一）部门基本情况</w:t>
      </w:r>
      <w:r>
        <w:tab/>
      </w:r>
      <w:r>
        <w:fldChar w:fldCharType="begin"/>
      </w:r>
      <w:r>
        <w:instrText xml:space="preserve"> PAGEREF _Toc167874815 \h </w:instrText>
      </w:r>
      <w:r>
        <w:fldChar w:fldCharType="separate"/>
      </w:r>
      <w:r>
        <w:t>- 5 -</w:t>
      </w:r>
      <w:r>
        <w:fldChar w:fldCharType="end"/>
      </w:r>
      <w:r>
        <w:fldChar w:fldCharType="end"/>
      </w:r>
    </w:p>
    <w:p w14:paraId="7D8CAC38">
      <w:pPr>
        <w:pStyle w:val="10"/>
        <w:spacing w:line="336" w:lineRule="auto"/>
        <w:rPr>
          <w:rFonts w:asciiTheme="minorHAnsi" w:hAnsiTheme="minorHAnsi" w:eastAsiaTheme="minorEastAsia"/>
          <w:spacing w:val="0"/>
          <w:sz w:val="21"/>
        </w:rPr>
      </w:pPr>
      <w:r>
        <w:fldChar w:fldCharType="begin"/>
      </w:r>
      <w:r>
        <w:instrText xml:space="preserve"> HYPERLINK \l "_Toc167874816" </w:instrText>
      </w:r>
      <w:r>
        <w:fldChar w:fldCharType="separate"/>
      </w:r>
      <w:r>
        <w:rPr>
          <w:rStyle w:val="15"/>
          <w:rFonts w:hint="eastAsia"/>
        </w:rPr>
        <w:t>（二）当年部门履职总体目标、工作任务</w:t>
      </w:r>
      <w:r>
        <w:tab/>
      </w:r>
      <w:r>
        <w:fldChar w:fldCharType="begin"/>
      </w:r>
      <w:r>
        <w:instrText xml:space="preserve"> PAGEREF _Toc167874816 \h </w:instrText>
      </w:r>
      <w:r>
        <w:fldChar w:fldCharType="separate"/>
      </w:r>
      <w:r>
        <w:t>- 10 -</w:t>
      </w:r>
      <w:r>
        <w:fldChar w:fldCharType="end"/>
      </w:r>
      <w:r>
        <w:fldChar w:fldCharType="end"/>
      </w:r>
    </w:p>
    <w:p w14:paraId="4746A4DA">
      <w:pPr>
        <w:pStyle w:val="10"/>
        <w:spacing w:line="336" w:lineRule="auto"/>
        <w:rPr>
          <w:rFonts w:asciiTheme="minorHAnsi" w:hAnsiTheme="minorHAnsi" w:eastAsiaTheme="minorEastAsia"/>
          <w:spacing w:val="0"/>
          <w:sz w:val="21"/>
        </w:rPr>
      </w:pPr>
      <w:r>
        <w:fldChar w:fldCharType="begin"/>
      </w:r>
      <w:r>
        <w:instrText xml:space="preserve"> HYPERLINK \l "_Toc167874817" </w:instrText>
      </w:r>
      <w:r>
        <w:fldChar w:fldCharType="separate"/>
      </w:r>
      <w:r>
        <w:rPr>
          <w:rStyle w:val="15"/>
          <w:rFonts w:hint="eastAsia"/>
        </w:rPr>
        <w:t>（三）当年部门年度整体支出绩效目标</w:t>
      </w:r>
      <w:r>
        <w:tab/>
      </w:r>
      <w:r>
        <w:fldChar w:fldCharType="begin"/>
      </w:r>
      <w:r>
        <w:instrText xml:space="preserve"> PAGEREF _Toc167874817 \h </w:instrText>
      </w:r>
      <w:r>
        <w:fldChar w:fldCharType="separate"/>
      </w:r>
      <w:r>
        <w:t>- 11 -</w:t>
      </w:r>
      <w:r>
        <w:fldChar w:fldCharType="end"/>
      </w:r>
      <w:r>
        <w:fldChar w:fldCharType="end"/>
      </w:r>
    </w:p>
    <w:p w14:paraId="0DEA9A58">
      <w:pPr>
        <w:pStyle w:val="10"/>
        <w:spacing w:line="336" w:lineRule="auto"/>
        <w:rPr>
          <w:rFonts w:asciiTheme="minorHAnsi" w:hAnsiTheme="minorHAnsi" w:eastAsiaTheme="minorEastAsia"/>
          <w:spacing w:val="0"/>
          <w:sz w:val="21"/>
        </w:rPr>
      </w:pPr>
      <w:r>
        <w:fldChar w:fldCharType="begin"/>
      </w:r>
      <w:r>
        <w:instrText xml:space="preserve"> HYPERLINK \l "_Toc167874818" </w:instrText>
      </w:r>
      <w:r>
        <w:fldChar w:fldCharType="separate"/>
      </w:r>
      <w:r>
        <w:rPr>
          <w:rStyle w:val="15"/>
          <w:rFonts w:hint="eastAsia"/>
        </w:rPr>
        <w:t>（四）当年部门预算及执行情况</w:t>
      </w:r>
      <w:r>
        <w:tab/>
      </w:r>
      <w:r>
        <w:fldChar w:fldCharType="begin"/>
      </w:r>
      <w:r>
        <w:instrText xml:space="preserve"> PAGEREF _Toc167874818 \h </w:instrText>
      </w:r>
      <w:r>
        <w:fldChar w:fldCharType="separate"/>
      </w:r>
      <w:r>
        <w:t>- 12 -</w:t>
      </w:r>
      <w:r>
        <w:fldChar w:fldCharType="end"/>
      </w:r>
      <w:r>
        <w:fldChar w:fldCharType="end"/>
      </w:r>
    </w:p>
    <w:p w14:paraId="264BF261">
      <w:pPr>
        <w:pStyle w:val="8"/>
        <w:spacing w:line="336" w:lineRule="auto"/>
        <w:rPr>
          <w:rFonts w:asciiTheme="minorHAnsi" w:hAnsiTheme="minorHAnsi" w:eastAsiaTheme="minorEastAsia"/>
          <w:spacing w:val="0"/>
          <w:sz w:val="21"/>
          <w:szCs w:val="22"/>
        </w:rPr>
      </w:pPr>
      <w:r>
        <w:fldChar w:fldCharType="begin"/>
      </w:r>
      <w:r>
        <w:instrText xml:space="preserve"> HYPERLINK \l "_Toc167874819" </w:instrText>
      </w:r>
      <w:r>
        <w:fldChar w:fldCharType="separate"/>
      </w:r>
      <w:r>
        <w:rPr>
          <w:rStyle w:val="15"/>
          <w:rFonts w:hint="eastAsia"/>
        </w:rPr>
        <w:t>二、评价工作开展情况</w:t>
      </w:r>
      <w:r>
        <w:tab/>
      </w:r>
      <w:r>
        <w:fldChar w:fldCharType="begin"/>
      </w:r>
      <w:r>
        <w:instrText xml:space="preserve"> PAGEREF _Toc167874819 \h </w:instrText>
      </w:r>
      <w:r>
        <w:fldChar w:fldCharType="separate"/>
      </w:r>
      <w:r>
        <w:t>- 13 -</w:t>
      </w:r>
      <w:r>
        <w:fldChar w:fldCharType="end"/>
      </w:r>
      <w:r>
        <w:fldChar w:fldCharType="end"/>
      </w:r>
    </w:p>
    <w:p w14:paraId="7231414F">
      <w:pPr>
        <w:pStyle w:val="10"/>
        <w:spacing w:line="336" w:lineRule="auto"/>
        <w:rPr>
          <w:rFonts w:asciiTheme="minorHAnsi" w:hAnsiTheme="minorHAnsi" w:eastAsiaTheme="minorEastAsia"/>
          <w:spacing w:val="0"/>
          <w:sz w:val="21"/>
        </w:rPr>
      </w:pPr>
      <w:r>
        <w:fldChar w:fldCharType="begin"/>
      </w:r>
      <w:r>
        <w:instrText xml:space="preserve"> HYPERLINK \l "_Toc167874820" </w:instrText>
      </w:r>
      <w:r>
        <w:fldChar w:fldCharType="separate"/>
      </w:r>
      <w:r>
        <w:rPr>
          <w:rStyle w:val="15"/>
          <w:rFonts w:hint="eastAsia"/>
        </w:rPr>
        <w:t>（一）评价目的和思路</w:t>
      </w:r>
      <w:r>
        <w:tab/>
      </w:r>
      <w:r>
        <w:fldChar w:fldCharType="begin"/>
      </w:r>
      <w:r>
        <w:instrText xml:space="preserve"> PAGEREF _Toc167874820 \h </w:instrText>
      </w:r>
      <w:r>
        <w:fldChar w:fldCharType="separate"/>
      </w:r>
      <w:r>
        <w:t>- 13 -</w:t>
      </w:r>
      <w:r>
        <w:fldChar w:fldCharType="end"/>
      </w:r>
      <w:r>
        <w:fldChar w:fldCharType="end"/>
      </w:r>
    </w:p>
    <w:p w14:paraId="65D302EF">
      <w:pPr>
        <w:pStyle w:val="10"/>
        <w:spacing w:line="336" w:lineRule="auto"/>
        <w:rPr>
          <w:rFonts w:asciiTheme="minorHAnsi" w:hAnsiTheme="minorHAnsi" w:eastAsiaTheme="minorEastAsia"/>
          <w:spacing w:val="0"/>
          <w:sz w:val="21"/>
        </w:rPr>
      </w:pPr>
      <w:r>
        <w:fldChar w:fldCharType="begin"/>
      </w:r>
      <w:r>
        <w:instrText xml:space="preserve"> HYPERLINK \l "_Toc167874821" </w:instrText>
      </w:r>
      <w:r>
        <w:fldChar w:fldCharType="separate"/>
      </w:r>
      <w:r>
        <w:rPr>
          <w:rStyle w:val="15"/>
          <w:rFonts w:hint="eastAsia"/>
        </w:rPr>
        <w:t>（二）评价方法和指标体系</w:t>
      </w:r>
      <w:r>
        <w:tab/>
      </w:r>
      <w:r>
        <w:fldChar w:fldCharType="begin"/>
      </w:r>
      <w:r>
        <w:instrText xml:space="preserve"> PAGEREF _Toc167874821 \h </w:instrText>
      </w:r>
      <w:r>
        <w:fldChar w:fldCharType="separate"/>
      </w:r>
      <w:r>
        <w:t>- 14 -</w:t>
      </w:r>
      <w:r>
        <w:fldChar w:fldCharType="end"/>
      </w:r>
      <w:r>
        <w:fldChar w:fldCharType="end"/>
      </w:r>
    </w:p>
    <w:p w14:paraId="68A8A47B">
      <w:pPr>
        <w:pStyle w:val="10"/>
        <w:spacing w:line="336" w:lineRule="auto"/>
        <w:rPr>
          <w:rFonts w:asciiTheme="minorHAnsi" w:hAnsiTheme="minorHAnsi" w:eastAsiaTheme="minorEastAsia"/>
          <w:spacing w:val="0"/>
          <w:sz w:val="21"/>
        </w:rPr>
      </w:pPr>
      <w:r>
        <w:fldChar w:fldCharType="begin"/>
      </w:r>
      <w:r>
        <w:instrText xml:space="preserve"> HYPERLINK \l "_Toc167874822" </w:instrText>
      </w:r>
      <w:r>
        <w:fldChar w:fldCharType="separate"/>
      </w:r>
      <w:r>
        <w:rPr>
          <w:rStyle w:val="15"/>
          <w:rFonts w:hint="eastAsia"/>
        </w:rPr>
        <w:t>（三）评价工作过程</w:t>
      </w:r>
      <w:r>
        <w:tab/>
      </w:r>
      <w:r>
        <w:fldChar w:fldCharType="begin"/>
      </w:r>
      <w:r>
        <w:instrText xml:space="preserve"> PAGEREF _Toc167874822 \h </w:instrText>
      </w:r>
      <w:r>
        <w:fldChar w:fldCharType="separate"/>
      </w:r>
      <w:r>
        <w:t>- 16 -</w:t>
      </w:r>
      <w:r>
        <w:fldChar w:fldCharType="end"/>
      </w:r>
      <w:r>
        <w:fldChar w:fldCharType="end"/>
      </w:r>
    </w:p>
    <w:p w14:paraId="7003B198">
      <w:pPr>
        <w:pStyle w:val="8"/>
        <w:spacing w:line="336" w:lineRule="auto"/>
        <w:rPr>
          <w:rFonts w:asciiTheme="minorHAnsi" w:hAnsiTheme="minorHAnsi" w:eastAsiaTheme="minorEastAsia"/>
          <w:spacing w:val="0"/>
          <w:sz w:val="21"/>
          <w:szCs w:val="22"/>
        </w:rPr>
      </w:pPr>
      <w:r>
        <w:fldChar w:fldCharType="begin"/>
      </w:r>
      <w:r>
        <w:instrText xml:space="preserve"> HYPERLINK \l "_Toc167874823" </w:instrText>
      </w:r>
      <w:r>
        <w:fldChar w:fldCharType="separate"/>
      </w:r>
      <w:r>
        <w:rPr>
          <w:rStyle w:val="15"/>
          <w:rFonts w:hint="eastAsia"/>
        </w:rPr>
        <w:t>三、评价总体结论</w:t>
      </w:r>
      <w:r>
        <w:tab/>
      </w:r>
      <w:r>
        <w:fldChar w:fldCharType="begin"/>
      </w:r>
      <w:r>
        <w:instrText xml:space="preserve"> PAGEREF _Toc167874823 \h </w:instrText>
      </w:r>
      <w:r>
        <w:fldChar w:fldCharType="separate"/>
      </w:r>
      <w:r>
        <w:t>- 17 -</w:t>
      </w:r>
      <w:r>
        <w:fldChar w:fldCharType="end"/>
      </w:r>
      <w:r>
        <w:fldChar w:fldCharType="end"/>
      </w:r>
    </w:p>
    <w:p w14:paraId="1AFB7054">
      <w:pPr>
        <w:pStyle w:val="10"/>
        <w:spacing w:line="336" w:lineRule="auto"/>
        <w:rPr>
          <w:rFonts w:asciiTheme="minorHAnsi" w:hAnsiTheme="minorHAnsi" w:eastAsiaTheme="minorEastAsia"/>
          <w:spacing w:val="0"/>
          <w:sz w:val="21"/>
        </w:rPr>
      </w:pPr>
      <w:r>
        <w:fldChar w:fldCharType="begin"/>
      </w:r>
      <w:r>
        <w:instrText xml:space="preserve"> HYPERLINK \l "_Toc167874824" </w:instrText>
      </w:r>
      <w:r>
        <w:fldChar w:fldCharType="separate"/>
      </w:r>
      <w:r>
        <w:rPr>
          <w:rStyle w:val="15"/>
          <w:rFonts w:hint="eastAsia"/>
        </w:rPr>
        <w:t>（一）评价得分情况</w:t>
      </w:r>
      <w:r>
        <w:tab/>
      </w:r>
      <w:r>
        <w:fldChar w:fldCharType="begin"/>
      </w:r>
      <w:r>
        <w:instrText xml:space="preserve"> PAGEREF _Toc167874824 \h </w:instrText>
      </w:r>
      <w:r>
        <w:fldChar w:fldCharType="separate"/>
      </w:r>
      <w:r>
        <w:t>- 17 -</w:t>
      </w:r>
      <w:r>
        <w:fldChar w:fldCharType="end"/>
      </w:r>
      <w:r>
        <w:fldChar w:fldCharType="end"/>
      </w:r>
    </w:p>
    <w:p w14:paraId="5CE2B218">
      <w:pPr>
        <w:pStyle w:val="10"/>
        <w:spacing w:line="336" w:lineRule="auto"/>
        <w:rPr>
          <w:rFonts w:asciiTheme="minorHAnsi" w:hAnsiTheme="minorHAnsi" w:eastAsiaTheme="minorEastAsia"/>
          <w:spacing w:val="0"/>
          <w:sz w:val="21"/>
        </w:rPr>
      </w:pPr>
      <w:r>
        <w:fldChar w:fldCharType="begin"/>
      </w:r>
      <w:r>
        <w:instrText xml:space="preserve"> HYPERLINK \l "_Toc167874825" </w:instrText>
      </w:r>
      <w:r>
        <w:fldChar w:fldCharType="separate"/>
      </w:r>
      <w:r>
        <w:rPr>
          <w:rStyle w:val="15"/>
          <w:rFonts w:hint="eastAsia"/>
        </w:rPr>
        <w:t>（二）评价总体结论</w:t>
      </w:r>
      <w:r>
        <w:tab/>
      </w:r>
      <w:r>
        <w:fldChar w:fldCharType="begin"/>
      </w:r>
      <w:r>
        <w:instrText xml:space="preserve"> PAGEREF _Toc167874825 \h </w:instrText>
      </w:r>
      <w:r>
        <w:fldChar w:fldCharType="separate"/>
      </w:r>
      <w:r>
        <w:t>- 18 -</w:t>
      </w:r>
      <w:r>
        <w:fldChar w:fldCharType="end"/>
      </w:r>
      <w:r>
        <w:fldChar w:fldCharType="end"/>
      </w:r>
    </w:p>
    <w:p w14:paraId="0D3B84B8">
      <w:pPr>
        <w:pStyle w:val="8"/>
        <w:spacing w:line="336" w:lineRule="auto"/>
        <w:rPr>
          <w:rFonts w:asciiTheme="minorHAnsi" w:hAnsiTheme="minorHAnsi" w:eastAsiaTheme="minorEastAsia"/>
          <w:spacing w:val="0"/>
          <w:sz w:val="21"/>
          <w:szCs w:val="22"/>
        </w:rPr>
      </w:pPr>
      <w:r>
        <w:fldChar w:fldCharType="begin"/>
      </w:r>
      <w:r>
        <w:instrText xml:space="preserve"> HYPERLINK \l "_Toc167874826" </w:instrText>
      </w:r>
      <w:r>
        <w:fldChar w:fldCharType="separate"/>
      </w:r>
      <w:r>
        <w:rPr>
          <w:rStyle w:val="15"/>
          <w:rFonts w:hint="eastAsia"/>
        </w:rPr>
        <w:t>四、部门整体支出绩效实现情况</w:t>
      </w:r>
      <w:r>
        <w:tab/>
      </w:r>
      <w:r>
        <w:fldChar w:fldCharType="begin"/>
      </w:r>
      <w:r>
        <w:instrText xml:space="preserve"> PAGEREF _Toc167874826 \h </w:instrText>
      </w:r>
      <w:r>
        <w:fldChar w:fldCharType="separate"/>
      </w:r>
      <w:r>
        <w:t>- 18 -</w:t>
      </w:r>
      <w:r>
        <w:fldChar w:fldCharType="end"/>
      </w:r>
      <w:r>
        <w:fldChar w:fldCharType="end"/>
      </w:r>
    </w:p>
    <w:p w14:paraId="24724892">
      <w:pPr>
        <w:pStyle w:val="10"/>
        <w:spacing w:line="336" w:lineRule="auto"/>
        <w:rPr>
          <w:rFonts w:asciiTheme="minorHAnsi" w:hAnsiTheme="minorHAnsi" w:eastAsiaTheme="minorEastAsia"/>
          <w:spacing w:val="0"/>
          <w:sz w:val="21"/>
        </w:rPr>
      </w:pPr>
      <w:r>
        <w:fldChar w:fldCharType="begin"/>
      </w:r>
      <w:r>
        <w:instrText xml:space="preserve"> HYPERLINK \l "_Toc167874827" </w:instrText>
      </w:r>
      <w:r>
        <w:fldChar w:fldCharType="separate"/>
      </w:r>
      <w:r>
        <w:rPr>
          <w:rStyle w:val="15"/>
          <w:rFonts w:hint="eastAsia"/>
        </w:rPr>
        <w:t>（一）部门决策完成情况</w:t>
      </w:r>
      <w:r>
        <w:tab/>
      </w:r>
      <w:r>
        <w:fldChar w:fldCharType="begin"/>
      </w:r>
      <w:r>
        <w:instrText xml:space="preserve"> PAGEREF _Toc167874827 \h </w:instrText>
      </w:r>
      <w:r>
        <w:fldChar w:fldCharType="separate"/>
      </w:r>
      <w:r>
        <w:t>- 18 -</w:t>
      </w:r>
      <w:r>
        <w:fldChar w:fldCharType="end"/>
      </w:r>
      <w:r>
        <w:fldChar w:fldCharType="end"/>
      </w:r>
    </w:p>
    <w:p w14:paraId="73B7A2B7">
      <w:pPr>
        <w:pStyle w:val="10"/>
        <w:spacing w:line="336" w:lineRule="auto"/>
        <w:rPr>
          <w:rFonts w:asciiTheme="minorHAnsi" w:hAnsiTheme="minorHAnsi" w:eastAsiaTheme="minorEastAsia"/>
          <w:spacing w:val="0"/>
          <w:sz w:val="21"/>
        </w:rPr>
      </w:pPr>
      <w:r>
        <w:fldChar w:fldCharType="begin"/>
      </w:r>
      <w:r>
        <w:instrText xml:space="preserve"> HYPERLINK \l "_Toc167874828" </w:instrText>
      </w:r>
      <w:r>
        <w:fldChar w:fldCharType="separate"/>
      </w:r>
      <w:r>
        <w:rPr>
          <w:rStyle w:val="15"/>
          <w:rFonts w:hint="eastAsia"/>
        </w:rPr>
        <w:t>（二）部门管理完成情况</w:t>
      </w:r>
      <w:r>
        <w:tab/>
      </w:r>
      <w:r>
        <w:fldChar w:fldCharType="begin"/>
      </w:r>
      <w:r>
        <w:instrText xml:space="preserve"> PAGEREF _Toc167874828 \h </w:instrText>
      </w:r>
      <w:r>
        <w:fldChar w:fldCharType="separate"/>
      </w:r>
      <w:r>
        <w:t>- 22 -</w:t>
      </w:r>
      <w:r>
        <w:fldChar w:fldCharType="end"/>
      </w:r>
      <w:r>
        <w:fldChar w:fldCharType="end"/>
      </w:r>
    </w:p>
    <w:p w14:paraId="243F9E0B">
      <w:pPr>
        <w:pStyle w:val="10"/>
        <w:spacing w:line="336" w:lineRule="auto"/>
        <w:rPr>
          <w:rFonts w:asciiTheme="minorHAnsi" w:hAnsiTheme="minorHAnsi" w:eastAsiaTheme="minorEastAsia"/>
          <w:spacing w:val="0"/>
          <w:sz w:val="21"/>
        </w:rPr>
      </w:pPr>
      <w:r>
        <w:fldChar w:fldCharType="begin"/>
      </w:r>
      <w:r>
        <w:instrText xml:space="preserve"> HYPERLINK \l "_Toc167874829" </w:instrText>
      </w:r>
      <w:r>
        <w:fldChar w:fldCharType="separate"/>
      </w:r>
      <w:r>
        <w:rPr>
          <w:rStyle w:val="15"/>
          <w:rFonts w:hint="eastAsia"/>
        </w:rPr>
        <w:t>（三）部门产出情况分析</w:t>
      </w:r>
      <w:r>
        <w:tab/>
      </w:r>
      <w:r>
        <w:fldChar w:fldCharType="begin"/>
      </w:r>
      <w:r>
        <w:instrText xml:space="preserve"> PAGEREF _Toc167874829 \h </w:instrText>
      </w:r>
      <w:r>
        <w:fldChar w:fldCharType="separate"/>
      </w:r>
      <w:r>
        <w:t>- 26 -</w:t>
      </w:r>
      <w:r>
        <w:fldChar w:fldCharType="end"/>
      </w:r>
      <w:r>
        <w:fldChar w:fldCharType="end"/>
      </w:r>
    </w:p>
    <w:p w14:paraId="4CEBB28B">
      <w:pPr>
        <w:pStyle w:val="10"/>
        <w:spacing w:line="336" w:lineRule="auto"/>
        <w:rPr>
          <w:rFonts w:asciiTheme="minorHAnsi" w:hAnsiTheme="minorHAnsi" w:eastAsiaTheme="minorEastAsia"/>
          <w:spacing w:val="0"/>
          <w:sz w:val="21"/>
        </w:rPr>
      </w:pPr>
      <w:r>
        <w:fldChar w:fldCharType="begin"/>
      </w:r>
      <w:r>
        <w:instrText xml:space="preserve"> HYPERLINK \l "_Toc167874830" </w:instrText>
      </w:r>
      <w:r>
        <w:fldChar w:fldCharType="separate"/>
      </w:r>
      <w:r>
        <w:rPr>
          <w:rStyle w:val="15"/>
          <w:rFonts w:hint="eastAsia"/>
        </w:rPr>
        <w:t>（四）部门效果完成情况</w:t>
      </w:r>
      <w:r>
        <w:tab/>
      </w:r>
      <w:r>
        <w:fldChar w:fldCharType="begin"/>
      </w:r>
      <w:r>
        <w:instrText xml:space="preserve"> PAGEREF _Toc167874830 \h </w:instrText>
      </w:r>
      <w:r>
        <w:fldChar w:fldCharType="separate"/>
      </w:r>
      <w:r>
        <w:t>- 33 -</w:t>
      </w:r>
      <w:r>
        <w:fldChar w:fldCharType="end"/>
      </w:r>
      <w:r>
        <w:fldChar w:fldCharType="end"/>
      </w:r>
    </w:p>
    <w:p w14:paraId="0ECC784A">
      <w:pPr>
        <w:pStyle w:val="8"/>
        <w:spacing w:line="336" w:lineRule="auto"/>
        <w:rPr>
          <w:rFonts w:asciiTheme="minorHAnsi" w:hAnsiTheme="minorHAnsi" w:eastAsiaTheme="minorEastAsia"/>
          <w:spacing w:val="0"/>
          <w:sz w:val="21"/>
          <w:szCs w:val="22"/>
        </w:rPr>
      </w:pPr>
      <w:r>
        <w:fldChar w:fldCharType="begin"/>
      </w:r>
      <w:r>
        <w:instrText xml:space="preserve"> HYPERLINK \l "_Toc167874831" </w:instrText>
      </w:r>
      <w:r>
        <w:fldChar w:fldCharType="separate"/>
      </w:r>
      <w:r>
        <w:rPr>
          <w:rStyle w:val="15"/>
          <w:rFonts w:hint="eastAsia"/>
        </w:rPr>
        <w:t>五、部门整体支出绩效中存在问题及改进措施</w:t>
      </w:r>
      <w:r>
        <w:tab/>
      </w:r>
      <w:r>
        <w:fldChar w:fldCharType="begin"/>
      </w:r>
      <w:r>
        <w:instrText xml:space="preserve"> PAGEREF _Toc167874831 \h </w:instrText>
      </w:r>
      <w:r>
        <w:fldChar w:fldCharType="separate"/>
      </w:r>
      <w:r>
        <w:t>- 37 -</w:t>
      </w:r>
      <w:r>
        <w:fldChar w:fldCharType="end"/>
      </w:r>
      <w:r>
        <w:fldChar w:fldCharType="end"/>
      </w:r>
    </w:p>
    <w:p w14:paraId="7DA406E7">
      <w:pPr>
        <w:pStyle w:val="10"/>
        <w:spacing w:line="336" w:lineRule="auto"/>
        <w:rPr>
          <w:rFonts w:asciiTheme="minorHAnsi" w:hAnsiTheme="minorHAnsi" w:eastAsiaTheme="minorEastAsia"/>
          <w:spacing w:val="0"/>
          <w:sz w:val="21"/>
        </w:rPr>
      </w:pPr>
      <w:r>
        <w:fldChar w:fldCharType="begin"/>
      </w:r>
      <w:r>
        <w:instrText xml:space="preserve"> HYPERLINK \l "_Toc167874832" </w:instrText>
      </w:r>
      <w:r>
        <w:fldChar w:fldCharType="separate"/>
      </w:r>
      <w:r>
        <w:rPr>
          <w:rStyle w:val="15"/>
          <w:rFonts w:hint="eastAsia" w:cs="Times New Roman"/>
        </w:rPr>
        <w:t>（一）主要问题及原因分析</w:t>
      </w:r>
      <w:r>
        <w:tab/>
      </w:r>
      <w:r>
        <w:fldChar w:fldCharType="begin"/>
      </w:r>
      <w:r>
        <w:instrText xml:space="preserve"> PAGEREF _Toc167874832 \h </w:instrText>
      </w:r>
      <w:r>
        <w:fldChar w:fldCharType="separate"/>
      </w:r>
      <w:r>
        <w:t>- 37 -</w:t>
      </w:r>
      <w:r>
        <w:fldChar w:fldCharType="end"/>
      </w:r>
      <w:r>
        <w:fldChar w:fldCharType="end"/>
      </w:r>
    </w:p>
    <w:p w14:paraId="2FB14D9D">
      <w:pPr>
        <w:pStyle w:val="10"/>
        <w:spacing w:line="336" w:lineRule="auto"/>
        <w:rPr>
          <w:rFonts w:asciiTheme="minorHAnsi" w:hAnsiTheme="minorHAnsi" w:eastAsiaTheme="minorEastAsia"/>
          <w:spacing w:val="0"/>
          <w:sz w:val="21"/>
        </w:rPr>
      </w:pPr>
      <w:r>
        <w:fldChar w:fldCharType="begin"/>
      </w:r>
      <w:r>
        <w:instrText xml:space="preserve"> HYPERLINK \l "_Toc167874833" </w:instrText>
      </w:r>
      <w:r>
        <w:fldChar w:fldCharType="separate"/>
      </w:r>
      <w:r>
        <w:rPr>
          <w:rStyle w:val="15"/>
          <w:rFonts w:hint="eastAsia" w:cs="Times New Roman"/>
        </w:rPr>
        <w:t>（二）改进的方向和具体措施</w:t>
      </w:r>
      <w:r>
        <w:tab/>
      </w:r>
      <w:r>
        <w:fldChar w:fldCharType="begin"/>
      </w:r>
      <w:r>
        <w:instrText xml:space="preserve"> PAGEREF _Toc167874833 \h </w:instrText>
      </w:r>
      <w:r>
        <w:fldChar w:fldCharType="separate"/>
      </w:r>
      <w:r>
        <w:t>- 39 -</w:t>
      </w:r>
      <w:r>
        <w:fldChar w:fldCharType="end"/>
      </w:r>
      <w:r>
        <w:fldChar w:fldCharType="end"/>
      </w:r>
    </w:p>
    <w:p w14:paraId="23C1DD3D">
      <w:pPr>
        <w:pStyle w:val="8"/>
        <w:spacing w:line="336" w:lineRule="auto"/>
        <w:rPr>
          <w:rFonts w:asciiTheme="minorHAnsi" w:hAnsiTheme="minorHAnsi" w:eastAsiaTheme="minorEastAsia"/>
          <w:spacing w:val="0"/>
          <w:sz w:val="21"/>
          <w:szCs w:val="22"/>
        </w:rPr>
      </w:pPr>
      <w:r>
        <w:fldChar w:fldCharType="begin"/>
      </w:r>
      <w:r>
        <w:instrText xml:space="preserve"> HYPERLINK \l "_Toc167874834" </w:instrText>
      </w:r>
      <w:r>
        <w:fldChar w:fldCharType="separate"/>
      </w:r>
      <w:r>
        <w:rPr>
          <w:rStyle w:val="15"/>
          <w:rFonts w:hint="eastAsia"/>
        </w:rPr>
        <w:t>六、其他需要说明的问题</w:t>
      </w:r>
      <w:r>
        <w:tab/>
      </w:r>
      <w:r>
        <w:fldChar w:fldCharType="begin"/>
      </w:r>
      <w:r>
        <w:instrText xml:space="preserve"> PAGEREF _Toc167874834 \h </w:instrText>
      </w:r>
      <w:r>
        <w:fldChar w:fldCharType="separate"/>
      </w:r>
      <w:r>
        <w:t>- 40 -</w:t>
      </w:r>
      <w:r>
        <w:fldChar w:fldCharType="end"/>
      </w:r>
      <w:r>
        <w:fldChar w:fldCharType="end"/>
      </w:r>
    </w:p>
    <w:p w14:paraId="1DBF5F40">
      <w:pPr>
        <w:spacing w:line="336" w:lineRule="auto"/>
        <w:ind w:firstLine="0" w:firstLineChars="0"/>
        <w:jc w:val="center"/>
        <w:rPr>
          <w:rFonts w:ascii="黑体" w:hAnsi="黑体" w:eastAsia="黑体"/>
          <w:sz w:val="44"/>
          <w:szCs w:val="44"/>
        </w:rPr>
        <w:sectPr>
          <w:footerReference r:id="rId11" w:type="default"/>
          <w:footerReference r:id="rId12" w:type="even"/>
          <w:pgSz w:w="11906" w:h="16838"/>
          <w:pgMar w:top="2098" w:right="1474" w:bottom="1985" w:left="1588" w:header="851" w:footer="1361" w:gutter="0"/>
          <w:pgNumType w:fmt="numberInDash" w:start="1"/>
          <w:cols w:space="425" w:num="1"/>
          <w:docGrid w:type="lines" w:linePitch="381" w:charSpace="0"/>
        </w:sectPr>
      </w:pPr>
      <w:r>
        <w:rPr>
          <w:rFonts w:ascii="黑体" w:hAnsi="黑体" w:eastAsia="黑体"/>
          <w:sz w:val="44"/>
          <w:szCs w:val="44"/>
        </w:rPr>
        <w:fldChar w:fldCharType="end"/>
      </w:r>
    </w:p>
    <w:p w14:paraId="43A0377F">
      <w:pPr>
        <w:pStyle w:val="2"/>
        <w:ind w:firstLine="192" w:firstLineChars="60"/>
        <w:jc w:val="center"/>
        <w:rPr>
          <w:rFonts w:ascii="黑体" w:hAnsi="黑体"/>
          <w:szCs w:val="32"/>
        </w:rPr>
      </w:pPr>
      <w:bookmarkStart w:id="6" w:name="_Toc167874813"/>
      <w:r>
        <w:rPr>
          <w:rFonts w:hint="eastAsia" w:ascii="黑体" w:hAnsi="黑体"/>
          <w:szCs w:val="32"/>
        </w:rPr>
        <w:t>摘  要</w:t>
      </w:r>
      <w:bookmarkEnd w:id="6"/>
    </w:p>
    <w:p w14:paraId="2FFC7DA9">
      <w:pPr>
        <w:adjustRightInd/>
        <w:snapToGrid/>
        <w:ind w:firstLine="664"/>
        <w:contextualSpacing/>
        <w:rPr>
          <w:rFonts w:ascii="黑体" w:hAnsi="黑体" w:eastAsia="黑体"/>
          <w:sz w:val="32"/>
          <w:szCs w:val="32"/>
        </w:rPr>
      </w:pPr>
      <w:r>
        <w:rPr>
          <w:rFonts w:hint="eastAsia" w:ascii="黑体" w:hAnsi="黑体" w:eastAsia="黑体"/>
          <w:sz w:val="32"/>
          <w:szCs w:val="32"/>
        </w:rPr>
        <w:t>一、基本情况</w:t>
      </w:r>
    </w:p>
    <w:p w14:paraId="5427E2F4">
      <w:pPr>
        <w:adjustRightInd/>
        <w:snapToGrid/>
        <w:ind w:firstLine="664"/>
        <w:contextualSpacing/>
        <w:rPr>
          <w:sz w:val="32"/>
          <w:szCs w:val="32"/>
        </w:rPr>
      </w:pPr>
      <w:r>
        <w:rPr>
          <w:rFonts w:hint="eastAsia"/>
          <w:sz w:val="32"/>
          <w:szCs w:val="32"/>
        </w:rPr>
        <w:t>根据《市委办公室、市政府办公室关于印发〈浮梁县机构改革方案〉的通知》（景办字〔</w:t>
      </w:r>
      <w:r>
        <w:rPr>
          <w:sz w:val="32"/>
          <w:szCs w:val="32"/>
        </w:rPr>
        <w:t>2019〕3号）、《县委办公室、县政府办公室关于印发〈浮梁县机构改革实施方案〉的通知》（浮办发〔2019〕1号）精神，浮梁</w:t>
      </w:r>
      <w:r>
        <w:rPr>
          <w:rFonts w:hint="eastAsia"/>
          <w:sz w:val="32"/>
          <w:szCs w:val="32"/>
        </w:rPr>
        <w:t>县市场监督管理局是县政府工作部门，为正科级</w:t>
      </w:r>
      <w:r>
        <w:rPr>
          <w:sz w:val="32"/>
          <w:szCs w:val="32"/>
        </w:rPr>
        <w:t>。</w:t>
      </w:r>
    </w:p>
    <w:p w14:paraId="0EC1A213">
      <w:pPr>
        <w:adjustRightInd/>
        <w:snapToGrid/>
        <w:ind w:firstLine="640"/>
        <w:contextualSpacing/>
        <w:rPr>
          <w:sz w:val="32"/>
          <w:szCs w:val="32"/>
        </w:rPr>
      </w:pPr>
      <w:r>
        <w:rPr>
          <w:rFonts w:hint="eastAsia" w:hAnsi="仿宋_GB2312" w:cs="仿宋_GB2312"/>
          <w:spacing w:val="0"/>
          <w:sz w:val="32"/>
          <w:szCs w:val="32"/>
        </w:rPr>
        <w:t>该部门共有预算单位3个，包括局本级</w:t>
      </w:r>
      <w:r>
        <w:rPr>
          <w:rFonts w:hAnsi="仿宋_GB2312" w:cs="仿宋_GB2312"/>
          <w:spacing w:val="0"/>
          <w:sz w:val="32"/>
          <w:szCs w:val="32"/>
        </w:rPr>
        <w:t>和</w:t>
      </w:r>
      <w:r>
        <w:rPr>
          <w:rFonts w:hint="eastAsia" w:hAnsi="仿宋_GB2312" w:cs="仿宋_GB2312"/>
          <w:spacing w:val="0"/>
          <w:sz w:val="32"/>
          <w:szCs w:val="32"/>
        </w:rPr>
        <w:t>浮梁县市场监督管理执法稽查局、浮梁县检验检测认证中心两个局属二级预算单位</w:t>
      </w:r>
      <w:r>
        <w:rPr>
          <w:rFonts w:hAnsi="仿宋_GB2312" w:cs="仿宋_GB2312"/>
          <w:spacing w:val="0"/>
          <w:sz w:val="32"/>
          <w:szCs w:val="32"/>
        </w:rPr>
        <w:t>，内</w:t>
      </w:r>
      <w:r>
        <w:rPr>
          <w:rFonts w:hint="eastAsia" w:hAnsi="仿宋_GB2312" w:cs="仿宋_GB2312"/>
          <w:spacing w:val="0"/>
          <w:sz w:val="32"/>
          <w:szCs w:val="32"/>
        </w:rPr>
        <w:t>设办公室、法规股、政务服务股</w:t>
      </w:r>
      <w:r>
        <w:rPr>
          <w:rFonts w:hAnsi="仿宋_GB2312" w:cs="仿宋_GB2312"/>
          <w:spacing w:val="0"/>
          <w:sz w:val="32"/>
          <w:szCs w:val="32"/>
        </w:rPr>
        <w:t>等</w:t>
      </w:r>
      <w:r>
        <w:rPr>
          <w:rFonts w:hint="eastAsia" w:hAnsi="仿宋_GB2312" w:cs="仿宋_GB2312"/>
          <w:spacing w:val="0"/>
          <w:sz w:val="32"/>
          <w:szCs w:val="32"/>
        </w:rPr>
        <w:t>14</w:t>
      </w:r>
      <w:r>
        <w:rPr>
          <w:rFonts w:hAnsi="仿宋_GB2312" w:cs="仿宋_GB2312"/>
          <w:spacing w:val="0"/>
          <w:sz w:val="32"/>
          <w:szCs w:val="32"/>
        </w:rPr>
        <w:t>个职能科室，并</w:t>
      </w:r>
      <w:r>
        <w:rPr>
          <w:rFonts w:hint="eastAsia" w:hAnsi="仿宋_GB2312" w:cs="仿宋_GB2312"/>
          <w:spacing w:val="0"/>
          <w:sz w:val="32"/>
          <w:szCs w:val="32"/>
        </w:rPr>
        <w:t>下设城关分局、鹅湖分局、湘湖分局等7个派出机构。核定编制数共有</w:t>
      </w:r>
      <w:r>
        <w:rPr>
          <w:rFonts w:hAnsi="仿宋_GB2312" w:cs="仿宋_GB2312"/>
          <w:spacing w:val="0"/>
          <w:sz w:val="32"/>
          <w:szCs w:val="32"/>
        </w:rPr>
        <w:t>105个，其中公务员69个，全部补助事业编制36个。截至2023年底，实有人数88人，其中公务员54人，事业编34人。另有退休人员53人，临时人员41人（含合同制聘用13人）。</w:t>
      </w:r>
    </w:p>
    <w:p w14:paraId="7DBB0FA9">
      <w:pPr>
        <w:adjustRightInd/>
        <w:snapToGrid/>
        <w:ind w:firstLine="664"/>
        <w:contextualSpacing/>
        <w:rPr>
          <w:rFonts w:ascii="黑体" w:hAnsi="黑体" w:eastAsia="黑体"/>
          <w:sz w:val="32"/>
          <w:szCs w:val="32"/>
        </w:rPr>
      </w:pPr>
      <w:r>
        <w:rPr>
          <w:rFonts w:hint="eastAsia" w:ascii="黑体" w:hAnsi="黑体" w:eastAsia="黑体"/>
          <w:sz w:val="32"/>
          <w:szCs w:val="32"/>
        </w:rPr>
        <w:t>二、评价结论</w:t>
      </w:r>
    </w:p>
    <w:p w14:paraId="693FCCF6">
      <w:pPr>
        <w:adjustRightInd/>
        <w:snapToGrid/>
        <w:ind w:firstLine="664"/>
        <w:contextualSpacing/>
        <w:rPr>
          <w:rFonts w:cs="仿宋"/>
          <w:kern w:val="0"/>
          <w:sz w:val="32"/>
          <w:szCs w:val="32"/>
        </w:rPr>
      </w:pPr>
      <w:r>
        <w:rPr>
          <w:rFonts w:hint="eastAsia"/>
          <w:sz w:val="32"/>
          <w:szCs w:val="32"/>
        </w:rPr>
        <w:t>绩效评价工作小组在基础数据分析及处理的基础上，</w:t>
      </w:r>
      <w:r>
        <w:rPr>
          <w:rFonts w:hint="eastAsia" w:cs="仿宋"/>
          <w:kern w:val="0"/>
          <w:sz w:val="32"/>
          <w:szCs w:val="32"/>
        </w:rPr>
        <w:t>对浮梁县市场监督管理局履职情况进行了综合评价。从评价结果分析，部门履职绩效总体良好，评价得分为</w:t>
      </w:r>
      <w:r>
        <w:rPr>
          <w:rFonts w:cs="仿宋"/>
          <w:kern w:val="0"/>
          <w:sz w:val="32"/>
          <w:szCs w:val="32"/>
        </w:rPr>
        <w:t>85.</w:t>
      </w:r>
      <w:r>
        <w:rPr>
          <w:rFonts w:hint="eastAsia" w:cs="仿宋"/>
          <w:kern w:val="0"/>
          <w:sz w:val="32"/>
          <w:szCs w:val="32"/>
        </w:rPr>
        <w:t>7</w:t>
      </w:r>
      <w:r>
        <w:rPr>
          <w:rFonts w:cs="仿宋"/>
          <w:kern w:val="0"/>
          <w:sz w:val="32"/>
          <w:szCs w:val="32"/>
        </w:rPr>
        <w:t>8</w:t>
      </w:r>
      <w:r>
        <w:rPr>
          <w:rFonts w:hint="eastAsia" w:cs="仿宋"/>
          <w:kern w:val="0"/>
          <w:sz w:val="32"/>
          <w:szCs w:val="32"/>
        </w:rPr>
        <w:t>分，综合评价等级为“良”。其中，决策指标得分为10</w:t>
      </w:r>
      <w:r>
        <w:rPr>
          <w:rFonts w:cs="仿宋"/>
          <w:kern w:val="0"/>
          <w:sz w:val="32"/>
          <w:szCs w:val="32"/>
        </w:rPr>
        <w:t>.</w:t>
      </w:r>
      <w:r>
        <w:rPr>
          <w:rFonts w:hint="eastAsia" w:cs="仿宋"/>
          <w:kern w:val="0"/>
          <w:sz w:val="32"/>
          <w:szCs w:val="32"/>
        </w:rPr>
        <w:t>8</w:t>
      </w:r>
      <w:r>
        <w:rPr>
          <w:rFonts w:cs="仿宋"/>
          <w:kern w:val="0"/>
          <w:sz w:val="32"/>
          <w:szCs w:val="32"/>
        </w:rPr>
        <w:t>0分，得分率为</w:t>
      </w:r>
      <w:r>
        <w:rPr>
          <w:rFonts w:hint="eastAsia" w:cs="仿宋"/>
          <w:kern w:val="0"/>
          <w:sz w:val="32"/>
          <w:szCs w:val="32"/>
        </w:rPr>
        <w:t>77.14</w:t>
      </w:r>
      <w:r>
        <w:rPr>
          <w:rFonts w:cs="仿宋"/>
          <w:kern w:val="0"/>
          <w:sz w:val="32"/>
          <w:szCs w:val="32"/>
        </w:rPr>
        <w:t>%；</w:t>
      </w:r>
      <w:r>
        <w:rPr>
          <w:rFonts w:hint="eastAsia" w:cs="仿宋"/>
          <w:kern w:val="0"/>
          <w:sz w:val="32"/>
          <w:szCs w:val="32"/>
        </w:rPr>
        <w:t>管理</w:t>
      </w:r>
      <w:r>
        <w:rPr>
          <w:rFonts w:cs="仿宋"/>
          <w:kern w:val="0"/>
          <w:sz w:val="32"/>
          <w:szCs w:val="32"/>
        </w:rPr>
        <w:t>指标得分为</w:t>
      </w:r>
      <w:r>
        <w:rPr>
          <w:rFonts w:hint="eastAsia" w:cs="仿宋"/>
          <w:kern w:val="0"/>
          <w:sz w:val="32"/>
          <w:szCs w:val="32"/>
        </w:rPr>
        <w:t>12.80</w:t>
      </w:r>
      <w:r>
        <w:rPr>
          <w:rFonts w:cs="仿宋"/>
          <w:kern w:val="0"/>
          <w:sz w:val="32"/>
          <w:szCs w:val="32"/>
        </w:rPr>
        <w:t>分，得分率为</w:t>
      </w:r>
      <w:r>
        <w:rPr>
          <w:rFonts w:hint="eastAsia" w:cs="仿宋"/>
          <w:kern w:val="0"/>
          <w:sz w:val="32"/>
          <w:szCs w:val="32"/>
        </w:rPr>
        <w:t>80</w:t>
      </w:r>
      <w:r>
        <w:rPr>
          <w:rFonts w:cs="仿宋"/>
          <w:kern w:val="0"/>
          <w:sz w:val="32"/>
          <w:szCs w:val="32"/>
        </w:rPr>
        <w:t>%；</w:t>
      </w:r>
      <w:r>
        <w:rPr>
          <w:rFonts w:hint="eastAsia" w:cs="仿宋"/>
          <w:kern w:val="0"/>
          <w:sz w:val="32"/>
          <w:szCs w:val="32"/>
        </w:rPr>
        <w:t>产出</w:t>
      </w:r>
      <w:r>
        <w:rPr>
          <w:rFonts w:cs="仿宋"/>
          <w:kern w:val="0"/>
          <w:sz w:val="32"/>
          <w:szCs w:val="32"/>
        </w:rPr>
        <w:t>指标得分为</w:t>
      </w:r>
      <w:r>
        <w:rPr>
          <w:rFonts w:hint="eastAsia" w:cs="仿宋"/>
          <w:kern w:val="0"/>
          <w:sz w:val="32"/>
          <w:szCs w:val="32"/>
        </w:rPr>
        <w:t>29.65</w:t>
      </w:r>
      <w:r>
        <w:rPr>
          <w:rFonts w:cs="仿宋"/>
          <w:kern w:val="0"/>
          <w:sz w:val="32"/>
          <w:szCs w:val="32"/>
        </w:rPr>
        <w:t>分，得分率为</w:t>
      </w:r>
      <w:r>
        <w:rPr>
          <w:rFonts w:hint="eastAsia" w:cs="仿宋"/>
          <w:kern w:val="0"/>
          <w:sz w:val="32"/>
          <w:szCs w:val="32"/>
        </w:rPr>
        <w:t>98.93</w:t>
      </w:r>
      <w:r>
        <w:rPr>
          <w:rFonts w:cs="仿宋"/>
          <w:kern w:val="0"/>
          <w:sz w:val="32"/>
          <w:szCs w:val="32"/>
        </w:rPr>
        <w:t>%；</w:t>
      </w:r>
      <w:r>
        <w:rPr>
          <w:rFonts w:hint="eastAsia" w:cs="仿宋"/>
          <w:kern w:val="0"/>
          <w:sz w:val="32"/>
          <w:szCs w:val="32"/>
        </w:rPr>
        <w:t>效益</w:t>
      </w:r>
      <w:r>
        <w:rPr>
          <w:rFonts w:cs="仿宋"/>
          <w:kern w:val="0"/>
          <w:sz w:val="32"/>
          <w:szCs w:val="32"/>
        </w:rPr>
        <w:t>指标得分为</w:t>
      </w:r>
      <w:r>
        <w:rPr>
          <w:rFonts w:hint="eastAsia" w:cs="仿宋"/>
          <w:kern w:val="0"/>
          <w:sz w:val="32"/>
          <w:szCs w:val="32"/>
        </w:rPr>
        <w:t>31.50</w:t>
      </w:r>
      <w:r>
        <w:rPr>
          <w:rFonts w:cs="仿宋"/>
          <w:kern w:val="0"/>
          <w:sz w:val="32"/>
          <w:szCs w:val="32"/>
        </w:rPr>
        <w:t>分，得分率为</w:t>
      </w:r>
      <w:r>
        <w:rPr>
          <w:rFonts w:hint="eastAsia" w:cs="仿宋"/>
          <w:kern w:val="0"/>
          <w:sz w:val="32"/>
          <w:szCs w:val="32"/>
        </w:rPr>
        <w:t>95.45</w:t>
      </w:r>
      <w:r>
        <w:rPr>
          <w:rFonts w:cs="仿宋"/>
          <w:kern w:val="0"/>
          <w:sz w:val="32"/>
          <w:szCs w:val="32"/>
        </w:rPr>
        <w:t>%。</w:t>
      </w:r>
    </w:p>
    <w:p w14:paraId="3755C52A">
      <w:pPr>
        <w:adjustRightInd/>
        <w:snapToGrid/>
        <w:ind w:firstLine="664"/>
        <w:contextualSpacing/>
        <w:rPr>
          <w:rFonts w:ascii="黑体" w:hAnsi="黑体" w:eastAsia="黑体"/>
          <w:sz w:val="32"/>
          <w:szCs w:val="32"/>
        </w:rPr>
      </w:pPr>
      <w:r>
        <w:rPr>
          <w:rFonts w:hint="eastAsia" w:ascii="黑体" w:hAnsi="黑体" w:eastAsia="黑体"/>
          <w:sz w:val="32"/>
          <w:szCs w:val="32"/>
        </w:rPr>
        <w:t>三、主要问题及原因分析</w:t>
      </w:r>
    </w:p>
    <w:p w14:paraId="32CB83AF">
      <w:pPr>
        <w:adjustRightInd/>
        <w:snapToGrid/>
        <w:ind w:firstLine="667"/>
        <w:contextualSpacing/>
        <w:rPr>
          <w:rFonts w:ascii="楷体" w:hAnsi="楷体" w:eastAsia="楷体"/>
          <w:b/>
          <w:sz w:val="32"/>
          <w:szCs w:val="32"/>
        </w:rPr>
      </w:pPr>
      <w:r>
        <w:rPr>
          <w:rFonts w:hint="eastAsia" w:ascii="楷体" w:hAnsi="楷体" w:eastAsia="楷体"/>
          <w:b/>
          <w:sz w:val="32"/>
          <w:szCs w:val="32"/>
        </w:rPr>
        <w:t>（一）工作计划细化程度不够</w:t>
      </w:r>
    </w:p>
    <w:p w14:paraId="554594E9">
      <w:pPr>
        <w:adjustRightInd/>
        <w:snapToGrid/>
        <w:ind w:firstLine="664"/>
        <w:contextualSpacing/>
        <w:rPr>
          <w:sz w:val="32"/>
          <w:szCs w:val="32"/>
        </w:rPr>
      </w:pPr>
      <w:r>
        <w:rPr>
          <w:sz w:val="32"/>
          <w:szCs w:val="32"/>
        </w:rPr>
        <w:t>202</w:t>
      </w:r>
      <w:r>
        <w:rPr>
          <w:rFonts w:hint="eastAsia"/>
          <w:sz w:val="32"/>
          <w:szCs w:val="32"/>
        </w:rPr>
        <w:t>2年</w:t>
      </w:r>
      <w:r>
        <w:rPr>
          <w:sz w:val="32"/>
          <w:szCs w:val="32"/>
        </w:rPr>
        <w:t>底，</w:t>
      </w:r>
      <w:r>
        <w:rPr>
          <w:rFonts w:hint="eastAsia"/>
          <w:sz w:val="32"/>
          <w:szCs w:val="32"/>
        </w:rPr>
        <w:t>浮梁县</w:t>
      </w:r>
      <w:r>
        <w:rPr>
          <w:sz w:val="32"/>
          <w:szCs w:val="32"/>
        </w:rPr>
        <w:t>市监局常态化制定了202</w:t>
      </w:r>
      <w:r>
        <w:rPr>
          <w:rFonts w:hint="eastAsia"/>
          <w:sz w:val="32"/>
          <w:szCs w:val="32"/>
        </w:rPr>
        <w:t>3</w:t>
      </w:r>
      <w:r>
        <w:rPr>
          <w:sz w:val="32"/>
          <w:szCs w:val="32"/>
        </w:rPr>
        <w:t>年的工作计划，计划重点工作较明确，但仍存在</w:t>
      </w:r>
      <w:r>
        <w:rPr>
          <w:rFonts w:hint="eastAsia"/>
          <w:sz w:val="32"/>
          <w:szCs w:val="32"/>
        </w:rPr>
        <w:t>两方面</w:t>
      </w:r>
      <w:r>
        <w:rPr>
          <w:sz w:val="32"/>
          <w:szCs w:val="32"/>
        </w:rPr>
        <w:t>问题：一是计划量化程度不够。部门计划虽然对全年的工作做出了要求，但工作要点不够具体，缺乏明确可量化的具体指标、责任主体相关内容；二是计划未涵盖部门的全部履职职能，且内容较简单。</w:t>
      </w:r>
    </w:p>
    <w:p w14:paraId="5BC48A34">
      <w:pPr>
        <w:adjustRightInd/>
        <w:snapToGrid/>
        <w:ind w:firstLine="667"/>
        <w:contextualSpacing/>
        <w:rPr>
          <w:rFonts w:ascii="楷体" w:hAnsi="楷体" w:eastAsia="楷体"/>
          <w:b/>
          <w:sz w:val="32"/>
          <w:szCs w:val="32"/>
        </w:rPr>
      </w:pPr>
      <w:r>
        <w:rPr>
          <w:rFonts w:hint="eastAsia" w:ascii="楷体" w:hAnsi="楷体" w:eastAsia="楷体"/>
          <w:b/>
          <w:sz w:val="32"/>
          <w:szCs w:val="32"/>
        </w:rPr>
        <w:t>（二）专项资金使用待规范</w:t>
      </w:r>
    </w:p>
    <w:p w14:paraId="5CF946A0">
      <w:pPr>
        <w:adjustRightInd/>
        <w:snapToGrid/>
        <w:ind w:firstLine="664"/>
        <w:contextualSpacing/>
        <w:rPr>
          <w:sz w:val="32"/>
          <w:szCs w:val="32"/>
        </w:rPr>
      </w:pPr>
      <w:r>
        <w:rPr>
          <w:rFonts w:hint="eastAsia"/>
          <w:sz w:val="32"/>
          <w:szCs w:val="32"/>
        </w:rPr>
        <w:t>经核查，2023年，因公用经费不足，浮梁县市监局挪用了部分项目经费用于基本支出，不符合财政专项资金的使用用途，专项资金使用欠规范。</w:t>
      </w:r>
    </w:p>
    <w:p w14:paraId="7B41C44D">
      <w:pPr>
        <w:adjustRightInd/>
        <w:snapToGrid/>
        <w:ind w:firstLine="667"/>
        <w:contextualSpacing/>
        <w:rPr>
          <w:rFonts w:ascii="楷体" w:hAnsi="楷体" w:eastAsia="楷体"/>
          <w:b/>
          <w:sz w:val="32"/>
          <w:szCs w:val="32"/>
        </w:rPr>
      </w:pPr>
      <w:r>
        <w:rPr>
          <w:rFonts w:hint="eastAsia" w:ascii="楷体" w:hAnsi="楷体" w:eastAsia="楷体"/>
          <w:b/>
          <w:sz w:val="32"/>
          <w:szCs w:val="32"/>
        </w:rPr>
        <w:t>（三）部分固定资产未入账</w:t>
      </w:r>
    </w:p>
    <w:p w14:paraId="15DDB445">
      <w:pPr>
        <w:adjustRightInd/>
        <w:snapToGrid/>
        <w:ind w:firstLine="664"/>
        <w:contextualSpacing/>
        <w:rPr>
          <w:sz w:val="32"/>
          <w:szCs w:val="32"/>
        </w:rPr>
      </w:pPr>
      <w:r>
        <w:rPr>
          <w:rFonts w:hint="eastAsia"/>
          <w:sz w:val="32"/>
          <w:szCs w:val="32"/>
        </w:rPr>
        <w:t>经固定资产盘点，我们发现浮梁县检验检测认证中心部分固定资产未入账。据财务人员解释，未入账固定资产为上级拨付资产，但因不确定该资产所有权是否转移，故一直未入账，导致资产盘点数大于账面数。</w:t>
      </w:r>
    </w:p>
    <w:p w14:paraId="1D807E35">
      <w:pPr>
        <w:adjustRightInd/>
        <w:snapToGrid/>
        <w:ind w:firstLine="667"/>
        <w:contextualSpacing/>
        <w:rPr>
          <w:rFonts w:ascii="楷体" w:hAnsi="楷体" w:eastAsia="楷体"/>
          <w:b/>
          <w:sz w:val="32"/>
          <w:szCs w:val="32"/>
        </w:rPr>
      </w:pPr>
      <w:r>
        <w:rPr>
          <w:rFonts w:hint="eastAsia" w:ascii="楷体" w:hAnsi="楷体" w:eastAsia="楷体"/>
          <w:b/>
          <w:sz w:val="32"/>
          <w:szCs w:val="32"/>
        </w:rPr>
        <w:t>（四）绩效指标设置能力较薄弱</w:t>
      </w:r>
    </w:p>
    <w:p w14:paraId="7AAE94B4">
      <w:pPr>
        <w:adjustRightInd/>
        <w:snapToGrid/>
        <w:ind w:firstLine="664"/>
        <w:contextualSpacing/>
        <w:rPr>
          <w:sz w:val="32"/>
          <w:szCs w:val="32"/>
        </w:rPr>
      </w:pPr>
      <w:r>
        <w:rPr>
          <w:rFonts w:hint="eastAsia"/>
          <w:sz w:val="32"/>
          <w:szCs w:val="32"/>
        </w:rPr>
        <w:t>在绩效自评的过程中，浮梁县市监局主要存在以下问题：一是指标数量较多，产出和效益指标高达</w:t>
      </w:r>
      <w:r>
        <w:rPr>
          <w:sz w:val="32"/>
          <w:szCs w:val="32"/>
        </w:rPr>
        <w:t>84个，侧重点不明显，且易导致各指标分值较低；二是效益指标缺少可量化指标；三是产出指标权重配分过于均衡，未区分常规基础性工作和重点、核心工作并在分值设置时有所侧重</w:t>
      </w:r>
      <w:r>
        <w:rPr>
          <w:rFonts w:hint="eastAsia"/>
          <w:sz w:val="32"/>
          <w:szCs w:val="32"/>
        </w:rPr>
        <w:t>。总体而言，绩效指标设置能力有待提高。</w:t>
      </w:r>
    </w:p>
    <w:p w14:paraId="5BF79F36">
      <w:pPr>
        <w:adjustRightInd/>
        <w:snapToGrid/>
        <w:ind w:firstLine="667"/>
        <w:contextualSpacing/>
        <w:rPr>
          <w:rFonts w:ascii="楷体" w:hAnsi="楷体" w:eastAsia="楷体"/>
          <w:b/>
          <w:sz w:val="32"/>
          <w:szCs w:val="32"/>
        </w:rPr>
      </w:pPr>
      <w:r>
        <w:rPr>
          <w:rFonts w:hint="eastAsia" w:ascii="楷体" w:hAnsi="楷体" w:eastAsia="楷体"/>
          <w:b/>
          <w:sz w:val="32"/>
          <w:szCs w:val="32"/>
        </w:rPr>
        <w:t>（五）社会公众满意度等级较低</w:t>
      </w:r>
    </w:p>
    <w:p w14:paraId="645EA05B">
      <w:pPr>
        <w:adjustRightInd/>
        <w:snapToGrid/>
        <w:ind w:firstLine="664"/>
        <w:contextualSpacing/>
        <w:rPr>
          <w:sz w:val="32"/>
          <w:szCs w:val="32"/>
        </w:rPr>
      </w:pPr>
      <w:r>
        <w:rPr>
          <w:sz w:val="32"/>
          <w:szCs w:val="32"/>
        </w:rPr>
        <w:t>2023年，</w:t>
      </w:r>
      <w:r>
        <w:rPr>
          <w:rFonts w:hint="eastAsia"/>
          <w:sz w:val="32"/>
          <w:szCs w:val="32"/>
        </w:rPr>
        <w:t>浮梁县市监局</w:t>
      </w:r>
      <w:r>
        <w:rPr>
          <w:sz w:val="32"/>
          <w:szCs w:val="32"/>
        </w:rPr>
        <w:t>共收到3230条评价数据，从群众满意与否的角度来看，好评率为</w:t>
      </w:r>
      <w:r>
        <w:rPr>
          <w:rFonts w:hint="eastAsia"/>
          <w:sz w:val="32"/>
          <w:szCs w:val="32"/>
        </w:rPr>
        <w:t>100%，但从满意度等级来看，</w:t>
      </w:r>
      <w:r>
        <w:rPr>
          <w:sz w:val="32"/>
          <w:szCs w:val="32"/>
        </w:rPr>
        <w:t>评价结果全部为基本满意，社会公众满意度等级</w:t>
      </w:r>
      <w:r>
        <w:rPr>
          <w:rFonts w:hint="eastAsia"/>
          <w:sz w:val="32"/>
          <w:szCs w:val="32"/>
        </w:rPr>
        <w:t>较低</w:t>
      </w:r>
      <w:r>
        <w:rPr>
          <w:sz w:val="32"/>
          <w:szCs w:val="32"/>
        </w:rPr>
        <w:t>。</w:t>
      </w:r>
    </w:p>
    <w:p w14:paraId="34F86F84">
      <w:pPr>
        <w:adjustRightInd/>
        <w:snapToGrid/>
        <w:ind w:firstLine="664"/>
        <w:contextualSpacing/>
        <w:rPr>
          <w:rFonts w:ascii="黑体" w:hAnsi="黑体" w:eastAsia="黑体"/>
          <w:sz w:val="32"/>
          <w:szCs w:val="32"/>
        </w:rPr>
      </w:pPr>
      <w:r>
        <w:rPr>
          <w:rFonts w:hint="eastAsia" w:ascii="黑体" w:hAnsi="黑体" w:eastAsia="黑体"/>
          <w:sz w:val="32"/>
          <w:szCs w:val="32"/>
        </w:rPr>
        <w:t>四、改进的方向和具体措施</w:t>
      </w:r>
    </w:p>
    <w:p w14:paraId="7E2AC80C">
      <w:pPr>
        <w:adjustRightInd/>
        <w:snapToGrid/>
        <w:ind w:firstLine="667"/>
        <w:contextualSpacing/>
        <w:rPr>
          <w:b/>
          <w:sz w:val="32"/>
          <w:szCs w:val="32"/>
        </w:rPr>
      </w:pPr>
      <w:r>
        <w:rPr>
          <w:b/>
          <w:sz w:val="32"/>
          <w:szCs w:val="32"/>
        </w:rPr>
        <w:t>（一）突破部门工作计划编制瓶颈，提高年度工作计划有效性</w:t>
      </w:r>
      <w:r>
        <w:rPr>
          <w:rFonts w:hint="eastAsia"/>
          <w:b/>
          <w:sz w:val="32"/>
          <w:szCs w:val="32"/>
        </w:rPr>
        <w:t>。</w:t>
      </w:r>
      <w:r>
        <w:rPr>
          <w:sz w:val="32"/>
          <w:szCs w:val="32"/>
        </w:rPr>
        <w:t>一方面充分了解其在部门工作计划编制过程中的瓶颈，依据中长期规划和上级部门下达的重点工作任务合理设置年度目标，另一方面在撰写具体工作要点时，要多微观少宏观、多定量少定性、多数据支撑少一般描述，要强调操作性，并将任务落实到具体科室，从而使得部门工作计划整体布局合理、计划内容有依有据，提高年度工作计划的有效性。</w:t>
      </w:r>
    </w:p>
    <w:p w14:paraId="7D13AEF3">
      <w:pPr>
        <w:adjustRightInd/>
        <w:snapToGrid/>
        <w:ind w:firstLine="667"/>
        <w:contextualSpacing/>
        <w:rPr>
          <w:sz w:val="32"/>
          <w:szCs w:val="32"/>
        </w:rPr>
      </w:pPr>
      <w:r>
        <w:rPr>
          <w:b/>
          <w:sz w:val="32"/>
          <w:szCs w:val="32"/>
        </w:rPr>
        <w:t>（二）强化单位内部管理,规范资金使用范围。</w:t>
      </w:r>
      <w:r>
        <w:rPr>
          <w:sz w:val="32"/>
          <w:szCs w:val="32"/>
        </w:rPr>
        <w:t>制定专项资金管理办法，加强专项资金管理，严格按照专项资金管理办法有关规定进行专款专用，不得以任何形式挪作他用，若有不确定事项，可咨询财政部门，确保专项资金使用合规。</w:t>
      </w:r>
    </w:p>
    <w:p w14:paraId="509AC7EF">
      <w:pPr>
        <w:adjustRightInd/>
        <w:snapToGrid/>
        <w:ind w:firstLine="667"/>
        <w:contextualSpacing/>
        <w:rPr>
          <w:sz w:val="32"/>
          <w:szCs w:val="32"/>
        </w:rPr>
      </w:pPr>
      <w:r>
        <w:rPr>
          <w:b/>
          <w:sz w:val="32"/>
          <w:szCs w:val="32"/>
        </w:rPr>
        <w:t>（三）核实未入账固定资产所有权，</w:t>
      </w:r>
      <w:r>
        <w:rPr>
          <w:rFonts w:hint="eastAsia"/>
          <w:b/>
          <w:sz w:val="32"/>
          <w:szCs w:val="32"/>
        </w:rPr>
        <w:t>确保</w:t>
      </w:r>
      <w:r>
        <w:rPr>
          <w:b/>
          <w:sz w:val="32"/>
          <w:szCs w:val="32"/>
        </w:rPr>
        <w:t>资产账实相符。</w:t>
      </w:r>
      <w:r>
        <w:rPr>
          <w:sz w:val="32"/>
          <w:szCs w:val="32"/>
        </w:rPr>
        <w:t>对于上级拨付的固定资产，应一一核实资产所有权，确定为上级</w:t>
      </w:r>
      <w:r>
        <w:rPr>
          <w:rFonts w:hint="eastAsia"/>
          <w:sz w:val="32"/>
          <w:szCs w:val="32"/>
        </w:rPr>
        <w:t>捐赠的，应按照《行政单位会计制度》进行账务处理，确保资产盘点账实相符。</w:t>
      </w:r>
    </w:p>
    <w:p w14:paraId="6E3FF548">
      <w:pPr>
        <w:adjustRightInd/>
        <w:snapToGrid/>
        <w:ind w:firstLine="667"/>
        <w:contextualSpacing/>
        <w:rPr>
          <w:sz w:val="32"/>
          <w:szCs w:val="32"/>
        </w:rPr>
      </w:pPr>
      <w:r>
        <w:rPr>
          <w:b/>
          <w:sz w:val="32"/>
          <w:szCs w:val="32"/>
        </w:rPr>
        <w:t>（四）加强对预算绩效管理的学习，重视满意度调查结果分析。</w:t>
      </w:r>
      <w:r>
        <w:rPr>
          <w:sz w:val="32"/>
          <w:szCs w:val="32"/>
        </w:rPr>
        <w:t>将绩效管理融入日常工作，加强业务工作和财务工作协同，科学合理地设置自评指标。在设置效益类指标时，将定性指标与定量指标相结合，并加强对重点、核心指标的设置，依据指标重要性合理设置分值权重，确保能够真实准确全面地反映各绩效目标完成情况，突出项目实施的效益效果。此外，应加强对政务服务好差评数据的分析，通过相关数据了解社会公众或服务对象的建议或意见，从而不断提高社会公众满意度。</w:t>
      </w:r>
    </w:p>
    <w:p w14:paraId="2F63219F">
      <w:pPr>
        <w:adjustRightInd/>
        <w:snapToGrid/>
        <w:ind w:firstLine="0" w:firstLineChars="0"/>
        <w:contextualSpacing/>
        <w:rPr>
          <w:rFonts w:ascii="方正小标宋简体" w:hAnsi="黑体" w:eastAsia="方正小标宋简体"/>
          <w:sz w:val="36"/>
          <w:szCs w:val="36"/>
        </w:rPr>
      </w:pPr>
    </w:p>
    <w:p w14:paraId="58BC6F70">
      <w:pPr>
        <w:adjustRightInd/>
        <w:snapToGrid/>
        <w:ind w:firstLine="0" w:firstLineChars="0"/>
        <w:contextualSpacing/>
        <w:rPr>
          <w:rFonts w:ascii="方正小标宋简体" w:hAnsi="黑体" w:eastAsia="方正小标宋简体"/>
          <w:sz w:val="36"/>
          <w:szCs w:val="36"/>
        </w:rPr>
      </w:pPr>
    </w:p>
    <w:p w14:paraId="34004FA3">
      <w:pPr>
        <w:adjustRightInd/>
        <w:snapToGrid/>
        <w:ind w:firstLine="0" w:firstLineChars="0"/>
        <w:contextualSpacing/>
        <w:rPr>
          <w:rFonts w:ascii="方正小标宋简体" w:hAnsi="黑体" w:eastAsia="方正小标宋简体"/>
          <w:sz w:val="36"/>
          <w:szCs w:val="36"/>
        </w:rPr>
      </w:pPr>
    </w:p>
    <w:p w14:paraId="01959AAC">
      <w:pPr>
        <w:adjustRightInd/>
        <w:snapToGrid/>
        <w:ind w:firstLine="0" w:firstLineChars="0"/>
        <w:contextualSpacing/>
        <w:rPr>
          <w:rFonts w:ascii="方正小标宋简体" w:hAnsi="黑体" w:eastAsia="方正小标宋简体"/>
          <w:sz w:val="36"/>
          <w:szCs w:val="36"/>
        </w:rPr>
      </w:pPr>
    </w:p>
    <w:p w14:paraId="3D208461">
      <w:pPr>
        <w:adjustRightInd/>
        <w:snapToGrid/>
        <w:ind w:firstLine="0" w:firstLineChars="0"/>
        <w:contextualSpacing/>
        <w:rPr>
          <w:rFonts w:ascii="方正小标宋简体" w:hAnsi="黑体" w:eastAsia="方正小标宋简体"/>
          <w:sz w:val="36"/>
          <w:szCs w:val="36"/>
        </w:rPr>
      </w:pPr>
    </w:p>
    <w:p w14:paraId="654367D1">
      <w:pPr>
        <w:adjustRightInd/>
        <w:snapToGrid/>
        <w:ind w:firstLine="0" w:firstLineChars="0"/>
        <w:contextualSpacing/>
        <w:rPr>
          <w:rFonts w:ascii="方正小标宋简体" w:hAnsi="黑体" w:eastAsia="方正小标宋简体"/>
          <w:sz w:val="36"/>
          <w:szCs w:val="36"/>
        </w:rPr>
      </w:pPr>
    </w:p>
    <w:p w14:paraId="771D4A17">
      <w:pPr>
        <w:adjustRightInd/>
        <w:snapToGrid/>
        <w:ind w:firstLine="0" w:firstLineChars="0"/>
        <w:contextualSpacing/>
        <w:rPr>
          <w:rFonts w:ascii="方正小标宋简体" w:hAnsi="黑体" w:eastAsia="方正小标宋简体"/>
          <w:sz w:val="36"/>
          <w:szCs w:val="36"/>
        </w:rPr>
      </w:pPr>
    </w:p>
    <w:p w14:paraId="40D380BB">
      <w:pPr>
        <w:adjustRightInd/>
        <w:snapToGrid/>
        <w:ind w:firstLine="0" w:firstLineChars="0"/>
        <w:contextualSpacing/>
        <w:jc w:val="center"/>
        <w:rPr>
          <w:rFonts w:ascii="方正小标宋简体" w:hAnsi="黑体" w:eastAsia="方正小标宋简体"/>
          <w:sz w:val="36"/>
          <w:szCs w:val="36"/>
        </w:rPr>
      </w:pPr>
      <w:r>
        <w:rPr>
          <w:rFonts w:hint="eastAsia" w:ascii="方正小标宋简体" w:hAnsi="黑体" w:eastAsia="方正小标宋简体"/>
          <w:sz w:val="36"/>
          <w:szCs w:val="36"/>
        </w:rPr>
        <w:t>浮梁县市场监督管理局</w:t>
      </w:r>
    </w:p>
    <w:p w14:paraId="74B4F222">
      <w:pPr>
        <w:adjustRightInd/>
        <w:snapToGrid/>
        <w:ind w:firstLine="0" w:firstLineChars="0"/>
        <w:contextualSpacing/>
        <w:jc w:val="center"/>
        <w:rPr>
          <w:rFonts w:ascii="方正小标宋简体" w:hAnsi="黑体" w:eastAsia="方正小标宋简体"/>
          <w:sz w:val="36"/>
          <w:szCs w:val="36"/>
        </w:rPr>
      </w:pPr>
      <w:r>
        <w:rPr>
          <w:rFonts w:hint="eastAsia" w:ascii="方正小标宋简体" w:hAnsi="黑体" w:eastAsia="方正小标宋简体"/>
          <w:sz w:val="36"/>
          <w:szCs w:val="36"/>
        </w:rPr>
        <w:t>2023年度部门整体支出财政绩效评价报告</w:t>
      </w:r>
    </w:p>
    <w:p w14:paraId="63C0F4B8">
      <w:pPr>
        <w:adjustRightInd/>
        <w:snapToGrid/>
        <w:ind w:firstLine="584"/>
        <w:contextualSpacing/>
        <w:jc w:val="center"/>
        <w:rPr>
          <w:rFonts w:asciiTheme="minorHAnsi" w:hAnsiTheme="minorHAnsi"/>
        </w:rPr>
      </w:pPr>
    </w:p>
    <w:p w14:paraId="4D06502E">
      <w:pPr>
        <w:adjustRightInd/>
        <w:snapToGrid/>
        <w:ind w:firstLine="664"/>
        <w:contextualSpacing/>
        <w:rPr>
          <w:sz w:val="32"/>
          <w:szCs w:val="32"/>
        </w:rPr>
      </w:pPr>
      <w:r>
        <w:rPr>
          <w:rFonts w:hint="eastAsia"/>
          <w:sz w:val="32"/>
          <w:szCs w:val="32"/>
        </w:rPr>
        <w:t>为贯彻落实《中共中央 国务院关于全面实施预算绩效管理的意见》（中发〔</w:t>
      </w:r>
      <w:r>
        <w:rPr>
          <w:sz w:val="32"/>
          <w:szCs w:val="32"/>
        </w:rPr>
        <w:t>2018〕34号）</w:t>
      </w:r>
      <w:r>
        <w:rPr>
          <w:rFonts w:hint="eastAsia"/>
          <w:sz w:val="32"/>
          <w:szCs w:val="32"/>
        </w:rPr>
        <w:t>、</w:t>
      </w:r>
      <w:r>
        <w:rPr>
          <w:sz w:val="32"/>
          <w:szCs w:val="32"/>
        </w:rPr>
        <w:t>《</w:t>
      </w:r>
      <w:r>
        <w:rPr>
          <w:rFonts w:hint="eastAsia"/>
          <w:sz w:val="32"/>
          <w:szCs w:val="32"/>
        </w:rPr>
        <w:t>中共江西省委 江西省人民政府关于全面实施预算绩效管理的实施意见</w:t>
      </w:r>
      <w:r>
        <w:rPr>
          <w:sz w:val="32"/>
          <w:szCs w:val="32"/>
        </w:rPr>
        <w:t>》（</w:t>
      </w:r>
      <w:r>
        <w:rPr>
          <w:rFonts w:hint="eastAsia"/>
          <w:sz w:val="32"/>
          <w:szCs w:val="32"/>
        </w:rPr>
        <w:t>赣</w:t>
      </w:r>
      <w:r>
        <w:rPr>
          <w:sz w:val="32"/>
          <w:szCs w:val="32"/>
        </w:rPr>
        <w:t>发〔2019〕</w:t>
      </w:r>
      <w:r>
        <w:rPr>
          <w:rFonts w:hint="eastAsia"/>
          <w:sz w:val="32"/>
          <w:szCs w:val="32"/>
        </w:rPr>
        <w:t>8</w:t>
      </w:r>
      <w:r>
        <w:rPr>
          <w:sz w:val="32"/>
          <w:szCs w:val="32"/>
        </w:rPr>
        <w:t>号）</w:t>
      </w:r>
      <w:r>
        <w:rPr>
          <w:rFonts w:hint="eastAsia"/>
          <w:sz w:val="32"/>
          <w:szCs w:val="32"/>
        </w:rPr>
        <w:t>、《江西省人民政府关于进一步深化预算管理制度改革的实施意见》（赣府发〔</w:t>
      </w:r>
      <w:r>
        <w:rPr>
          <w:sz w:val="32"/>
          <w:szCs w:val="32"/>
        </w:rPr>
        <w:t>20</w:t>
      </w:r>
      <w:r>
        <w:rPr>
          <w:rFonts w:hint="eastAsia"/>
          <w:sz w:val="32"/>
          <w:szCs w:val="32"/>
        </w:rPr>
        <w:t>21</w:t>
      </w:r>
      <w:r>
        <w:rPr>
          <w:sz w:val="32"/>
          <w:szCs w:val="32"/>
        </w:rPr>
        <w:t>〕</w:t>
      </w:r>
      <w:r>
        <w:rPr>
          <w:rFonts w:hint="eastAsia"/>
          <w:sz w:val="32"/>
          <w:szCs w:val="32"/>
        </w:rPr>
        <w:t>24</w:t>
      </w:r>
      <w:r>
        <w:rPr>
          <w:sz w:val="32"/>
          <w:szCs w:val="32"/>
        </w:rPr>
        <w:t>号）等文件精神，</w:t>
      </w:r>
      <w:r>
        <w:rPr>
          <w:rFonts w:hint="eastAsia"/>
          <w:sz w:val="32"/>
          <w:szCs w:val="32"/>
        </w:rPr>
        <w:t>全面推进预算绩效管理，加强财政预算支出管理，强化财政预算支出责任，提高财政资金使用效益，浮梁县财政局对浮梁县市场监督管理局（简称浮梁县市监局）2</w:t>
      </w:r>
      <w:r>
        <w:rPr>
          <w:sz w:val="32"/>
          <w:szCs w:val="32"/>
        </w:rPr>
        <w:t>02</w:t>
      </w:r>
      <w:r>
        <w:rPr>
          <w:rFonts w:hint="eastAsia"/>
          <w:sz w:val="32"/>
          <w:szCs w:val="32"/>
        </w:rPr>
        <w:t>3年部门整体支出展开绩效评价。江西国辰会计师事务所有限责任公司受浮梁县财政局委托，根据《关于开展</w:t>
      </w:r>
      <w:r>
        <w:rPr>
          <w:sz w:val="32"/>
          <w:szCs w:val="32"/>
        </w:rPr>
        <w:t>2024年财政绩效评价和财政绩效监控的通知》（浮财绩字〔2024〕3号）的要求，</w:t>
      </w:r>
      <w:r>
        <w:rPr>
          <w:rFonts w:hint="eastAsia"/>
          <w:sz w:val="32"/>
          <w:szCs w:val="32"/>
        </w:rPr>
        <w:t>对该单位进行具体评价工作，现将评价情况报告如下：</w:t>
      </w:r>
    </w:p>
    <w:p w14:paraId="7401E1C5">
      <w:pPr>
        <w:pStyle w:val="2"/>
        <w:adjustRightInd/>
        <w:snapToGrid/>
        <w:spacing w:before="0" w:after="0"/>
        <w:ind w:firstLine="664"/>
        <w:contextualSpacing/>
      </w:pPr>
      <w:bookmarkStart w:id="7" w:name="_Toc167874814"/>
      <w:r>
        <w:rPr>
          <w:rFonts w:hint="eastAsia"/>
        </w:rPr>
        <w:t>一、部门概况</w:t>
      </w:r>
      <w:bookmarkEnd w:id="7"/>
    </w:p>
    <w:p w14:paraId="170CA1EC">
      <w:pPr>
        <w:pStyle w:val="3"/>
        <w:adjustRightInd/>
        <w:snapToGrid/>
        <w:spacing w:before="0" w:after="0"/>
        <w:ind w:firstLine="667"/>
        <w:contextualSpacing/>
        <w:rPr>
          <w:rFonts w:ascii="楷体_GB2312" w:eastAsia="楷体_GB2312"/>
        </w:rPr>
      </w:pPr>
      <w:bookmarkStart w:id="8" w:name="_Toc167874815"/>
      <w:r>
        <w:rPr>
          <w:rFonts w:hint="eastAsia" w:ascii="楷体_GB2312" w:eastAsia="楷体_GB2312"/>
        </w:rPr>
        <w:t>（一）部门基本情况</w:t>
      </w:r>
      <w:bookmarkEnd w:id="8"/>
    </w:p>
    <w:p w14:paraId="02173DAD">
      <w:pPr>
        <w:adjustRightInd/>
        <w:snapToGrid/>
        <w:ind w:firstLine="664"/>
        <w:contextualSpacing/>
        <w:rPr>
          <w:sz w:val="32"/>
          <w:szCs w:val="32"/>
        </w:rPr>
      </w:pPr>
      <w:r>
        <w:rPr>
          <w:rFonts w:hint="eastAsia"/>
          <w:sz w:val="32"/>
          <w:szCs w:val="32"/>
        </w:rPr>
        <w:t>根据《市委办公室、市政府办公室关于印发〈浮梁县机构改革方案〉的通知》（景办字〔</w:t>
      </w:r>
      <w:r>
        <w:rPr>
          <w:sz w:val="32"/>
          <w:szCs w:val="32"/>
        </w:rPr>
        <w:t>2019〕3号）、《县委办公室、县政府办公室关于印发〈浮梁县机构改革实施方案〉的通知》（浮办发〔2019〕1号）精神，浮梁</w:t>
      </w:r>
      <w:r>
        <w:rPr>
          <w:rFonts w:hint="eastAsia"/>
          <w:sz w:val="32"/>
          <w:szCs w:val="32"/>
        </w:rPr>
        <w:t>县市场监督管理局是县政府工作部门，为正科级</w:t>
      </w:r>
      <w:r>
        <w:rPr>
          <w:sz w:val="32"/>
          <w:szCs w:val="32"/>
        </w:rPr>
        <w:t>。</w:t>
      </w:r>
    </w:p>
    <w:p w14:paraId="220D6344">
      <w:pPr>
        <w:adjustRightInd/>
        <w:snapToGrid/>
        <w:ind w:firstLine="667"/>
        <w:contextualSpacing/>
        <w:rPr>
          <w:b/>
          <w:bCs/>
          <w:sz w:val="32"/>
          <w:szCs w:val="32"/>
        </w:rPr>
      </w:pPr>
      <w:r>
        <w:rPr>
          <w:rFonts w:hint="eastAsia"/>
          <w:b/>
          <w:bCs/>
          <w:sz w:val="32"/>
          <w:szCs w:val="32"/>
        </w:rPr>
        <w:t>1.部门主要职责职能</w:t>
      </w:r>
    </w:p>
    <w:p w14:paraId="5B8D2EEA">
      <w:pPr>
        <w:adjustRightInd/>
        <w:snapToGrid/>
        <w:ind w:firstLine="664"/>
        <w:contextualSpacing/>
        <w:rPr>
          <w:sz w:val="32"/>
          <w:szCs w:val="32"/>
        </w:rPr>
      </w:pPr>
      <w:r>
        <w:rPr>
          <w:rFonts w:hint="eastAsia"/>
          <w:sz w:val="32"/>
          <w:szCs w:val="32"/>
        </w:rPr>
        <w:t>浮梁县市场监督管理局贯彻落实党中央关于市场监督管理工作的方针政策和决策部署，在履行职责过程中坚持和加强党对市场监督管理工作的集中统一领导。主要职责是：</w:t>
      </w:r>
    </w:p>
    <w:p w14:paraId="265FF8E2">
      <w:pPr>
        <w:adjustRightInd/>
        <w:snapToGrid/>
        <w:ind w:firstLine="664"/>
        <w:contextualSpacing/>
        <w:rPr>
          <w:sz w:val="32"/>
          <w:szCs w:val="32"/>
        </w:rPr>
      </w:pPr>
      <w:r>
        <w:rPr>
          <w:rFonts w:hint="eastAsia"/>
          <w:sz w:val="32"/>
          <w:szCs w:val="32"/>
        </w:rPr>
        <w:t>（1）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060BA704">
      <w:pPr>
        <w:adjustRightInd/>
        <w:snapToGrid/>
        <w:ind w:firstLine="664"/>
        <w:contextualSpacing/>
        <w:rPr>
          <w:sz w:val="32"/>
          <w:szCs w:val="32"/>
        </w:rPr>
      </w:pPr>
      <w:r>
        <w:rPr>
          <w:rFonts w:hint="eastAsia"/>
          <w:sz w:val="32"/>
          <w:szCs w:val="32"/>
        </w:rPr>
        <w:t>（2）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040CCC69">
      <w:pPr>
        <w:adjustRightInd/>
        <w:snapToGrid/>
        <w:ind w:firstLine="664"/>
        <w:contextualSpacing/>
        <w:rPr>
          <w:sz w:val="32"/>
          <w:szCs w:val="32"/>
        </w:rPr>
      </w:pPr>
      <w:r>
        <w:rPr>
          <w:rFonts w:hint="eastAsia"/>
          <w:sz w:val="32"/>
          <w:szCs w:val="32"/>
        </w:rPr>
        <w:t>（3）负责指导和监督市场监管综合执法工作。整合建设市场监管综合执法队伍，推动实行统一的市场监管。</w:t>
      </w:r>
    </w:p>
    <w:p w14:paraId="7DBEC6E5">
      <w:pPr>
        <w:adjustRightInd/>
        <w:snapToGrid/>
        <w:ind w:firstLine="664"/>
        <w:contextualSpacing/>
        <w:rPr>
          <w:sz w:val="32"/>
          <w:szCs w:val="32"/>
        </w:rPr>
      </w:pPr>
      <w:r>
        <w:rPr>
          <w:rFonts w:hint="eastAsia"/>
          <w:sz w:val="32"/>
          <w:szCs w:val="32"/>
        </w:rPr>
        <w:t>（4）依据授权，承担负责反垄断执法调查工作。统筹推进竞争政策实施，组织实施公平竞争审查制度。依法依授权进行反垄断调查及执法工作。</w:t>
      </w:r>
    </w:p>
    <w:p w14:paraId="2F002018">
      <w:pPr>
        <w:adjustRightInd/>
        <w:snapToGrid/>
        <w:ind w:firstLine="664"/>
        <w:contextualSpacing/>
        <w:rPr>
          <w:sz w:val="32"/>
          <w:szCs w:val="32"/>
        </w:rPr>
      </w:pPr>
      <w:r>
        <w:rPr>
          <w:rFonts w:hint="eastAsia"/>
          <w:sz w:val="32"/>
          <w:szCs w:val="32"/>
        </w:rPr>
        <w:t>（5）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2B719016">
      <w:pPr>
        <w:adjustRightInd/>
        <w:snapToGrid/>
        <w:ind w:firstLine="664"/>
        <w:contextualSpacing/>
        <w:rPr>
          <w:sz w:val="32"/>
          <w:szCs w:val="32"/>
        </w:rPr>
      </w:pPr>
      <w:r>
        <w:rPr>
          <w:rFonts w:hint="eastAsia"/>
          <w:sz w:val="32"/>
          <w:szCs w:val="32"/>
        </w:rPr>
        <w:t>（6）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493922D5">
      <w:pPr>
        <w:adjustRightInd/>
        <w:snapToGrid/>
        <w:ind w:firstLine="664"/>
        <w:contextualSpacing/>
        <w:rPr>
          <w:sz w:val="32"/>
          <w:szCs w:val="32"/>
        </w:rPr>
      </w:pPr>
      <w:r>
        <w:rPr>
          <w:rFonts w:hint="eastAsia"/>
          <w:sz w:val="32"/>
          <w:szCs w:val="32"/>
        </w:rPr>
        <w:t>（7）负责产品质量安全监督管理。负责全县产品质量安全风险监控、监督抽查工作。组织实施质量分级制度、质量安全追溯制度。负责工业产品生产许可管理。</w:t>
      </w:r>
    </w:p>
    <w:p w14:paraId="10FE9C27">
      <w:pPr>
        <w:adjustRightInd/>
        <w:snapToGrid/>
        <w:ind w:firstLine="664"/>
        <w:contextualSpacing/>
        <w:rPr>
          <w:sz w:val="32"/>
          <w:szCs w:val="32"/>
        </w:rPr>
      </w:pPr>
      <w:r>
        <w:rPr>
          <w:rFonts w:hint="eastAsia"/>
          <w:sz w:val="32"/>
          <w:szCs w:val="32"/>
        </w:rPr>
        <w:t>（8）负责特种设备安全监督管理。综合管理特种设备安全监察、监督工作，监督检查高耗能特种设备节能标准和锅炉环境保护标准的执行情况。</w:t>
      </w:r>
    </w:p>
    <w:p w14:paraId="4D717D81">
      <w:pPr>
        <w:adjustRightInd/>
        <w:snapToGrid/>
        <w:ind w:firstLine="664"/>
        <w:contextualSpacing/>
        <w:rPr>
          <w:sz w:val="32"/>
          <w:szCs w:val="32"/>
        </w:rPr>
      </w:pPr>
      <w:r>
        <w:rPr>
          <w:rFonts w:hint="eastAsia"/>
          <w:sz w:val="32"/>
          <w:szCs w:val="32"/>
        </w:rPr>
        <w:t>（9）负责食品安全监督管理综合协调。贯彻落实并组织实施食品安全重大政策。承担县食品安全委员会日常工作。</w:t>
      </w:r>
    </w:p>
    <w:p w14:paraId="772E7945">
      <w:pPr>
        <w:adjustRightInd/>
        <w:snapToGrid/>
        <w:ind w:firstLine="664"/>
        <w:contextualSpacing/>
        <w:rPr>
          <w:sz w:val="32"/>
          <w:szCs w:val="32"/>
        </w:rPr>
      </w:pPr>
      <w:r>
        <w:rPr>
          <w:rFonts w:hint="eastAsia"/>
          <w:sz w:val="32"/>
          <w:szCs w:val="32"/>
        </w:rP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37264D70">
      <w:pPr>
        <w:adjustRightInd/>
        <w:snapToGrid/>
        <w:ind w:firstLine="664"/>
        <w:contextualSpacing/>
        <w:rPr>
          <w:sz w:val="32"/>
          <w:szCs w:val="32"/>
        </w:rPr>
      </w:pPr>
      <w:r>
        <w:rPr>
          <w:rFonts w:hint="eastAsia"/>
          <w:sz w:val="32"/>
          <w:szCs w:val="32"/>
        </w:rPr>
        <w:t>（11）负责统一管理计量工作。推行并执行法定计量单位和国家计量制度，管理计量器具及量值传递和比对工作。规范、监督商品量和市场计量行为。</w:t>
      </w:r>
    </w:p>
    <w:p w14:paraId="4609D21F">
      <w:pPr>
        <w:adjustRightInd/>
        <w:snapToGrid/>
        <w:ind w:firstLine="664"/>
        <w:contextualSpacing/>
        <w:rPr>
          <w:sz w:val="32"/>
          <w:szCs w:val="32"/>
        </w:rPr>
      </w:pPr>
      <w:r>
        <w:rPr>
          <w:rFonts w:hint="eastAsia"/>
          <w:sz w:val="32"/>
          <w:szCs w:val="32"/>
        </w:rPr>
        <w:t>（12）负责统一管理标准化工作。依法承担地方标准的立项、编号和发布等工作，依法协调指导和监督地方标准、团体标准制定工作，管理全县标准化技术委员会。</w:t>
      </w:r>
    </w:p>
    <w:p w14:paraId="177A2777">
      <w:pPr>
        <w:adjustRightInd/>
        <w:snapToGrid/>
        <w:ind w:firstLine="664"/>
        <w:contextualSpacing/>
        <w:rPr>
          <w:sz w:val="32"/>
          <w:szCs w:val="32"/>
        </w:rPr>
      </w:pPr>
      <w:r>
        <w:rPr>
          <w:rFonts w:hint="eastAsia"/>
          <w:sz w:val="32"/>
          <w:szCs w:val="32"/>
        </w:rPr>
        <w:t>（13）负责统一管理认证认可与检验检测工作。落实认证认可与检验检测监督管理制度、措施，指导协调认证认可与检验检测行业发展，依法监督管理认证认可与检验检测工作。</w:t>
      </w:r>
    </w:p>
    <w:p w14:paraId="0430082F">
      <w:pPr>
        <w:adjustRightInd/>
        <w:snapToGrid/>
        <w:ind w:firstLine="664"/>
        <w:contextualSpacing/>
        <w:rPr>
          <w:sz w:val="32"/>
          <w:szCs w:val="32"/>
        </w:rPr>
      </w:pPr>
      <w:r>
        <w:rPr>
          <w:rFonts w:hint="eastAsia"/>
          <w:sz w:val="32"/>
          <w:szCs w:val="32"/>
        </w:rPr>
        <w:t>（14）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2D56A57C">
      <w:pPr>
        <w:adjustRightInd/>
        <w:snapToGrid/>
        <w:ind w:firstLine="664"/>
        <w:contextualSpacing/>
        <w:rPr>
          <w:sz w:val="32"/>
          <w:szCs w:val="32"/>
        </w:rPr>
      </w:pPr>
      <w:r>
        <w:rPr>
          <w:rFonts w:hint="eastAsia"/>
          <w:sz w:val="32"/>
          <w:szCs w:val="32"/>
        </w:rPr>
        <w:t>（15）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520B5306">
      <w:pPr>
        <w:adjustRightInd/>
        <w:snapToGrid/>
        <w:ind w:firstLine="664"/>
        <w:contextualSpacing/>
        <w:rPr>
          <w:sz w:val="32"/>
          <w:szCs w:val="32"/>
        </w:rPr>
      </w:pPr>
      <w:r>
        <w:rPr>
          <w:rFonts w:hint="eastAsia"/>
          <w:sz w:val="32"/>
          <w:szCs w:val="32"/>
        </w:rPr>
        <w:t>（16）负责市场监督管理科技和信息化建设、新闻宣传。</w:t>
      </w:r>
    </w:p>
    <w:p w14:paraId="3F9A04B8">
      <w:pPr>
        <w:adjustRightInd/>
        <w:snapToGrid/>
        <w:ind w:firstLine="664"/>
        <w:contextualSpacing/>
        <w:rPr>
          <w:sz w:val="32"/>
          <w:szCs w:val="32"/>
        </w:rPr>
      </w:pPr>
      <w:r>
        <w:rPr>
          <w:rFonts w:hint="eastAsia"/>
          <w:sz w:val="32"/>
          <w:szCs w:val="32"/>
        </w:rPr>
        <w:t>（17）完成县委、县政府交办的其他任务。</w:t>
      </w:r>
    </w:p>
    <w:p w14:paraId="558E6971">
      <w:pPr>
        <w:adjustRightInd/>
        <w:snapToGrid/>
        <w:ind w:firstLine="664"/>
        <w:contextualSpacing/>
        <w:rPr>
          <w:sz w:val="32"/>
          <w:szCs w:val="32"/>
        </w:rPr>
      </w:pPr>
      <w:r>
        <w:rPr>
          <w:rFonts w:hint="eastAsia"/>
          <w:sz w:val="32"/>
          <w:szCs w:val="32"/>
        </w:rPr>
        <w:t>（18）职能转变。</w:t>
      </w:r>
    </w:p>
    <w:p w14:paraId="3F3390C9">
      <w:pPr>
        <w:adjustRightInd/>
        <w:snapToGrid/>
        <w:ind w:firstLine="667"/>
        <w:contextualSpacing/>
        <w:rPr>
          <w:b/>
          <w:bCs/>
          <w:sz w:val="32"/>
          <w:szCs w:val="32"/>
        </w:rPr>
      </w:pPr>
      <w:r>
        <w:rPr>
          <w:rFonts w:hint="eastAsia"/>
          <w:b/>
          <w:bCs/>
          <w:sz w:val="32"/>
          <w:szCs w:val="32"/>
        </w:rPr>
        <w:t>2.部门组织架构</w:t>
      </w:r>
    </w:p>
    <w:p w14:paraId="40772D39">
      <w:pPr>
        <w:adjustRightInd/>
        <w:snapToGrid/>
        <w:ind w:firstLine="640"/>
        <w:contextualSpacing/>
        <w:rPr>
          <w:rFonts w:hAnsi="仿宋_GB2312" w:cs="仿宋_GB2312"/>
          <w:spacing w:val="0"/>
          <w:sz w:val="32"/>
          <w:szCs w:val="32"/>
        </w:rPr>
      </w:pPr>
      <w:r>
        <w:rPr>
          <w:rFonts w:hint="eastAsia" w:hAnsi="仿宋_GB2312" w:cs="仿宋_GB2312"/>
          <w:spacing w:val="0"/>
          <w:sz w:val="32"/>
          <w:szCs w:val="32"/>
        </w:rPr>
        <w:t>浮梁县市监局共有局本级</w:t>
      </w:r>
      <w:r>
        <w:rPr>
          <w:rFonts w:hAnsi="仿宋_GB2312" w:cs="仿宋_GB2312"/>
          <w:spacing w:val="0"/>
          <w:sz w:val="32"/>
          <w:szCs w:val="32"/>
        </w:rPr>
        <w:t>、</w:t>
      </w:r>
      <w:r>
        <w:rPr>
          <w:rFonts w:hint="eastAsia" w:hAnsi="仿宋_GB2312" w:cs="仿宋_GB2312"/>
          <w:spacing w:val="0"/>
          <w:sz w:val="32"/>
          <w:szCs w:val="32"/>
        </w:rPr>
        <w:t>浮梁县市场监督管理执法稽查局和浮梁县检验检测认证中心等3个预算单位</w:t>
      </w:r>
      <w:r>
        <w:rPr>
          <w:rFonts w:hAnsi="仿宋_GB2312" w:cs="仿宋_GB2312"/>
          <w:spacing w:val="0"/>
          <w:sz w:val="32"/>
          <w:szCs w:val="32"/>
        </w:rPr>
        <w:t>，内</w:t>
      </w:r>
      <w:r>
        <w:rPr>
          <w:rFonts w:hint="eastAsia" w:hAnsi="仿宋_GB2312" w:cs="仿宋_GB2312"/>
          <w:spacing w:val="0"/>
          <w:sz w:val="32"/>
          <w:szCs w:val="32"/>
        </w:rPr>
        <w:t>设办公室、法规股、政务服务股</w:t>
      </w:r>
      <w:r>
        <w:rPr>
          <w:rFonts w:hAnsi="仿宋_GB2312" w:cs="仿宋_GB2312"/>
          <w:spacing w:val="0"/>
          <w:sz w:val="32"/>
          <w:szCs w:val="32"/>
        </w:rPr>
        <w:t>等</w:t>
      </w:r>
      <w:r>
        <w:rPr>
          <w:rFonts w:hint="eastAsia" w:hAnsi="仿宋_GB2312" w:cs="仿宋_GB2312"/>
          <w:spacing w:val="0"/>
          <w:sz w:val="32"/>
          <w:szCs w:val="32"/>
        </w:rPr>
        <w:t>14</w:t>
      </w:r>
      <w:r>
        <w:rPr>
          <w:rFonts w:hAnsi="仿宋_GB2312" w:cs="仿宋_GB2312"/>
          <w:spacing w:val="0"/>
          <w:sz w:val="32"/>
          <w:szCs w:val="32"/>
        </w:rPr>
        <w:t>个职能科室，并</w:t>
      </w:r>
      <w:r>
        <w:rPr>
          <w:rFonts w:hint="eastAsia" w:hAnsi="仿宋_GB2312" w:cs="仿宋_GB2312"/>
          <w:spacing w:val="0"/>
          <w:sz w:val="32"/>
          <w:szCs w:val="32"/>
        </w:rPr>
        <w:t>下设城关分局、鹅湖分局、湘湖分局等7个派出机构。</w:t>
      </w:r>
    </w:p>
    <w:p w14:paraId="58AC97BF">
      <w:pPr>
        <w:adjustRightInd/>
        <w:snapToGrid/>
        <w:spacing w:line="240" w:lineRule="auto"/>
        <w:ind w:firstLine="560"/>
        <w:contextualSpacing/>
      </w:pPr>
      <w:r>
        <w:drawing>
          <wp:inline distT="0" distB="0" distL="0" distR="0">
            <wp:extent cx="5480050" cy="19558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486400" cy="1957940"/>
                    </a:xfrm>
                    <a:prstGeom prst="rect">
                      <a:avLst/>
                    </a:prstGeom>
                  </pic:spPr>
                </pic:pic>
              </a:graphicData>
            </a:graphic>
          </wp:inline>
        </w:drawing>
      </w:r>
    </w:p>
    <w:p w14:paraId="333CF39D">
      <w:pPr>
        <w:spacing w:line="240" w:lineRule="auto"/>
        <w:ind w:firstLine="0" w:firstLineChars="0"/>
        <w:jc w:val="center"/>
        <w:rPr>
          <w:rFonts w:ascii="黑体" w:hAnsi="黑体" w:eastAsia="黑体"/>
          <w:sz w:val="21"/>
          <w:szCs w:val="21"/>
        </w:rPr>
      </w:pPr>
      <w:r>
        <w:rPr>
          <w:rFonts w:hint="eastAsia" w:ascii="黑体" w:hAnsi="黑体" w:eastAsia="黑体"/>
          <w:sz w:val="21"/>
          <w:szCs w:val="21"/>
        </w:rPr>
        <w:t>图1-1  浮梁县市场监督管理局组织架构图</w:t>
      </w:r>
    </w:p>
    <w:p w14:paraId="3BE2B02D">
      <w:pPr>
        <w:adjustRightInd/>
        <w:snapToGrid/>
        <w:ind w:firstLine="643"/>
        <w:contextualSpacing/>
        <w:rPr>
          <w:rFonts w:hAnsi="仿宋_GB2312" w:cs="仿宋_GB2312"/>
          <w:b/>
          <w:spacing w:val="0"/>
          <w:sz w:val="32"/>
          <w:szCs w:val="32"/>
        </w:rPr>
      </w:pPr>
      <w:r>
        <w:rPr>
          <w:rFonts w:hint="eastAsia" w:hAnsi="仿宋_GB2312" w:cs="仿宋_GB2312"/>
          <w:b/>
          <w:spacing w:val="0"/>
          <w:sz w:val="32"/>
          <w:szCs w:val="32"/>
        </w:rPr>
        <w:t>3.人员情况</w:t>
      </w:r>
    </w:p>
    <w:p w14:paraId="36A71649">
      <w:pPr>
        <w:adjustRightInd/>
        <w:snapToGrid/>
        <w:ind w:firstLine="640"/>
        <w:contextualSpacing/>
        <w:rPr>
          <w:rFonts w:hAnsi="仿宋_GB2312" w:cs="仿宋_GB2312"/>
          <w:spacing w:val="0"/>
          <w:sz w:val="32"/>
          <w:szCs w:val="32"/>
        </w:rPr>
      </w:pPr>
      <w:r>
        <w:rPr>
          <w:rFonts w:hint="eastAsia" w:hAnsi="仿宋_GB2312" w:cs="仿宋_GB2312"/>
          <w:spacing w:val="0"/>
          <w:sz w:val="32"/>
          <w:szCs w:val="32"/>
        </w:rPr>
        <w:t>浮梁县市场监督管理局（含下属单位）核定编制数共有</w:t>
      </w:r>
      <w:r>
        <w:rPr>
          <w:rFonts w:hAnsi="仿宋_GB2312" w:cs="仿宋_GB2312"/>
          <w:spacing w:val="0"/>
          <w:sz w:val="32"/>
          <w:szCs w:val="32"/>
        </w:rPr>
        <w:t>105个，其中公务员69个，全部补助事业编制36个。截</w:t>
      </w:r>
      <w:r>
        <w:rPr>
          <w:rFonts w:hint="eastAsia" w:hAnsi="仿宋_GB2312" w:cs="仿宋_GB2312"/>
          <w:spacing w:val="0"/>
          <w:sz w:val="32"/>
          <w:szCs w:val="32"/>
        </w:rPr>
        <w:t>至</w:t>
      </w:r>
      <w:r>
        <w:rPr>
          <w:rFonts w:hAnsi="仿宋_GB2312" w:cs="仿宋_GB2312"/>
          <w:spacing w:val="0"/>
          <w:sz w:val="32"/>
          <w:szCs w:val="32"/>
        </w:rPr>
        <w:t>2023年底，实有人数88人，其中公务员54人，事业编34人。另有退休人员53人，临时人员41人（含合同制聘用</w:t>
      </w:r>
      <w:r>
        <w:rPr>
          <w:rFonts w:hint="eastAsia" w:hAnsi="仿宋_GB2312" w:cs="仿宋_GB2312"/>
          <w:spacing w:val="0"/>
          <w:sz w:val="32"/>
          <w:szCs w:val="32"/>
        </w:rPr>
        <w:t>13人</w:t>
      </w:r>
      <w:r>
        <w:rPr>
          <w:rFonts w:hAnsi="仿宋_GB2312" w:cs="仿宋_GB2312"/>
          <w:spacing w:val="0"/>
          <w:sz w:val="32"/>
          <w:szCs w:val="32"/>
        </w:rPr>
        <w:t>）。</w:t>
      </w:r>
    </w:p>
    <w:p w14:paraId="097D970F">
      <w:pPr>
        <w:adjustRightInd/>
        <w:snapToGrid/>
        <w:ind w:firstLine="643"/>
        <w:contextualSpacing/>
        <w:rPr>
          <w:b/>
          <w:sz w:val="32"/>
          <w:szCs w:val="32"/>
        </w:rPr>
      </w:pPr>
      <w:r>
        <w:rPr>
          <w:rFonts w:hint="eastAsia" w:hAnsi="仿宋_GB2312" w:cs="仿宋_GB2312"/>
          <w:b/>
          <w:spacing w:val="0"/>
          <w:sz w:val="32"/>
          <w:szCs w:val="32"/>
        </w:rPr>
        <w:t>4.资产管理情况</w:t>
      </w:r>
    </w:p>
    <w:p w14:paraId="6816DFDE">
      <w:pPr>
        <w:adjustRightInd/>
        <w:snapToGrid/>
        <w:ind w:firstLine="664"/>
        <w:contextualSpacing/>
        <w:rPr>
          <w:sz w:val="32"/>
          <w:szCs w:val="32"/>
        </w:rPr>
      </w:pPr>
      <w:r>
        <w:rPr>
          <w:rFonts w:hint="eastAsia"/>
          <w:sz w:val="32"/>
          <w:szCs w:val="32"/>
        </w:rPr>
        <w:t>2023年末，</w:t>
      </w:r>
      <w:r>
        <w:rPr>
          <w:rFonts w:hint="eastAsia" w:hAnsi="仿宋_GB2312" w:cs="仿宋_GB2312"/>
          <w:spacing w:val="0"/>
          <w:sz w:val="32"/>
          <w:szCs w:val="32"/>
        </w:rPr>
        <w:t>浮梁县市监局</w:t>
      </w:r>
      <w:r>
        <w:rPr>
          <w:rFonts w:hint="eastAsia"/>
          <w:sz w:val="32"/>
          <w:szCs w:val="32"/>
        </w:rPr>
        <w:t>固定资产原值</w:t>
      </w:r>
      <w:r>
        <w:rPr>
          <w:sz w:val="32"/>
          <w:szCs w:val="32"/>
        </w:rPr>
        <w:t>1,531.72万</w:t>
      </w:r>
      <w:r>
        <w:rPr>
          <w:rFonts w:hint="eastAsia"/>
          <w:sz w:val="32"/>
          <w:szCs w:val="32"/>
        </w:rPr>
        <w:t>元，折旧</w:t>
      </w:r>
      <w:r>
        <w:rPr>
          <w:sz w:val="32"/>
          <w:szCs w:val="32"/>
        </w:rPr>
        <w:t>431.23万</w:t>
      </w:r>
      <w:r>
        <w:rPr>
          <w:rFonts w:hint="eastAsia"/>
          <w:sz w:val="32"/>
          <w:szCs w:val="32"/>
        </w:rPr>
        <w:t>元，净值</w:t>
      </w:r>
      <w:r>
        <w:rPr>
          <w:sz w:val="32"/>
          <w:szCs w:val="32"/>
        </w:rPr>
        <w:t>1,100.49万</w:t>
      </w:r>
      <w:r>
        <w:rPr>
          <w:rFonts w:hint="eastAsia"/>
          <w:sz w:val="32"/>
          <w:szCs w:val="32"/>
        </w:rPr>
        <w:t>元。固定资产情况如下表所示：</w:t>
      </w:r>
    </w:p>
    <w:p w14:paraId="5F8A88C7">
      <w:pPr>
        <w:ind w:firstLine="0" w:firstLineChars="0"/>
        <w:jc w:val="center"/>
        <w:rPr>
          <w:rFonts w:ascii="黑体" w:hAnsi="黑体" w:eastAsia="黑体" w:cs="Times New Roman"/>
          <w:sz w:val="21"/>
          <w:szCs w:val="24"/>
        </w:rPr>
      </w:pPr>
      <w:r>
        <w:rPr>
          <w:rFonts w:hint="eastAsia" w:ascii="黑体" w:hAnsi="黑体" w:eastAsia="黑体" w:cs="Times New Roman"/>
          <w:sz w:val="21"/>
          <w:szCs w:val="24"/>
        </w:rPr>
        <w:t>表1</w:t>
      </w:r>
      <w:r>
        <w:rPr>
          <w:rFonts w:ascii="黑体" w:hAnsi="黑体" w:eastAsia="黑体" w:cs="Times New Roman"/>
          <w:sz w:val="21"/>
          <w:szCs w:val="24"/>
        </w:rPr>
        <w:t>-</w:t>
      </w:r>
      <w:r>
        <w:rPr>
          <w:rFonts w:hint="eastAsia" w:ascii="黑体" w:hAnsi="黑体" w:eastAsia="黑体" w:cs="Times New Roman"/>
          <w:sz w:val="21"/>
          <w:szCs w:val="24"/>
        </w:rPr>
        <w:t>1浮梁县市监局固定资产统计表</w:t>
      </w:r>
    </w:p>
    <w:p w14:paraId="0548D8AD">
      <w:pPr>
        <w:spacing w:line="240" w:lineRule="auto"/>
        <w:ind w:firstLine="0" w:firstLineChars="0"/>
        <w:jc w:val="right"/>
        <w:rPr>
          <w:rFonts w:cs="Times New Roman"/>
          <w:b/>
          <w:sz w:val="21"/>
          <w:szCs w:val="24"/>
        </w:rPr>
      </w:pPr>
      <w:r>
        <w:rPr>
          <w:rFonts w:hint="eastAsia" w:cs="Times New Roman"/>
          <w:b/>
          <w:sz w:val="21"/>
          <w:szCs w:val="24"/>
        </w:rPr>
        <w:t>单位：万元</w:t>
      </w:r>
    </w:p>
    <w:tbl>
      <w:tblPr>
        <w:tblStyle w:val="12"/>
        <w:tblW w:w="8868" w:type="dxa"/>
        <w:jc w:val="center"/>
        <w:tblLayout w:type="fixed"/>
        <w:tblCellMar>
          <w:top w:w="0" w:type="dxa"/>
          <w:left w:w="108" w:type="dxa"/>
          <w:bottom w:w="0" w:type="dxa"/>
          <w:right w:w="108" w:type="dxa"/>
        </w:tblCellMar>
      </w:tblPr>
      <w:tblGrid>
        <w:gridCol w:w="4048"/>
        <w:gridCol w:w="1276"/>
        <w:gridCol w:w="1843"/>
        <w:gridCol w:w="1701"/>
      </w:tblGrid>
      <w:tr w14:paraId="497896ED">
        <w:tblPrEx>
          <w:tblCellMar>
            <w:top w:w="0" w:type="dxa"/>
            <w:left w:w="108" w:type="dxa"/>
            <w:bottom w:w="0" w:type="dxa"/>
            <w:right w:w="108" w:type="dxa"/>
          </w:tblCellMar>
        </w:tblPrEx>
        <w:trPr>
          <w:trHeight w:val="397" w:hRule="atLeast"/>
          <w:tblHeader/>
          <w:jc w:val="center"/>
        </w:trPr>
        <w:tc>
          <w:tcPr>
            <w:tcW w:w="4048" w:type="dxa"/>
            <w:vMerge w:val="restart"/>
            <w:tcBorders>
              <w:top w:val="single" w:color="auto" w:sz="4" w:space="0"/>
              <w:left w:val="single" w:color="auto" w:sz="4" w:space="0"/>
              <w:bottom w:val="single" w:color="auto" w:sz="4" w:space="0"/>
              <w:right w:val="single" w:color="auto" w:sz="4" w:space="0"/>
            </w:tcBorders>
            <w:noWrap/>
            <w:vAlign w:val="center"/>
          </w:tcPr>
          <w:p w14:paraId="37C496F6">
            <w:pPr>
              <w:widowControl/>
              <w:spacing w:line="240" w:lineRule="auto"/>
              <w:ind w:firstLine="0" w:firstLineChars="0"/>
              <w:jc w:val="center"/>
              <w:rPr>
                <w:rFonts w:cs="宋体"/>
                <w:b/>
                <w:spacing w:val="0"/>
                <w:kern w:val="0"/>
                <w:sz w:val="21"/>
                <w:szCs w:val="21"/>
              </w:rPr>
            </w:pPr>
            <w:r>
              <w:rPr>
                <w:rFonts w:hint="eastAsia" w:cs="宋体"/>
                <w:b/>
                <w:spacing w:val="0"/>
                <w:kern w:val="0"/>
                <w:sz w:val="21"/>
                <w:szCs w:val="21"/>
              </w:rPr>
              <w:t>单位名称</w:t>
            </w:r>
          </w:p>
        </w:tc>
        <w:tc>
          <w:tcPr>
            <w:tcW w:w="1276" w:type="dxa"/>
            <w:vMerge w:val="restart"/>
            <w:tcBorders>
              <w:top w:val="single" w:color="auto" w:sz="4" w:space="0"/>
              <w:left w:val="nil"/>
              <w:bottom w:val="single" w:color="auto" w:sz="4" w:space="0"/>
              <w:right w:val="single" w:color="auto" w:sz="4" w:space="0"/>
            </w:tcBorders>
            <w:noWrap/>
            <w:vAlign w:val="center"/>
          </w:tcPr>
          <w:p w14:paraId="763677FE">
            <w:pPr>
              <w:widowControl/>
              <w:spacing w:line="240" w:lineRule="auto"/>
              <w:ind w:firstLine="0" w:firstLineChars="0"/>
              <w:jc w:val="center"/>
              <w:rPr>
                <w:rFonts w:cs="宋体"/>
                <w:b/>
                <w:spacing w:val="0"/>
                <w:kern w:val="0"/>
                <w:sz w:val="21"/>
                <w:szCs w:val="21"/>
              </w:rPr>
            </w:pPr>
            <w:r>
              <w:rPr>
                <w:rFonts w:hint="eastAsia" w:cs="宋体"/>
                <w:b/>
                <w:spacing w:val="0"/>
                <w:kern w:val="0"/>
                <w:sz w:val="21"/>
                <w:szCs w:val="21"/>
              </w:rPr>
              <w:t>资产净值</w:t>
            </w:r>
          </w:p>
        </w:tc>
        <w:tc>
          <w:tcPr>
            <w:tcW w:w="3544" w:type="dxa"/>
            <w:gridSpan w:val="2"/>
            <w:tcBorders>
              <w:top w:val="single" w:color="auto" w:sz="4" w:space="0"/>
              <w:left w:val="nil"/>
              <w:bottom w:val="single" w:color="auto" w:sz="4" w:space="0"/>
              <w:right w:val="single" w:color="auto" w:sz="4" w:space="0"/>
            </w:tcBorders>
            <w:noWrap/>
            <w:vAlign w:val="center"/>
          </w:tcPr>
          <w:p w14:paraId="5BA3803D">
            <w:pPr>
              <w:widowControl/>
              <w:spacing w:line="240" w:lineRule="auto"/>
              <w:ind w:firstLine="0" w:firstLineChars="0"/>
              <w:jc w:val="center"/>
              <w:rPr>
                <w:rFonts w:cs="宋体"/>
                <w:b/>
                <w:spacing w:val="0"/>
                <w:kern w:val="0"/>
                <w:sz w:val="21"/>
                <w:szCs w:val="21"/>
              </w:rPr>
            </w:pPr>
            <w:r>
              <w:rPr>
                <w:rFonts w:hint="eastAsia" w:cs="宋体"/>
                <w:b/>
                <w:spacing w:val="0"/>
                <w:kern w:val="0"/>
                <w:sz w:val="21"/>
                <w:szCs w:val="21"/>
              </w:rPr>
              <w:t>固定资产</w:t>
            </w:r>
          </w:p>
        </w:tc>
      </w:tr>
      <w:tr w14:paraId="5A508EDA">
        <w:tblPrEx>
          <w:tblCellMar>
            <w:top w:w="0" w:type="dxa"/>
            <w:left w:w="108" w:type="dxa"/>
            <w:bottom w:w="0" w:type="dxa"/>
            <w:right w:w="108" w:type="dxa"/>
          </w:tblCellMar>
        </w:tblPrEx>
        <w:trPr>
          <w:trHeight w:val="397" w:hRule="atLeast"/>
          <w:tblHeader/>
          <w:jc w:val="center"/>
        </w:trPr>
        <w:tc>
          <w:tcPr>
            <w:tcW w:w="4048" w:type="dxa"/>
            <w:vMerge w:val="continue"/>
            <w:tcBorders>
              <w:top w:val="single" w:color="auto" w:sz="4" w:space="0"/>
              <w:left w:val="single" w:color="auto" w:sz="4" w:space="0"/>
              <w:bottom w:val="single" w:color="auto" w:sz="4" w:space="0"/>
              <w:right w:val="single" w:color="auto" w:sz="4" w:space="0"/>
            </w:tcBorders>
            <w:vAlign w:val="center"/>
          </w:tcPr>
          <w:p w14:paraId="4167D38D">
            <w:pPr>
              <w:widowControl/>
              <w:spacing w:line="240" w:lineRule="auto"/>
              <w:ind w:firstLine="0" w:firstLineChars="0"/>
              <w:jc w:val="left"/>
              <w:rPr>
                <w:rFonts w:cs="宋体"/>
                <w:b/>
                <w:spacing w:val="0"/>
                <w:kern w:val="0"/>
                <w:sz w:val="21"/>
                <w:szCs w:val="21"/>
              </w:rPr>
            </w:pPr>
          </w:p>
        </w:tc>
        <w:tc>
          <w:tcPr>
            <w:tcW w:w="1276" w:type="dxa"/>
            <w:vMerge w:val="continue"/>
            <w:tcBorders>
              <w:top w:val="single" w:color="auto" w:sz="4" w:space="0"/>
              <w:left w:val="nil"/>
              <w:bottom w:val="single" w:color="auto" w:sz="4" w:space="0"/>
              <w:right w:val="single" w:color="auto" w:sz="4" w:space="0"/>
            </w:tcBorders>
            <w:vAlign w:val="center"/>
          </w:tcPr>
          <w:p w14:paraId="05B8F2C8">
            <w:pPr>
              <w:widowControl/>
              <w:spacing w:line="240" w:lineRule="auto"/>
              <w:ind w:firstLine="0" w:firstLineChars="0"/>
              <w:jc w:val="left"/>
              <w:rPr>
                <w:rFonts w:cs="宋体"/>
                <w:b/>
                <w:spacing w:val="0"/>
                <w:kern w:val="0"/>
                <w:sz w:val="21"/>
                <w:szCs w:val="21"/>
              </w:rPr>
            </w:pPr>
          </w:p>
        </w:tc>
        <w:tc>
          <w:tcPr>
            <w:tcW w:w="1843" w:type="dxa"/>
            <w:tcBorders>
              <w:top w:val="single" w:color="auto" w:sz="4" w:space="0"/>
              <w:left w:val="nil"/>
              <w:bottom w:val="single" w:color="auto" w:sz="4" w:space="0"/>
              <w:right w:val="single" w:color="auto" w:sz="4" w:space="0"/>
            </w:tcBorders>
            <w:noWrap/>
            <w:vAlign w:val="center"/>
          </w:tcPr>
          <w:p w14:paraId="0176F757">
            <w:pPr>
              <w:widowControl/>
              <w:spacing w:line="240" w:lineRule="auto"/>
              <w:ind w:firstLine="0" w:firstLineChars="0"/>
              <w:jc w:val="center"/>
              <w:rPr>
                <w:rFonts w:cs="宋体"/>
                <w:b/>
                <w:spacing w:val="0"/>
                <w:kern w:val="0"/>
                <w:sz w:val="21"/>
                <w:szCs w:val="21"/>
              </w:rPr>
            </w:pPr>
            <w:r>
              <w:rPr>
                <w:rFonts w:hint="eastAsia" w:cs="宋体"/>
                <w:b/>
                <w:spacing w:val="0"/>
                <w:kern w:val="0"/>
                <w:sz w:val="21"/>
                <w:szCs w:val="21"/>
              </w:rPr>
              <w:t>原值</w:t>
            </w:r>
          </w:p>
        </w:tc>
        <w:tc>
          <w:tcPr>
            <w:tcW w:w="1701" w:type="dxa"/>
            <w:tcBorders>
              <w:top w:val="single" w:color="auto" w:sz="4" w:space="0"/>
              <w:left w:val="nil"/>
              <w:bottom w:val="single" w:color="auto" w:sz="4" w:space="0"/>
              <w:right w:val="single" w:color="auto" w:sz="4" w:space="0"/>
            </w:tcBorders>
            <w:noWrap/>
            <w:vAlign w:val="center"/>
          </w:tcPr>
          <w:p w14:paraId="4CDCC755">
            <w:pPr>
              <w:widowControl/>
              <w:spacing w:line="240" w:lineRule="auto"/>
              <w:ind w:firstLine="0" w:firstLineChars="0"/>
              <w:jc w:val="center"/>
              <w:rPr>
                <w:rFonts w:cs="宋体"/>
                <w:b/>
                <w:spacing w:val="0"/>
                <w:kern w:val="0"/>
                <w:sz w:val="21"/>
                <w:szCs w:val="21"/>
              </w:rPr>
            </w:pPr>
            <w:r>
              <w:rPr>
                <w:rFonts w:hint="eastAsia" w:cs="宋体"/>
                <w:b/>
                <w:spacing w:val="0"/>
                <w:kern w:val="0"/>
                <w:sz w:val="21"/>
                <w:szCs w:val="21"/>
              </w:rPr>
              <w:t>折旧</w:t>
            </w:r>
          </w:p>
        </w:tc>
      </w:tr>
      <w:tr w14:paraId="50B19F2C">
        <w:tblPrEx>
          <w:tblCellMar>
            <w:top w:w="0" w:type="dxa"/>
            <w:left w:w="108" w:type="dxa"/>
            <w:bottom w:w="0" w:type="dxa"/>
            <w:right w:w="108" w:type="dxa"/>
          </w:tblCellMar>
        </w:tblPrEx>
        <w:trPr>
          <w:trHeight w:val="397" w:hRule="atLeast"/>
          <w:jc w:val="center"/>
        </w:trPr>
        <w:tc>
          <w:tcPr>
            <w:tcW w:w="4048" w:type="dxa"/>
            <w:tcBorders>
              <w:top w:val="single" w:color="auto" w:sz="4" w:space="0"/>
              <w:left w:val="single" w:color="auto" w:sz="4" w:space="0"/>
              <w:bottom w:val="single" w:color="auto" w:sz="4" w:space="0"/>
              <w:right w:val="single" w:color="auto" w:sz="4" w:space="0"/>
            </w:tcBorders>
            <w:noWrap/>
            <w:vAlign w:val="center"/>
          </w:tcPr>
          <w:p w14:paraId="6D728C73">
            <w:pPr>
              <w:spacing w:line="240" w:lineRule="auto"/>
              <w:ind w:firstLine="0" w:firstLineChars="0"/>
              <w:jc w:val="center"/>
              <w:rPr>
                <w:rFonts w:cs="仿宋"/>
                <w:bCs/>
                <w:kern w:val="30"/>
                <w:sz w:val="21"/>
                <w:szCs w:val="21"/>
              </w:rPr>
            </w:pPr>
            <w:r>
              <w:rPr>
                <w:rFonts w:hint="eastAsia" w:cs="仿宋"/>
                <w:bCs/>
                <w:kern w:val="30"/>
                <w:sz w:val="21"/>
                <w:szCs w:val="21"/>
              </w:rPr>
              <w:t>局本级</w:t>
            </w:r>
          </w:p>
        </w:tc>
        <w:tc>
          <w:tcPr>
            <w:tcW w:w="1276" w:type="dxa"/>
            <w:tcBorders>
              <w:top w:val="single" w:color="auto" w:sz="4" w:space="0"/>
              <w:left w:val="nil"/>
              <w:bottom w:val="single" w:color="auto" w:sz="4" w:space="0"/>
              <w:right w:val="single" w:color="auto" w:sz="4" w:space="0"/>
            </w:tcBorders>
            <w:noWrap/>
            <w:vAlign w:val="center"/>
          </w:tcPr>
          <w:p w14:paraId="44E4C6F5">
            <w:pPr>
              <w:widowControl/>
              <w:spacing w:line="240" w:lineRule="auto"/>
              <w:ind w:firstLine="0" w:firstLineChars="0"/>
              <w:jc w:val="center"/>
              <w:rPr>
                <w:rFonts w:cs="宋体"/>
                <w:spacing w:val="0"/>
                <w:kern w:val="0"/>
                <w:sz w:val="21"/>
                <w:szCs w:val="21"/>
              </w:rPr>
            </w:pPr>
            <w:r>
              <w:rPr>
                <w:rFonts w:cs="宋体"/>
                <w:spacing w:val="0"/>
                <w:kern w:val="0"/>
                <w:sz w:val="21"/>
                <w:szCs w:val="21"/>
              </w:rPr>
              <w:t>1,031.87</w:t>
            </w:r>
          </w:p>
        </w:tc>
        <w:tc>
          <w:tcPr>
            <w:tcW w:w="1843" w:type="dxa"/>
            <w:tcBorders>
              <w:top w:val="single" w:color="auto" w:sz="4" w:space="0"/>
              <w:left w:val="nil"/>
              <w:bottom w:val="single" w:color="auto" w:sz="4" w:space="0"/>
              <w:right w:val="single" w:color="auto" w:sz="4" w:space="0"/>
            </w:tcBorders>
            <w:noWrap/>
            <w:vAlign w:val="center"/>
          </w:tcPr>
          <w:p w14:paraId="73DECAF2">
            <w:pPr>
              <w:widowControl/>
              <w:spacing w:line="240" w:lineRule="auto"/>
              <w:ind w:firstLine="0" w:firstLineChars="0"/>
              <w:jc w:val="center"/>
              <w:rPr>
                <w:rFonts w:cs="宋体"/>
                <w:spacing w:val="0"/>
                <w:kern w:val="0"/>
                <w:sz w:val="21"/>
                <w:szCs w:val="21"/>
              </w:rPr>
            </w:pPr>
            <w:r>
              <w:rPr>
                <w:rFonts w:cs="宋体"/>
                <w:spacing w:val="0"/>
                <w:kern w:val="0"/>
                <w:sz w:val="21"/>
                <w:szCs w:val="21"/>
              </w:rPr>
              <w:t>1,454.57</w:t>
            </w:r>
          </w:p>
        </w:tc>
        <w:tc>
          <w:tcPr>
            <w:tcW w:w="1701" w:type="dxa"/>
            <w:tcBorders>
              <w:top w:val="single" w:color="auto" w:sz="4" w:space="0"/>
              <w:left w:val="nil"/>
              <w:bottom w:val="single" w:color="auto" w:sz="4" w:space="0"/>
              <w:right w:val="single" w:color="auto" w:sz="4" w:space="0"/>
            </w:tcBorders>
            <w:noWrap/>
            <w:vAlign w:val="center"/>
          </w:tcPr>
          <w:p w14:paraId="227F2FA3">
            <w:pPr>
              <w:widowControl/>
              <w:spacing w:line="240" w:lineRule="auto"/>
              <w:ind w:firstLine="0" w:firstLineChars="0"/>
              <w:jc w:val="center"/>
              <w:rPr>
                <w:rFonts w:cs="宋体"/>
                <w:spacing w:val="0"/>
                <w:kern w:val="0"/>
                <w:sz w:val="21"/>
                <w:szCs w:val="21"/>
              </w:rPr>
            </w:pPr>
            <w:r>
              <w:rPr>
                <w:rFonts w:cs="宋体"/>
                <w:spacing w:val="0"/>
                <w:kern w:val="0"/>
                <w:sz w:val="21"/>
                <w:szCs w:val="21"/>
              </w:rPr>
              <w:t>422.70</w:t>
            </w:r>
          </w:p>
        </w:tc>
      </w:tr>
      <w:tr w14:paraId="1AF5137F">
        <w:tblPrEx>
          <w:tblCellMar>
            <w:top w:w="0" w:type="dxa"/>
            <w:left w:w="108" w:type="dxa"/>
            <w:bottom w:w="0" w:type="dxa"/>
            <w:right w:w="108" w:type="dxa"/>
          </w:tblCellMar>
        </w:tblPrEx>
        <w:trPr>
          <w:trHeight w:val="397" w:hRule="atLeast"/>
          <w:jc w:val="center"/>
        </w:trPr>
        <w:tc>
          <w:tcPr>
            <w:tcW w:w="4048" w:type="dxa"/>
            <w:tcBorders>
              <w:top w:val="nil"/>
              <w:left w:val="single" w:color="auto" w:sz="4" w:space="0"/>
              <w:bottom w:val="single" w:color="auto" w:sz="4" w:space="0"/>
              <w:right w:val="single" w:color="auto" w:sz="4" w:space="0"/>
            </w:tcBorders>
            <w:noWrap/>
            <w:vAlign w:val="center"/>
          </w:tcPr>
          <w:p w14:paraId="48FB8D25">
            <w:pPr>
              <w:spacing w:line="240" w:lineRule="auto"/>
              <w:ind w:firstLine="0" w:firstLineChars="0"/>
              <w:jc w:val="center"/>
              <w:rPr>
                <w:rFonts w:cs="仿宋"/>
                <w:bCs/>
                <w:kern w:val="30"/>
                <w:sz w:val="21"/>
                <w:szCs w:val="21"/>
              </w:rPr>
            </w:pPr>
            <w:r>
              <w:rPr>
                <w:rFonts w:hint="eastAsia" w:cs="仿宋"/>
                <w:bCs/>
                <w:kern w:val="30"/>
                <w:sz w:val="21"/>
                <w:szCs w:val="21"/>
              </w:rPr>
              <w:t>浮梁县市场监督管理执法稽查局</w:t>
            </w:r>
          </w:p>
        </w:tc>
        <w:tc>
          <w:tcPr>
            <w:tcW w:w="1276" w:type="dxa"/>
            <w:tcBorders>
              <w:top w:val="nil"/>
              <w:left w:val="nil"/>
              <w:bottom w:val="single" w:color="auto" w:sz="4" w:space="0"/>
              <w:right w:val="single" w:color="auto" w:sz="4" w:space="0"/>
            </w:tcBorders>
            <w:noWrap/>
            <w:vAlign w:val="center"/>
          </w:tcPr>
          <w:p w14:paraId="2400A3D6">
            <w:pPr>
              <w:widowControl/>
              <w:spacing w:line="240" w:lineRule="auto"/>
              <w:ind w:firstLine="0" w:firstLineChars="0"/>
              <w:jc w:val="center"/>
              <w:rPr>
                <w:rFonts w:cs="宋体"/>
                <w:spacing w:val="0"/>
                <w:kern w:val="0"/>
                <w:sz w:val="21"/>
                <w:szCs w:val="21"/>
              </w:rPr>
            </w:pPr>
            <w:r>
              <w:rPr>
                <w:rFonts w:cs="宋体"/>
                <w:spacing w:val="0"/>
                <w:kern w:val="0"/>
                <w:sz w:val="21"/>
                <w:szCs w:val="21"/>
              </w:rPr>
              <w:t>8.56</w:t>
            </w:r>
          </w:p>
        </w:tc>
        <w:tc>
          <w:tcPr>
            <w:tcW w:w="1843" w:type="dxa"/>
            <w:tcBorders>
              <w:top w:val="nil"/>
              <w:left w:val="nil"/>
              <w:bottom w:val="single" w:color="auto" w:sz="4" w:space="0"/>
              <w:right w:val="single" w:color="auto" w:sz="4" w:space="0"/>
            </w:tcBorders>
            <w:noWrap/>
            <w:vAlign w:val="center"/>
          </w:tcPr>
          <w:p w14:paraId="0AB2E01F">
            <w:pPr>
              <w:widowControl/>
              <w:spacing w:line="240" w:lineRule="auto"/>
              <w:ind w:firstLine="0" w:firstLineChars="0"/>
              <w:jc w:val="center"/>
              <w:rPr>
                <w:rFonts w:cs="宋体"/>
                <w:spacing w:val="0"/>
                <w:kern w:val="0"/>
                <w:sz w:val="21"/>
                <w:szCs w:val="21"/>
              </w:rPr>
            </w:pPr>
            <w:r>
              <w:rPr>
                <w:rFonts w:cs="宋体"/>
                <w:spacing w:val="0"/>
                <w:kern w:val="0"/>
                <w:sz w:val="21"/>
                <w:szCs w:val="21"/>
              </w:rPr>
              <w:t>9.72</w:t>
            </w:r>
          </w:p>
        </w:tc>
        <w:tc>
          <w:tcPr>
            <w:tcW w:w="1701" w:type="dxa"/>
            <w:tcBorders>
              <w:top w:val="nil"/>
              <w:left w:val="nil"/>
              <w:bottom w:val="single" w:color="auto" w:sz="4" w:space="0"/>
              <w:right w:val="single" w:color="auto" w:sz="4" w:space="0"/>
            </w:tcBorders>
            <w:noWrap/>
            <w:vAlign w:val="center"/>
          </w:tcPr>
          <w:p w14:paraId="57795B9F">
            <w:pPr>
              <w:widowControl/>
              <w:spacing w:line="240" w:lineRule="auto"/>
              <w:ind w:firstLine="0" w:firstLineChars="0"/>
              <w:jc w:val="center"/>
              <w:rPr>
                <w:rFonts w:cs="宋体"/>
                <w:spacing w:val="0"/>
                <w:kern w:val="0"/>
                <w:sz w:val="21"/>
                <w:szCs w:val="21"/>
              </w:rPr>
            </w:pPr>
            <w:r>
              <w:rPr>
                <w:rFonts w:cs="宋体"/>
                <w:spacing w:val="0"/>
                <w:kern w:val="0"/>
                <w:sz w:val="21"/>
                <w:szCs w:val="21"/>
              </w:rPr>
              <w:t>1.16</w:t>
            </w:r>
          </w:p>
        </w:tc>
      </w:tr>
      <w:tr w14:paraId="6F29B648">
        <w:tblPrEx>
          <w:tblCellMar>
            <w:top w:w="0" w:type="dxa"/>
            <w:left w:w="108" w:type="dxa"/>
            <w:bottom w:w="0" w:type="dxa"/>
            <w:right w:w="108" w:type="dxa"/>
          </w:tblCellMar>
        </w:tblPrEx>
        <w:trPr>
          <w:trHeight w:val="397" w:hRule="atLeast"/>
          <w:jc w:val="center"/>
        </w:trPr>
        <w:tc>
          <w:tcPr>
            <w:tcW w:w="4048" w:type="dxa"/>
            <w:tcBorders>
              <w:top w:val="nil"/>
              <w:left w:val="single" w:color="auto" w:sz="4" w:space="0"/>
              <w:bottom w:val="single" w:color="auto" w:sz="4" w:space="0"/>
              <w:right w:val="single" w:color="auto" w:sz="4" w:space="0"/>
            </w:tcBorders>
            <w:noWrap/>
            <w:vAlign w:val="center"/>
          </w:tcPr>
          <w:p w14:paraId="459F88C4">
            <w:pPr>
              <w:spacing w:line="240" w:lineRule="auto"/>
              <w:ind w:firstLine="0" w:firstLineChars="0"/>
              <w:jc w:val="center"/>
              <w:rPr>
                <w:rFonts w:cs="仿宋"/>
                <w:bCs/>
                <w:kern w:val="30"/>
                <w:sz w:val="21"/>
                <w:szCs w:val="21"/>
              </w:rPr>
            </w:pPr>
            <w:r>
              <w:rPr>
                <w:rFonts w:hint="eastAsia" w:cs="仿宋"/>
                <w:bCs/>
                <w:kern w:val="30"/>
                <w:sz w:val="21"/>
                <w:szCs w:val="21"/>
              </w:rPr>
              <w:t>浮梁县检验检测认证中心</w:t>
            </w:r>
          </w:p>
        </w:tc>
        <w:tc>
          <w:tcPr>
            <w:tcW w:w="1276" w:type="dxa"/>
            <w:tcBorders>
              <w:top w:val="nil"/>
              <w:left w:val="nil"/>
              <w:bottom w:val="single" w:color="auto" w:sz="4" w:space="0"/>
              <w:right w:val="single" w:color="auto" w:sz="4" w:space="0"/>
            </w:tcBorders>
            <w:noWrap/>
            <w:vAlign w:val="center"/>
          </w:tcPr>
          <w:p w14:paraId="0F6F3E7F">
            <w:pPr>
              <w:widowControl/>
              <w:spacing w:line="240" w:lineRule="auto"/>
              <w:ind w:firstLine="0" w:firstLineChars="0"/>
              <w:jc w:val="center"/>
              <w:rPr>
                <w:rFonts w:cs="宋体"/>
                <w:spacing w:val="0"/>
                <w:kern w:val="0"/>
                <w:sz w:val="21"/>
                <w:szCs w:val="21"/>
              </w:rPr>
            </w:pPr>
            <w:r>
              <w:rPr>
                <w:rFonts w:cs="宋体"/>
                <w:spacing w:val="0"/>
                <w:kern w:val="0"/>
                <w:sz w:val="21"/>
                <w:szCs w:val="21"/>
              </w:rPr>
              <w:t>60.06</w:t>
            </w:r>
          </w:p>
        </w:tc>
        <w:tc>
          <w:tcPr>
            <w:tcW w:w="1843" w:type="dxa"/>
            <w:tcBorders>
              <w:top w:val="nil"/>
              <w:left w:val="nil"/>
              <w:bottom w:val="single" w:color="auto" w:sz="4" w:space="0"/>
              <w:right w:val="single" w:color="auto" w:sz="4" w:space="0"/>
            </w:tcBorders>
            <w:noWrap/>
            <w:vAlign w:val="center"/>
          </w:tcPr>
          <w:p w14:paraId="3A79CD14">
            <w:pPr>
              <w:widowControl/>
              <w:spacing w:line="240" w:lineRule="auto"/>
              <w:ind w:firstLine="0" w:firstLineChars="0"/>
              <w:jc w:val="center"/>
              <w:rPr>
                <w:rFonts w:cs="宋体"/>
                <w:spacing w:val="0"/>
                <w:kern w:val="0"/>
                <w:sz w:val="21"/>
                <w:szCs w:val="21"/>
              </w:rPr>
            </w:pPr>
            <w:r>
              <w:rPr>
                <w:rFonts w:cs="宋体"/>
                <w:spacing w:val="0"/>
                <w:kern w:val="0"/>
                <w:sz w:val="21"/>
                <w:szCs w:val="21"/>
              </w:rPr>
              <w:t>67.43</w:t>
            </w:r>
          </w:p>
        </w:tc>
        <w:tc>
          <w:tcPr>
            <w:tcW w:w="1701" w:type="dxa"/>
            <w:tcBorders>
              <w:top w:val="nil"/>
              <w:left w:val="nil"/>
              <w:bottom w:val="single" w:color="auto" w:sz="4" w:space="0"/>
              <w:right w:val="single" w:color="auto" w:sz="4" w:space="0"/>
            </w:tcBorders>
            <w:noWrap/>
            <w:vAlign w:val="center"/>
          </w:tcPr>
          <w:p w14:paraId="1C9BEF74">
            <w:pPr>
              <w:widowControl/>
              <w:spacing w:line="240" w:lineRule="auto"/>
              <w:ind w:firstLine="0" w:firstLineChars="0"/>
              <w:jc w:val="center"/>
              <w:rPr>
                <w:rFonts w:cs="宋体"/>
                <w:spacing w:val="0"/>
                <w:kern w:val="0"/>
                <w:sz w:val="21"/>
                <w:szCs w:val="21"/>
              </w:rPr>
            </w:pPr>
            <w:r>
              <w:rPr>
                <w:rFonts w:cs="宋体"/>
                <w:spacing w:val="0"/>
                <w:kern w:val="0"/>
                <w:sz w:val="21"/>
                <w:szCs w:val="21"/>
              </w:rPr>
              <w:t>7.37</w:t>
            </w:r>
          </w:p>
        </w:tc>
      </w:tr>
      <w:tr w14:paraId="0FF742EA">
        <w:tblPrEx>
          <w:tblCellMar>
            <w:top w:w="0" w:type="dxa"/>
            <w:left w:w="108" w:type="dxa"/>
            <w:bottom w:w="0" w:type="dxa"/>
            <w:right w:w="108" w:type="dxa"/>
          </w:tblCellMar>
        </w:tblPrEx>
        <w:trPr>
          <w:trHeight w:val="397" w:hRule="atLeast"/>
          <w:jc w:val="center"/>
        </w:trPr>
        <w:tc>
          <w:tcPr>
            <w:tcW w:w="4048" w:type="dxa"/>
            <w:tcBorders>
              <w:top w:val="nil"/>
              <w:left w:val="single" w:color="auto" w:sz="4" w:space="0"/>
              <w:bottom w:val="single" w:color="auto" w:sz="4" w:space="0"/>
              <w:right w:val="single" w:color="auto" w:sz="4" w:space="0"/>
            </w:tcBorders>
            <w:noWrap/>
            <w:vAlign w:val="center"/>
          </w:tcPr>
          <w:p w14:paraId="62E92B4C">
            <w:pPr>
              <w:widowControl/>
              <w:spacing w:line="240" w:lineRule="auto"/>
              <w:ind w:firstLine="0" w:firstLineChars="0"/>
              <w:jc w:val="center"/>
              <w:rPr>
                <w:rFonts w:cs="宋体"/>
                <w:b/>
                <w:bCs/>
                <w:spacing w:val="0"/>
                <w:kern w:val="0"/>
                <w:sz w:val="21"/>
                <w:szCs w:val="21"/>
              </w:rPr>
            </w:pPr>
            <w:r>
              <w:rPr>
                <w:rFonts w:hint="eastAsia" w:cs="宋体"/>
                <w:b/>
                <w:bCs/>
                <w:spacing w:val="0"/>
                <w:kern w:val="0"/>
                <w:sz w:val="21"/>
                <w:szCs w:val="21"/>
              </w:rPr>
              <w:t>合计</w:t>
            </w:r>
          </w:p>
        </w:tc>
        <w:tc>
          <w:tcPr>
            <w:tcW w:w="1276" w:type="dxa"/>
            <w:tcBorders>
              <w:top w:val="nil"/>
              <w:left w:val="nil"/>
              <w:bottom w:val="single" w:color="auto" w:sz="4" w:space="0"/>
              <w:right w:val="single" w:color="auto" w:sz="4" w:space="0"/>
            </w:tcBorders>
            <w:noWrap/>
            <w:vAlign w:val="center"/>
          </w:tcPr>
          <w:p w14:paraId="64543243">
            <w:pPr>
              <w:widowControl/>
              <w:spacing w:line="240" w:lineRule="auto"/>
              <w:ind w:firstLine="0" w:firstLineChars="0"/>
              <w:jc w:val="center"/>
              <w:rPr>
                <w:rFonts w:cs="宋体"/>
                <w:b/>
                <w:bCs/>
                <w:spacing w:val="0"/>
                <w:kern w:val="0"/>
                <w:sz w:val="21"/>
                <w:szCs w:val="21"/>
              </w:rPr>
            </w:pPr>
            <w:r>
              <w:rPr>
                <w:rFonts w:cs="宋体"/>
                <w:b/>
                <w:bCs/>
                <w:spacing w:val="0"/>
                <w:kern w:val="0"/>
                <w:sz w:val="21"/>
                <w:szCs w:val="21"/>
              </w:rPr>
              <w:t>1,100.49</w:t>
            </w:r>
          </w:p>
        </w:tc>
        <w:tc>
          <w:tcPr>
            <w:tcW w:w="1843" w:type="dxa"/>
            <w:tcBorders>
              <w:top w:val="nil"/>
              <w:left w:val="nil"/>
              <w:bottom w:val="single" w:color="auto" w:sz="4" w:space="0"/>
              <w:right w:val="single" w:color="auto" w:sz="4" w:space="0"/>
            </w:tcBorders>
            <w:noWrap/>
            <w:vAlign w:val="center"/>
          </w:tcPr>
          <w:p w14:paraId="2DA7952A">
            <w:pPr>
              <w:widowControl/>
              <w:spacing w:line="240" w:lineRule="auto"/>
              <w:ind w:firstLine="0" w:firstLineChars="0"/>
              <w:jc w:val="center"/>
              <w:rPr>
                <w:rFonts w:cs="宋体"/>
                <w:b/>
                <w:bCs/>
                <w:spacing w:val="0"/>
                <w:kern w:val="0"/>
                <w:sz w:val="21"/>
                <w:szCs w:val="21"/>
              </w:rPr>
            </w:pPr>
            <w:r>
              <w:rPr>
                <w:rFonts w:cs="宋体"/>
                <w:b/>
                <w:bCs/>
                <w:spacing w:val="0"/>
                <w:kern w:val="0"/>
                <w:sz w:val="21"/>
                <w:szCs w:val="21"/>
              </w:rPr>
              <w:t>1,531.72</w:t>
            </w:r>
          </w:p>
        </w:tc>
        <w:tc>
          <w:tcPr>
            <w:tcW w:w="1701" w:type="dxa"/>
            <w:tcBorders>
              <w:top w:val="nil"/>
              <w:left w:val="nil"/>
              <w:bottom w:val="single" w:color="auto" w:sz="4" w:space="0"/>
              <w:right w:val="single" w:color="auto" w:sz="4" w:space="0"/>
            </w:tcBorders>
            <w:noWrap/>
            <w:vAlign w:val="center"/>
          </w:tcPr>
          <w:p w14:paraId="6DCFFD20">
            <w:pPr>
              <w:widowControl/>
              <w:spacing w:line="240" w:lineRule="auto"/>
              <w:ind w:firstLine="0" w:firstLineChars="0"/>
              <w:jc w:val="center"/>
              <w:rPr>
                <w:rFonts w:cs="宋体"/>
                <w:b/>
                <w:spacing w:val="0"/>
                <w:kern w:val="0"/>
                <w:sz w:val="21"/>
                <w:szCs w:val="21"/>
              </w:rPr>
            </w:pPr>
            <w:r>
              <w:rPr>
                <w:rFonts w:cs="宋体"/>
                <w:b/>
                <w:spacing w:val="0"/>
                <w:kern w:val="0"/>
                <w:sz w:val="21"/>
                <w:szCs w:val="21"/>
              </w:rPr>
              <w:t>431.23</w:t>
            </w:r>
          </w:p>
        </w:tc>
      </w:tr>
    </w:tbl>
    <w:p w14:paraId="54566705">
      <w:pPr>
        <w:pStyle w:val="3"/>
        <w:adjustRightInd/>
        <w:snapToGrid/>
        <w:spacing w:before="0" w:after="0"/>
        <w:ind w:firstLine="667"/>
        <w:contextualSpacing/>
        <w:rPr>
          <w:rFonts w:ascii="楷体_GB2312" w:eastAsia="楷体_GB2312"/>
        </w:rPr>
      </w:pPr>
      <w:bookmarkStart w:id="9" w:name="_Toc167874816"/>
      <w:r>
        <w:rPr>
          <w:rFonts w:hint="eastAsia" w:ascii="楷体_GB2312" w:eastAsia="楷体_GB2312"/>
        </w:rPr>
        <w:t>（二）当年部门履职总体目标、工作任务</w:t>
      </w:r>
      <w:bookmarkEnd w:id="9"/>
    </w:p>
    <w:p w14:paraId="367A6E3A">
      <w:pPr>
        <w:adjustRightInd/>
        <w:snapToGrid/>
        <w:ind w:firstLine="667"/>
        <w:contextualSpacing/>
        <w:rPr>
          <w:b/>
          <w:bCs/>
          <w:sz w:val="32"/>
          <w:szCs w:val="32"/>
        </w:rPr>
      </w:pPr>
      <w:r>
        <w:rPr>
          <w:rFonts w:hint="eastAsia"/>
          <w:b/>
          <w:bCs/>
          <w:sz w:val="32"/>
          <w:szCs w:val="32"/>
        </w:rPr>
        <w:t>1.部门履职总体目标</w:t>
      </w:r>
    </w:p>
    <w:p w14:paraId="45FA5D20">
      <w:pPr>
        <w:adjustRightInd/>
        <w:snapToGrid/>
        <w:ind w:firstLine="664"/>
        <w:contextualSpacing/>
        <w:rPr>
          <w:sz w:val="32"/>
          <w:szCs w:val="32"/>
          <w:highlight w:val="yellow"/>
        </w:rPr>
      </w:pPr>
      <w:r>
        <w:rPr>
          <w:rFonts w:hint="eastAsia"/>
          <w:sz w:val="32"/>
          <w:szCs w:val="32"/>
        </w:rPr>
        <w:t>坚持以马克思列宁主义、毛泽东思想、邓小平理论、“三个代表”重要思想、科学发展观、习近平新时代中国特色社会主义思想为指导，全面贯彻党的政策方针，落实市场监管各项工作。</w:t>
      </w:r>
    </w:p>
    <w:p w14:paraId="4E34D0D0">
      <w:pPr>
        <w:adjustRightInd/>
        <w:snapToGrid/>
        <w:ind w:firstLine="667"/>
        <w:contextualSpacing/>
        <w:rPr>
          <w:b/>
          <w:sz w:val="32"/>
          <w:szCs w:val="32"/>
        </w:rPr>
      </w:pPr>
      <w:r>
        <w:rPr>
          <w:rFonts w:hint="eastAsia"/>
          <w:b/>
          <w:sz w:val="32"/>
          <w:szCs w:val="32"/>
        </w:rPr>
        <w:t>2.工作任务</w:t>
      </w:r>
    </w:p>
    <w:p w14:paraId="53DE1115">
      <w:pPr>
        <w:adjustRightInd/>
        <w:snapToGrid/>
        <w:ind w:firstLine="664"/>
        <w:contextualSpacing/>
        <w:rPr>
          <w:sz w:val="32"/>
          <w:szCs w:val="32"/>
        </w:rPr>
      </w:pPr>
      <w:r>
        <w:rPr>
          <w:rFonts w:hint="eastAsia"/>
          <w:sz w:val="32"/>
          <w:szCs w:val="32"/>
        </w:rPr>
        <w:t>一是持续优化营商环境。不断深化商事制度改革，扎实推进行政审批“流程再造”，进一步大力开展知识产权质押融资“入园惠企”行动及“双随机，一公开”监督检查，强化信用监管，同时严格落实“首违不罚”制度，不断提升市场主体的幸福感与获得感。</w:t>
      </w:r>
    </w:p>
    <w:p w14:paraId="5E19DD34">
      <w:pPr>
        <w:adjustRightInd/>
        <w:snapToGrid/>
        <w:ind w:firstLine="664"/>
        <w:contextualSpacing/>
        <w:rPr>
          <w:sz w:val="32"/>
          <w:szCs w:val="32"/>
        </w:rPr>
      </w:pPr>
      <w:r>
        <w:rPr>
          <w:rFonts w:hint="eastAsia"/>
          <w:sz w:val="32"/>
          <w:szCs w:val="32"/>
        </w:rPr>
        <w:t>二是持续强化安全保障。大力推进省级食品安全示范县创建。着力健全完善食品安全监管体系开展食品安全源头治理，切实加强对食品消费人数较多、危害影响面较大的食品单位严格监管，严密防控群体性事件的发生，防控食品安全系统性风险。进一步畅通社会监督渠道，完善群防群控机制，力促形成人人关心、人人监督、人人捍卫食品安全的社会共治体系。</w:t>
      </w:r>
    </w:p>
    <w:p w14:paraId="49CC89EC">
      <w:pPr>
        <w:adjustRightInd/>
        <w:snapToGrid/>
        <w:ind w:firstLine="664"/>
        <w:contextualSpacing/>
        <w:rPr>
          <w:sz w:val="32"/>
          <w:szCs w:val="32"/>
        </w:rPr>
      </w:pPr>
      <w:r>
        <w:rPr>
          <w:rFonts w:hint="eastAsia"/>
          <w:sz w:val="32"/>
          <w:szCs w:val="32"/>
        </w:rPr>
        <w:t>三是持续助力经济发展。大力推进“江西绿色生态”品牌示范县项目建设。推进江西瑶园食品有限公司顺利通过“江西绿色生态品牌”标准，挖掘低碳工业、健康食品、乡村旅游等具有绿色潜力的产业，推进“江西绿色生态品牌”标准的制定。不断加强“江西绿色生态”品牌创建的宣传力度，努力营造共同参与绿色生态标准制定、共同遵守绿色生态标准、共同监督绿色生态标准实施的良好氛围。</w:t>
      </w:r>
    </w:p>
    <w:p w14:paraId="4FBF88A5">
      <w:pPr>
        <w:pStyle w:val="3"/>
        <w:adjustRightInd/>
        <w:snapToGrid/>
        <w:spacing w:before="0" w:after="0"/>
        <w:ind w:firstLine="667"/>
        <w:contextualSpacing/>
        <w:rPr>
          <w:rFonts w:ascii="楷体_GB2312" w:eastAsia="楷体_GB2312"/>
        </w:rPr>
      </w:pPr>
      <w:bookmarkStart w:id="10" w:name="_Toc167874817"/>
      <w:r>
        <w:rPr>
          <w:rFonts w:hint="eastAsia" w:ascii="楷体_GB2312" w:eastAsia="楷体_GB2312"/>
        </w:rPr>
        <w:t>（三）当年部门年度整体支出绩效目标</w:t>
      </w:r>
      <w:bookmarkEnd w:id="10"/>
    </w:p>
    <w:p w14:paraId="3A58D695">
      <w:pPr>
        <w:adjustRightInd/>
        <w:snapToGrid/>
        <w:ind w:firstLine="664"/>
        <w:contextualSpacing/>
        <w:rPr>
          <w:sz w:val="32"/>
          <w:szCs w:val="32"/>
        </w:rPr>
      </w:pPr>
      <w:r>
        <w:rPr>
          <w:rFonts w:hint="eastAsia"/>
          <w:sz w:val="32"/>
          <w:szCs w:val="32"/>
        </w:rPr>
        <w:t>2023年，浮梁县市监局的年度整体支出绩效目标是：严厉打击暴力传销和以介绍工作、从事经营活动等名义欺骗他人离开居所地非法聚集并限制其人身自由的传销行为；</w:t>
      </w:r>
      <w:r>
        <w:rPr>
          <w:rFonts w:hint="eastAsia" w:hAnsi="仿宋_GB2312" w:cs="仿宋_GB2312"/>
          <w:sz w:val="32"/>
          <w:szCs w:val="32"/>
        </w:rPr>
        <w:t>进一步加大产品质量监督抽查后处理力度，采取切实有效措施，不断提高产品质量，增强产品质量监督抽查工作实效</w:t>
      </w:r>
      <w:r>
        <w:rPr>
          <w:sz w:val="32"/>
          <w:szCs w:val="32"/>
        </w:rPr>
        <w:t>；</w:t>
      </w:r>
      <w:r>
        <w:rPr>
          <w:rFonts w:hint="eastAsia"/>
          <w:sz w:val="32"/>
          <w:szCs w:val="32"/>
        </w:rPr>
        <w:t>高度重视食品安全抽检工作，确保年度食品安全筹建工作落实到位，不合格食品依法及时处置，抽检信息公布到位等。</w:t>
      </w:r>
    </w:p>
    <w:p w14:paraId="280AF5C1">
      <w:pPr>
        <w:pStyle w:val="3"/>
        <w:adjustRightInd/>
        <w:snapToGrid/>
        <w:spacing w:before="0" w:after="0"/>
        <w:ind w:firstLine="667"/>
        <w:contextualSpacing/>
        <w:rPr>
          <w:rFonts w:ascii="楷体_GB2312" w:eastAsia="楷体_GB2312"/>
        </w:rPr>
      </w:pPr>
      <w:bookmarkStart w:id="11" w:name="_Toc167874818"/>
      <w:r>
        <w:rPr>
          <w:rFonts w:hint="eastAsia" w:ascii="楷体_GB2312" w:eastAsia="楷体_GB2312"/>
        </w:rPr>
        <w:t>（四）当年部门预算及执行情况</w:t>
      </w:r>
      <w:bookmarkEnd w:id="11"/>
    </w:p>
    <w:p w14:paraId="5BE36792">
      <w:pPr>
        <w:adjustRightInd/>
        <w:snapToGrid/>
        <w:ind w:firstLine="667"/>
        <w:contextualSpacing/>
        <w:rPr>
          <w:b/>
          <w:bCs/>
          <w:sz w:val="32"/>
          <w:szCs w:val="32"/>
        </w:rPr>
      </w:pPr>
      <w:r>
        <w:rPr>
          <w:rFonts w:hint="eastAsia"/>
          <w:b/>
          <w:bCs/>
          <w:sz w:val="32"/>
          <w:szCs w:val="32"/>
        </w:rPr>
        <w:t>1.部门预算批复情况</w:t>
      </w:r>
    </w:p>
    <w:p w14:paraId="2FF4809A">
      <w:pPr>
        <w:adjustRightInd/>
        <w:snapToGrid/>
        <w:ind w:firstLine="664"/>
        <w:contextualSpacing/>
        <w:rPr>
          <w:sz w:val="32"/>
          <w:szCs w:val="32"/>
        </w:rPr>
      </w:pPr>
      <w:r>
        <w:rPr>
          <w:rFonts w:hint="eastAsia"/>
          <w:sz w:val="32"/>
          <w:szCs w:val="32"/>
        </w:rPr>
        <w:t>（1）部门整体预算批复情况</w:t>
      </w:r>
    </w:p>
    <w:p w14:paraId="63EE643F">
      <w:pPr>
        <w:adjustRightInd/>
        <w:snapToGrid/>
        <w:ind w:firstLine="664"/>
        <w:contextualSpacing/>
        <w:rPr>
          <w:sz w:val="32"/>
          <w:szCs w:val="32"/>
        </w:rPr>
      </w:pPr>
      <w:r>
        <w:rPr>
          <w:rFonts w:hint="eastAsia"/>
          <w:sz w:val="32"/>
          <w:szCs w:val="32"/>
        </w:rPr>
        <w:t>浮梁县市监局</w:t>
      </w:r>
      <w:r>
        <w:rPr>
          <w:sz w:val="32"/>
          <w:szCs w:val="32"/>
        </w:rPr>
        <w:t>2023年年初预算总收入2,345.25万元，其中：一般公共预算收入2,338.24万元，政府性基金预算财政拨款收入7.01万元；全年预算总收入2,345.15万元，其中：一般公共预算收入2,338.24万元，政府性基金预算财政拨款收入7.01万元。</w:t>
      </w:r>
    </w:p>
    <w:p w14:paraId="7777F361">
      <w:pPr>
        <w:adjustRightInd/>
        <w:snapToGrid/>
        <w:ind w:firstLine="664"/>
        <w:contextualSpacing/>
        <w:rPr>
          <w:sz w:val="32"/>
          <w:szCs w:val="32"/>
          <w:highlight w:val="yellow"/>
        </w:rPr>
      </w:pPr>
      <w:r>
        <w:rPr>
          <w:sz w:val="32"/>
          <w:szCs w:val="32"/>
        </w:rPr>
        <w:t>2023年年初预算总支出2,345.25万元，其中：人员经费支出1,453.74万元，公用经费支出183.38万元，项目支出708.13万元；全年预算数为2,345.25万元，其中：人员经费支出1,453.74万元，公用经费支出183.38万元，项目支出708.13万元。</w:t>
      </w:r>
    </w:p>
    <w:p w14:paraId="261862FD">
      <w:pPr>
        <w:adjustRightInd/>
        <w:snapToGrid/>
        <w:ind w:firstLine="664"/>
        <w:contextualSpacing/>
        <w:rPr>
          <w:sz w:val="32"/>
          <w:szCs w:val="32"/>
        </w:rPr>
      </w:pPr>
      <w:r>
        <w:rPr>
          <w:rFonts w:hint="eastAsia"/>
          <w:sz w:val="32"/>
          <w:szCs w:val="32"/>
        </w:rPr>
        <w:t>（2）项目预算批复情况</w:t>
      </w:r>
    </w:p>
    <w:p w14:paraId="5183625B">
      <w:pPr>
        <w:adjustRightInd/>
        <w:snapToGrid/>
        <w:ind w:firstLine="664"/>
        <w:contextualSpacing/>
        <w:rPr>
          <w:sz w:val="32"/>
          <w:szCs w:val="32"/>
        </w:rPr>
      </w:pPr>
      <w:r>
        <w:rPr>
          <w:rFonts w:hint="eastAsia"/>
          <w:sz w:val="32"/>
          <w:szCs w:val="32"/>
        </w:rPr>
        <w:t>2</w:t>
      </w:r>
      <w:r>
        <w:rPr>
          <w:sz w:val="32"/>
          <w:szCs w:val="32"/>
        </w:rPr>
        <w:t>02</w:t>
      </w:r>
      <w:r>
        <w:rPr>
          <w:rFonts w:hint="eastAsia"/>
          <w:sz w:val="32"/>
          <w:szCs w:val="32"/>
        </w:rPr>
        <w:t xml:space="preserve">3年，浮梁县市监局预算批复项目有18个，预算总额777.29万。截至当年年底，实际执行721.14万元。 </w:t>
      </w:r>
    </w:p>
    <w:p w14:paraId="6C64C00C">
      <w:pPr>
        <w:adjustRightInd/>
        <w:snapToGrid/>
        <w:ind w:firstLine="667"/>
        <w:contextualSpacing/>
        <w:rPr>
          <w:b/>
          <w:bCs/>
          <w:sz w:val="32"/>
          <w:szCs w:val="32"/>
        </w:rPr>
      </w:pPr>
      <w:r>
        <w:rPr>
          <w:rFonts w:hint="eastAsia"/>
          <w:b/>
          <w:bCs/>
          <w:sz w:val="32"/>
          <w:szCs w:val="32"/>
        </w:rPr>
        <w:t>2.部门决算情况</w:t>
      </w:r>
    </w:p>
    <w:p w14:paraId="7E3D060A">
      <w:pPr>
        <w:adjustRightInd/>
        <w:snapToGrid/>
        <w:ind w:firstLine="664"/>
        <w:contextualSpacing/>
        <w:rPr>
          <w:sz w:val="32"/>
          <w:szCs w:val="32"/>
        </w:rPr>
      </w:pPr>
      <w:r>
        <w:rPr>
          <w:rFonts w:hint="eastAsia"/>
          <w:sz w:val="32"/>
          <w:szCs w:val="32"/>
        </w:rPr>
        <w:t>浮梁县市监局</w:t>
      </w:r>
      <w:r>
        <w:rPr>
          <w:sz w:val="32"/>
          <w:szCs w:val="32"/>
        </w:rPr>
        <w:t>2023年决算收入总计2,345.25万元，其中：一般公共预算收入2,338.24万元，政府性基金预算财政拨款收入7.01万元。</w:t>
      </w:r>
    </w:p>
    <w:p w14:paraId="6C79B243">
      <w:pPr>
        <w:adjustRightInd/>
        <w:snapToGrid/>
        <w:ind w:firstLine="664"/>
        <w:contextualSpacing/>
        <w:rPr>
          <w:sz w:val="32"/>
          <w:szCs w:val="32"/>
        </w:rPr>
      </w:pPr>
      <w:r>
        <w:rPr>
          <w:sz w:val="32"/>
          <w:szCs w:val="32"/>
        </w:rPr>
        <w:t>2023年决算支出总计2,345.2</w:t>
      </w:r>
      <w:r>
        <w:rPr>
          <w:rFonts w:hint="eastAsia"/>
          <w:sz w:val="32"/>
          <w:szCs w:val="32"/>
        </w:rPr>
        <w:t>5</w:t>
      </w:r>
      <w:r>
        <w:rPr>
          <w:sz w:val="32"/>
          <w:szCs w:val="32"/>
        </w:rPr>
        <w:t>万元，其中：基本支出1637.12万元，项目支出708.13万元。</w:t>
      </w:r>
    </w:p>
    <w:p w14:paraId="595799A6">
      <w:pPr>
        <w:pStyle w:val="2"/>
        <w:adjustRightInd/>
        <w:snapToGrid/>
        <w:spacing w:before="0" w:after="0"/>
        <w:ind w:firstLine="664"/>
        <w:contextualSpacing/>
        <w:rPr>
          <w:szCs w:val="32"/>
        </w:rPr>
      </w:pPr>
      <w:bookmarkStart w:id="12" w:name="_Toc167874819"/>
      <w:r>
        <w:rPr>
          <w:rFonts w:hint="eastAsia"/>
          <w:szCs w:val="32"/>
        </w:rPr>
        <w:t>二、评价工作开展情况</w:t>
      </w:r>
      <w:bookmarkEnd w:id="12"/>
    </w:p>
    <w:p w14:paraId="7F461AC0">
      <w:pPr>
        <w:pStyle w:val="3"/>
        <w:adjustRightInd/>
        <w:snapToGrid/>
        <w:spacing w:before="0" w:after="0"/>
        <w:ind w:firstLine="667"/>
        <w:contextualSpacing/>
        <w:rPr>
          <w:rFonts w:ascii="楷体_GB2312" w:eastAsia="楷体_GB2312"/>
        </w:rPr>
      </w:pPr>
      <w:bookmarkStart w:id="13" w:name="_Toc167874820"/>
      <w:r>
        <w:rPr>
          <w:rFonts w:hint="eastAsia" w:ascii="楷体_GB2312" w:eastAsia="楷体_GB2312"/>
        </w:rPr>
        <w:t>（一）评价目的和思路</w:t>
      </w:r>
      <w:bookmarkEnd w:id="13"/>
    </w:p>
    <w:p w14:paraId="2C04620B">
      <w:pPr>
        <w:adjustRightInd/>
        <w:snapToGrid/>
        <w:ind w:firstLine="667"/>
        <w:contextualSpacing/>
        <w:rPr>
          <w:b/>
          <w:sz w:val="32"/>
          <w:szCs w:val="32"/>
        </w:rPr>
      </w:pPr>
      <w:r>
        <w:rPr>
          <w:rFonts w:hint="eastAsia"/>
          <w:b/>
          <w:sz w:val="32"/>
          <w:szCs w:val="32"/>
        </w:rPr>
        <w:t>1.绩效评价目的</w:t>
      </w:r>
    </w:p>
    <w:p w14:paraId="5DD69C4C">
      <w:pPr>
        <w:adjustRightInd/>
        <w:snapToGrid/>
        <w:ind w:firstLine="664"/>
        <w:contextualSpacing/>
        <w:rPr>
          <w:sz w:val="32"/>
          <w:szCs w:val="32"/>
        </w:rPr>
      </w:pPr>
      <w:r>
        <w:rPr>
          <w:rFonts w:hint="eastAsia"/>
          <w:sz w:val="32"/>
          <w:szCs w:val="32"/>
        </w:rPr>
        <w:t>部门整体支出绩效评价是基于部门职能，洞悉部门人、财、物与部门职能匹配情况，从更宽泛的层面把握部门职能履行情况，从整体支出效益分析中查找问题，分析存在的问题及原因，提出切实可行的改进措施。</w:t>
      </w:r>
      <w:r>
        <w:rPr>
          <w:sz w:val="32"/>
          <w:szCs w:val="32"/>
        </w:rPr>
        <w:t>202</w:t>
      </w:r>
      <w:r>
        <w:rPr>
          <w:rFonts w:hint="eastAsia"/>
          <w:sz w:val="32"/>
          <w:szCs w:val="32"/>
        </w:rPr>
        <w:t>3</w:t>
      </w:r>
      <w:r>
        <w:rPr>
          <w:sz w:val="32"/>
          <w:szCs w:val="32"/>
        </w:rPr>
        <w:t>年度浮梁县市场监督管理局</w:t>
      </w:r>
      <w:r>
        <w:rPr>
          <w:rFonts w:hint="eastAsia"/>
          <w:sz w:val="32"/>
          <w:szCs w:val="32"/>
        </w:rPr>
        <w:t>整体</w:t>
      </w:r>
      <w:r>
        <w:rPr>
          <w:sz w:val="32"/>
          <w:szCs w:val="32"/>
        </w:rPr>
        <w:t>支出绩效评价，通过梳理部门职能、部门管理、部门职能履职方式方法、预算编制依据、预算明细、预算支出明细、部门相关内部控制制度、部门工作计划的完成情况等信息，分析部门职责的履行情况、履职效果及部门职能的实现程度，总结经验和做法，找出部门资金使用和管理中的薄弱环节，提出改进建议，为今后提高部门整体支出的效果和人、财、物统筹安排的能力提供参考依据和针对性建议，提高部门管理和服务水平，强化支出责任，规范工作纪律，提高业务和资金科学化、精细化管理水平，提升财政资金使用效益。同时，为</w:t>
      </w:r>
      <w:r>
        <w:rPr>
          <w:rFonts w:hint="eastAsia"/>
          <w:sz w:val="32"/>
          <w:szCs w:val="32"/>
        </w:rPr>
        <w:t>2024年</w:t>
      </w:r>
      <w:r>
        <w:rPr>
          <w:sz w:val="32"/>
          <w:szCs w:val="32"/>
        </w:rPr>
        <w:t>部门预算资金安排工作，提供决策参考依据。</w:t>
      </w:r>
    </w:p>
    <w:p w14:paraId="352268A1">
      <w:pPr>
        <w:adjustRightInd/>
        <w:snapToGrid/>
        <w:ind w:firstLine="667"/>
        <w:contextualSpacing/>
        <w:rPr>
          <w:b/>
          <w:sz w:val="32"/>
          <w:szCs w:val="32"/>
        </w:rPr>
      </w:pPr>
      <w:r>
        <w:rPr>
          <w:rFonts w:hint="eastAsia"/>
          <w:b/>
          <w:sz w:val="32"/>
          <w:szCs w:val="32"/>
        </w:rPr>
        <w:t>2.绩效评价思路</w:t>
      </w:r>
    </w:p>
    <w:p w14:paraId="6D844401">
      <w:pPr>
        <w:adjustRightInd/>
        <w:snapToGrid/>
        <w:ind w:firstLine="664"/>
        <w:contextualSpacing/>
        <w:rPr>
          <w:sz w:val="32"/>
          <w:szCs w:val="32"/>
        </w:rPr>
      </w:pPr>
      <w:r>
        <w:rPr>
          <w:rFonts w:hint="eastAsia"/>
          <w:sz w:val="32"/>
          <w:szCs w:val="32"/>
        </w:rPr>
        <w:t>本次评价的总体思路主要为根据三定方案对部门职能进行归纳总结，梳理部门中长期规划、年度工作计划，将年度内实施的具体工作内容匹配至各项职能中，以评价各项职能是否有效履行。在此过程中，将对内设机构对职能的分解情况、预算资金在各项职能中的投入情况进行分析。</w:t>
      </w:r>
    </w:p>
    <w:p w14:paraId="3BAE7E9C">
      <w:pPr>
        <w:pStyle w:val="3"/>
        <w:adjustRightInd/>
        <w:snapToGrid/>
        <w:spacing w:before="0" w:after="0"/>
        <w:ind w:firstLine="667"/>
        <w:contextualSpacing/>
        <w:rPr>
          <w:rFonts w:ascii="楷体_GB2312" w:eastAsia="楷体_GB2312"/>
        </w:rPr>
      </w:pPr>
      <w:bookmarkStart w:id="14" w:name="_Toc167874821"/>
      <w:r>
        <w:rPr>
          <w:rFonts w:hint="eastAsia" w:ascii="楷体_GB2312" w:eastAsia="楷体_GB2312"/>
        </w:rPr>
        <w:t>（二）评价方法和指标体系</w:t>
      </w:r>
      <w:bookmarkEnd w:id="14"/>
    </w:p>
    <w:p w14:paraId="6EBA15E7">
      <w:pPr>
        <w:adjustRightInd/>
        <w:snapToGrid/>
        <w:ind w:firstLine="667"/>
        <w:contextualSpacing/>
        <w:rPr>
          <w:b/>
          <w:bCs/>
          <w:sz w:val="32"/>
          <w:szCs w:val="32"/>
        </w:rPr>
      </w:pPr>
      <w:r>
        <w:rPr>
          <w:rFonts w:hint="eastAsia"/>
          <w:b/>
          <w:bCs/>
          <w:sz w:val="32"/>
          <w:szCs w:val="32"/>
        </w:rPr>
        <w:t>1.绩效评价方法</w:t>
      </w:r>
    </w:p>
    <w:p w14:paraId="21040624">
      <w:pPr>
        <w:adjustRightInd/>
        <w:snapToGrid/>
        <w:ind w:firstLine="664"/>
        <w:contextualSpacing/>
        <w:rPr>
          <w:sz w:val="32"/>
          <w:szCs w:val="32"/>
        </w:rPr>
      </w:pPr>
      <w:r>
        <w:rPr>
          <w:rFonts w:hint="eastAsia"/>
          <w:sz w:val="32"/>
          <w:szCs w:val="32"/>
        </w:rPr>
        <w:t>本次评价遵循“客观、公正、科学、规范”的原则，采用“以结果为导向、基于证据”的评价思路，经过反复研究与讨论，制定出本项目绩效评价指标体系，并以此为基础，客观公正地完成绩效评价工作，在评价的过程中，主要采用以下方法：</w:t>
      </w:r>
    </w:p>
    <w:p w14:paraId="4822233E">
      <w:pPr>
        <w:adjustRightInd/>
        <w:snapToGrid/>
        <w:ind w:firstLine="664"/>
        <w:contextualSpacing/>
        <w:rPr>
          <w:sz w:val="32"/>
          <w:szCs w:val="32"/>
        </w:rPr>
      </w:pPr>
      <w:r>
        <w:rPr>
          <w:rFonts w:hint="eastAsia"/>
          <w:sz w:val="32"/>
          <w:szCs w:val="32"/>
        </w:rPr>
        <w:t>（</w:t>
      </w:r>
      <w:r>
        <w:rPr>
          <w:sz w:val="32"/>
          <w:szCs w:val="32"/>
        </w:rPr>
        <w:t>1）目标管理法（MBO）。本项目在评价体系设计、评估过程、评价结论形成等环节中主要采用了目标管理法的思路。一方面，在部门决策方面，部门绩效目标设立的合理性和明确性本身就是本次评价的重要内容；另一方面，在评估过程中，“以结果为导向”，评价部门履职过程和结果对其前期设定“绩效目标”的实现程度，最终形成评价结论。</w:t>
      </w:r>
    </w:p>
    <w:p w14:paraId="3FD1D5A6">
      <w:pPr>
        <w:adjustRightInd/>
        <w:snapToGrid/>
        <w:ind w:firstLine="664"/>
        <w:contextualSpacing/>
        <w:rPr>
          <w:sz w:val="32"/>
          <w:szCs w:val="32"/>
        </w:rPr>
      </w:pPr>
      <w:r>
        <w:rPr>
          <w:rFonts w:hint="eastAsia"/>
          <w:sz w:val="32"/>
          <w:szCs w:val="32"/>
        </w:rPr>
        <w:t>（2</w:t>
      </w:r>
      <w:r>
        <w:rPr>
          <w:sz w:val="32"/>
          <w:szCs w:val="32"/>
        </w:rPr>
        <w:t>）比较法。通过对绩效目标与实施效果、历史与当期情况、不同部门和地区同类支出的比较，综合分析部门绩效目标实现程度。</w:t>
      </w:r>
    </w:p>
    <w:p w14:paraId="4EEB7F16">
      <w:pPr>
        <w:adjustRightInd/>
        <w:snapToGrid/>
        <w:ind w:firstLine="664"/>
        <w:contextualSpacing/>
        <w:rPr>
          <w:sz w:val="32"/>
          <w:szCs w:val="32"/>
        </w:rPr>
      </w:pPr>
      <w:r>
        <w:rPr>
          <w:rFonts w:hint="eastAsia"/>
          <w:sz w:val="32"/>
          <w:szCs w:val="32"/>
        </w:rPr>
        <w:t>（3</w:t>
      </w:r>
      <w:r>
        <w:rPr>
          <w:sz w:val="32"/>
          <w:szCs w:val="32"/>
        </w:rPr>
        <w:t>）因素分析法。通过综合分析影响绩效目标实现、实施效果的内外因素，评价绩效目标实现程度；通过列举所有影响产出与收益的因素，进行全面、综合的分析，从而得出评价结果的方法。</w:t>
      </w:r>
    </w:p>
    <w:p w14:paraId="39B80F5A">
      <w:pPr>
        <w:adjustRightInd/>
        <w:snapToGrid/>
        <w:ind w:firstLine="664"/>
        <w:contextualSpacing/>
        <w:rPr>
          <w:sz w:val="32"/>
          <w:szCs w:val="32"/>
        </w:rPr>
      </w:pPr>
      <w:r>
        <w:rPr>
          <w:rFonts w:hint="eastAsia"/>
          <w:sz w:val="32"/>
          <w:szCs w:val="32"/>
        </w:rPr>
        <w:t>（4</w:t>
      </w:r>
      <w:r>
        <w:rPr>
          <w:sz w:val="32"/>
          <w:szCs w:val="32"/>
        </w:rPr>
        <w:t>）询问查证法。通过与被评价</w:t>
      </w:r>
      <w:r>
        <w:rPr>
          <w:rFonts w:hint="eastAsia"/>
          <w:sz w:val="32"/>
          <w:szCs w:val="32"/>
        </w:rPr>
        <w:t>单位</w:t>
      </w:r>
      <w:r>
        <w:rPr>
          <w:sz w:val="32"/>
          <w:szCs w:val="32"/>
        </w:rPr>
        <w:t>直接或间接以口头、书面、座谈等方式了解有关情况，从而形成判断的方法。</w:t>
      </w:r>
    </w:p>
    <w:p w14:paraId="376F5517">
      <w:pPr>
        <w:adjustRightInd/>
        <w:snapToGrid/>
        <w:ind w:firstLine="664"/>
        <w:contextualSpacing/>
        <w:rPr>
          <w:sz w:val="32"/>
          <w:szCs w:val="32"/>
        </w:rPr>
      </w:pPr>
      <w:r>
        <w:rPr>
          <w:rFonts w:hint="eastAsia"/>
          <w:sz w:val="32"/>
          <w:szCs w:val="32"/>
        </w:rPr>
        <w:t>（5</w:t>
      </w:r>
      <w:r>
        <w:rPr>
          <w:sz w:val="32"/>
          <w:szCs w:val="32"/>
        </w:rPr>
        <w:t>）公众评判法。通过设计调查问卷，在一定范围内发放，收集、分析调查问卷，进行评价和判断。本方案中对部分效益指标和满意度指标的测算将采用受益公众评判。</w:t>
      </w:r>
    </w:p>
    <w:p w14:paraId="613F7999">
      <w:pPr>
        <w:adjustRightInd/>
        <w:snapToGrid/>
        <w:ind w:firstLine="664"/>
        <w:contextualSpacing/>
        <w:rPr>
          <w:sz w:val="32"/>
          <w:szCs w:val="32"/>
        </w:rPr>
      </w:pPr>
      <w:r>
        <w:rPr>
          <w:rFonts w:hint="eastAsia"/>
          <w:sz w:val="32"/>
          <w:szCs w:val="32"/>
        </w:rPr>
        <w:t>（6</w:t>
      </w:r>
      <w:r>
        <w:rPr>
          <w:sz w:val="32"/>
          <w:szCs w:val="32"/>
        </w:rPr>
        <w:t>）标杆管理法，以国内外同行业中较高的绩效水平为标杆进行评判的方法。标杆管理是一种不断认识和引进最佳实践，以提高组织绩效的方法。</w:t>
      </w:r>
    </w:p>
    <w:p w14:paraId="77B3732A">
      <w:pPr>
        <w:adjustRightInd/>
        <w:snapToGrid/>
        <w:ind w:firstLine="664"/>
        <w:contextualSpacing/>
        <w:rPr>
          <w:sz w:val="32"/>
          <w:szCs w:val="32"/>
        </w:rPr>
      </w:pPr>
      <w:r>
        <w:rPr>
          <w:rFonts w:hint="eastAsia"/>
          <w:sz w:val="32"/>
          <w:szCs w:val="32"/>
        </w:rPr>
        <w:t>（7</w:t>
      </w:r>
      <w:r>
        <w:rPr>
          <w:sz w:val="32"/>
          <w:szCs w:val="32"/>
        </w:rPr>
        <w:t>）成本效益分析法，将投入与产出、效益进行关联性分析的方法。</w:t>
      </w:r>
    </w:p>
    <w:p w14:paraId="1248C5F0">
      <w:pPr>
        <w:adjustRightInd/>
        <w:snapToGrid/>
        <w:ind w:firstLine="667"/>
        <w:contextualSpacing/>
        <w:rPr>
          <w:b/>
          <w:sz w:val="32"/>
          <w:szCs w:val="32"/>
        </w:rPr>
      </w:pPr>
      <w:r>
        <w:rPr>
          <w:b/>
          <w:sz w:val="32"/>
          <w:szCs w:val="32"/>
        </w:rPr>
        <w:t>2.绩效评价指标体系</w:t>
      </w:r>
    </w:p>
    <w:p w14:paraId="6DED23BF">
      <w:pPr>
        <w:adjustRightInd/>
        <w:snapToGrid/>
        <w:ind w:firstLine="664"/>
        <w:contextualSpacing/>
        <w:rPr>
          <w:sz w:val="32"/>
          <w:szCs w:val="32"/>
        </w:rPr>
      </w:pPr>
      <w:r>
        <w:rPr>
          <w:rFonts w:hint="eastAsia"/>
          <w:sz w:val="32"/>
          <w:szCs w:val="32"/>
        </w:rPr>
        <w:t>本次绩效评价指标体系设计一方面从部门职能和内部管理运行角度出发，设计部门管理指标，考察部门规划年度工作计划和绩效目标情况，考察部门资金投入、财务管理、资产管理、重点工作管理情况；另一方面，从履职效能角度出发，设计工作完成情况和效果指标，考察部门提供公共产品和服务的目标实现程度与部门履职活动对社会产生的影响。</w:t>
      </w:r>
    </w:p>
    <w:p w14:paraId="1D18FDBE">
      <w:pPr>
        <w:adjustRightInd/>
        <w:snapToGrid/>
        <w:ind w:firstLine="664"/>
        <w:contextualSpacing/>
        <w:rPr>
          <w:sz w:val="32"/>
          <w:szCs w:val="32"/>
        </w:rPr>
      </w:pPr>
      <w:r>
        <w:rPr>
          <w:rFonts w:hint="eastAsia"/>
          <w:sz w:val="32"/>
          <w:szCs w:val="32"/>
        </w:rPr>
        <w:t>本次绩效评价指标体系共设置部门决策、部门管理、部门产出和部门效益</w:t>
      </w:r>
      <w:r>
        <w:rPr>
          <w:sz w:val="32"/>
          <w:szCs w:val="32"/>
        </w:rPr>
        <w:t>4个一级指标、1</w:t>
      </w:r>
      <w:r>
        <w:rPr>
          <w:rFonts w:hint="eastAsia"/>
          <w:sz w:val="32"/>
          <w:szCs w:val="32"/>
        </w:rPr>
        <w:t>4</w:t>
      </w:r>
      <w:r>
        <w:rPr>
          <w:sz w:val="32"/>
          <w:szCs w:val="32"/>
        </w:rPr>
        <w:t>个二级指标、</w:t>
      </w:r>
      <w:r>
        <w:rPr>
          <w:rFonts w:hint="eastAsia"/>
          <w:sz w:val="32"/>
          <w:szCs w:val="32"/>
        </w:rPr>
        <w:t>41</w:t>
      </w:r>
      <w:r>
        <w:rPr>
          <w:sz w:val="32"/>
          <w:szCs w:val="32"/>
        </w:rPr>
        <w:t>个三级指标。依据财政部《关于印发〈项目支出绩效评价管理办法〉的通知》（财预〔2020〕10号），绩效评价结果评定将采取评分与评级相结合的形式，总分设置为100分，绩效评价等级划分标准为分值范围100分至90分，项目等级为优；分值范围89分至80分，项目等级为良；分值范围79分至60分，项目等级为中；分值范围59分至0分，项目等级为差。绩效评价结果评分分值对应的评价级次见表2</w:t>
      </w:r>
      <w:r>
        <w:rPr>
          <w:rFonts w:hint="eastAsia"/>
          <w:sz w:val="32"/>
          <w:szCs w:val="32"/>
        </w:rPr>
        <w:t>-1</w:t>
      </w:r>
      <w:r>
        <w:rPr>
          <w:sz w:val="32"/>
          <w:szCs w:val="32"/>
        </w:rPr>
        <w:t>。</w:t>
      </w:r>
    </w:p>
    <w:p w14:paraId="06EDEE52">
      <w:pPr>
        <w:pStyle w:val="29"/>
      </w:pPr>
      <w:r>
        <w:t>表</w:t>
      </w:r>
      <w:r>
        <w:rPr>
          <w:rFonts w:hint="eastAsia"/>
        </w:rPr>
        <w:t xml:space="preserve">2-1  </w:t>
      </w:r>
      <w:r>
        <w:t>绩效评价结果评分分值与评价等级表</w:t>
      </w:r>
    </w:p>
    <w:tbl>
      <w:tblPr>
        <w:tblStyle w:val="12"/>
        <w:tblW w:w="8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732"/>
        <w:gridCol w:w="1732"/>
        <w:gridCol w:w="1732"/>
        <w:gridCol w:w="1733"/>
      </w:tblGrid>
      <w:tr w14:paraId="3F0F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tcBorders>
              <w:top w:val="single" w:color="auto" w:sz="4" w:space="0"/>
              <w:left w:val="single" w:color="auto" w:sz="4" w:space="0"/>
              <w:bottom w:val="single" w:color="auto" w:sz="4" w:space="0"/>
              <w:right w:val="single" w:color="auto" w:sz="4" w:space="0"/>
            </w:tcBorders>
            <w:shd w:val="clear" w:color="auto" w:fill="D9D9D9"/>
            <w:vAlign w:val="center"/>
          </w:tcPr>
          <w:p w14:paraId="1D41E655">
            <w:pPr>
              <w:spacing w:line="240" w:lineRule="auto"/>
              <w:ind w:firstLine="0" w:firstLineChars="0"/>
              <w:jc w:val="center"/>
              <w:rPr>
                <w:rFonts w:cs="Times New Roman"/>
                <w:b/>
                <w:bCs/>
                <w:spacing w:val="0"/>
                <w:sz w:val="21"/>
                <w:szCs w:val="21"/>
              </w:rPr>
            </w:pPr>
            <w:r>
              <w:rPr>
                <w:rFonts w:cs="Times New Roman"/>
                <w:b/>
                <w:bCs/>
                <w:spacing w:val="0"/>
                <w:sz w:val="21"/>
                <w:szCs w:val="21"/>
              </w:rPr>
              <w:t>评价等级</w:t>
            </w:r>
          </w:p>
        </w:tc>
        <w:tc>
          <w:tcPr>
            <w:tcW w:w="1732" w:type="dxa"/>
            <w:tcBorders>
              <w:top w:val="single" w:color="auto" w:sz="4" w:space="0"/>
              <w:left w:val="nil"/>
              <w:bottom w:val="single" w:color="auto" w:sz="4" w:space="0"/>
              <w:right w:val="single" w:color="auto" w:sz="4" w:space="0"/>
            </w:tcBorders>
            <w:shd w:val="clear" w:color="auto" w:fill="D9D9D9"/>
            <w:vAlign w:val="center"/>
          </w:tcPr>
          <w:p w14:paraId="7C90DE30">
            <w:pPr>
              <w:spacing w:line="240" w:lineRule="auto"/>
              <w:ind w:firstLine="0" w:firstLineChars="0"/>
              <w:jc w:val="center"/>
              <w:rPr>
                <w:rFonts w:cs="Times New Roman"/>
                <w:b/>
                <w:bCs/>
                <w:spacing w:val="0"/>
                <w:sz w:val="21"/>
                <w:szCs w:val="21"/>
              </w:rPr>
            </w:pPr>
            <w:r>
              <w:rPr>
                <w:rFonts w:hint="eastAsia" w:cs="Times New Roman"/>
                <w:b/>
                <w:bCs/>
                <w:spacing w:val="0"/>
                <w:sz w:val="21"/>
                <w:szCs w:val="21"/>
              </w:rPr>
              <w:t>优</w:t>
            </w:r>
          </w:p>
        </w:tc>
        <w:tc>
          <w:tcPr>
            <w:tcW w:w="1732" w:type="dxa"/>
            <w:tcBorders>
              <w:top w:val="single" w:color="auto" w:sz="4" w:space="0"/>
              <w:left w:val="nil"/>
              <w:bottom w:val="single" w:color="auto" w:sz="4" w:space="0"/>
              <w:right w:val="single" w:color="auto" w:sz="4" w:space="0"/>
            </w:tcBorders>
            <w:shd w:val="clear" w:color="auto" w:fill="D9D9D9"/>
            <w:vAlign w:val="center"/>
          </w:tcPr>
          <w:p w14:paraId="2A1DADF7">
            <w:pPr>
              <w:spacing w:line="240" w:lineRule="auto"/>
              <w:ind w:firstLine="0" w:firstLineChars="0"/>
              <w:jc w:val="center"/>
              <w:rPr>
                <w:rFonts w:cs="Times New Roman"/>
                <w:b/>
                <w:bCs/>
                <w:spacing w:val="0"/>
                <w:sz w:val="21"/>
                <w:szCs w:val="21"/>
              </w:rPr>
            </w:pPr>
            <w:r>
              <w:rPr>
                <w:rFonts w:hint="eastAsia" w:cs="Times New Roman"/>
                <w:b/>
                <w:bCs/>
                <w:spacing w:val="0"/>
                <w:sz w:val="21"/>
                <w:szCs w:val="21"/>
              </w:rPr>
              <w:t>良</w:t>
            </w:r>
          </w:p>
        </w:tc>
        <w:tc>
          <w:tcPr>
            <w:tcW w:w="1732" w:type="dxa"/>
            <w:tcBorders>
              <w:top w:val="single" w:color="auto" w:sz="4" w:space="0"/>
              <w:left w:val="nil"/>
              <w:bottom w:val="single" w:color="auto" w:sz="4" w:space="0"/>
              <w:right w:val="single" w:color="auto" w:sz="4" w:space="0"/>
            </w:tcBorders>
            <w:shd w:val="clear" w:color="auto" w:fill="D9D9D9"/>
            <w:vAlign w:val="center"/>
          </w:tcPr>
          <w:p w14:paraId="743FCF0E">
            <w:pPr>
              <w:spacing w:line="240" w:lineRule="auto"/>
              <w:ind w:firstLine="0" w:firstLineChars="0"/>
              <w:jc w:val="center"/>
              <w:rPr>
                <w:rFonts w:cs="Times New Roman"/>
                <w:b/>
                <w:bCs/>
                <w:spacing w:val="0"/>
                <w:sz w:val="21"/>
                <w:szCs w:val="21"/>
              </w:rPr>
            </w:pPr>
            <w:r>
              <w:rPr>
                <w:rFonts w:hint="eastAsia" w:cs="Times New Roman"/>
                <w:b/>
                <w:bCs/>
                <w:spacing w:val="0"/>
                <w:sz w:val="21"/>
                <w:szCs w:val="21"/>
              </w:rPr>
              <w:t>中</w:t>
            </w:r>
          </w:p>
        </w:tc>
        <w:tc>
          <w:tcPr>
            <w:tcW w:w="1733" w:type="dxa"/>
            <w:tcBorders>
              <w:top w:val="single" w:color="auto" w:sz="4" w:space="0"/>
              <w:left w:val="nil"/>
              <w:bottom w:val="single" w:color="auto" w:sz="4" w:space="0"/>
              <w:right w:val="single" w:color="auto" w:sz="4" w:space="0"/>
            </w:tcBorders>
            <w:shd w:val="clear" w:color="auto" w:fill="D9D9D9"/>
            <w:vAlign w:val="center"/>
          </w:tcPr>
          <w:p w14:paraId="00018D76">
            <w:pPr>
              <w:spacing w:line="240" w:lineRule="auto"/>
              <w:ind w:firstLine="0" w:firstLineChars="0"/>
              <w:jc w:val="center"/>
              <w:rPr>
                <w:rFonts w:cs="Times New Roman"/>
                <w:b/>
                <w:bCs/>
                <w:spacing w:val="0"/>
                <w:sz w:val="21"/>
                <w:szCs w:val="21"/>
              </w:rPr>
            </w:pPr>
            <w:r>
              <w:rPr>
                <w:rFonts w:hint="eastAsia" w:cs="Times New Roman"/>
                <w:b/>
                <w:bCs/>
                <w:spacing w:val="0"/>
                <w:sz w:val="21"/>
                <w:szCs w:val="21"/>
              </w:rPr>
              <w:t>差</w:t>
            </w:r>
          </w:p>
        </w:tc>
      </w:tr>
      <w:tr w14:paraId="690A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2" w:type="dxa"/>
            <w:tcBorders>
              <w:top w:val="single" w:color="auto" w:sz="4" w:space="0"/>
              <w:left w:val="single" w:color="auto" w:sz="4" w:space="0"/>
              <w:bottom w:val="single" w:color="auto" w:sz="4" w:space="0"/>
              <w:right w:val="single" w:color="auto" w:sz="4" w:space="0"/>
            </w:tcBorders>
            <w:vAlign w:val="center"/>
          </w:tcPr>
          <w:p w14:paraId="34178443">
            <w:pPr>
              <w:spacing w:line="240" w:lineRule="auto"/>
              <w:ind w:firstLine="0" w:firstLineChars="0"/>
              <w:jc w:val="center"/>
              <w:rPr>
                <w:rFonts w:cs="Times New Roman"/>
                <w:spacing w:val="0"/>
                <w:sz w:val="21"/>
                <w:szCs w:val="21"/>
              </w:rPr>
            </w:pPr>
            <w:r>
              <w:rPr>
                <w:rFonts w:cs="Times New Roman"/>
                <w:spacing w:val="0"/>
                <w:sz w:val="21"/>
                <w:szCs w:val="21"/>
              </w:rPr>
              <w:t>评分分值</w:t>
            </w:r>
          </w:p>
        </w:tc>
        <w:tc>
          <w:tcPr>
            <w:tcW w:w="1732" w:type="dxa"/>
            <w:tcBorders>
              <w:top w:val="single" w:color="auto" w:sz="4" w:space="0"/>
              <w:left w:val="nil"/>
              <w:bottom w:val="single" w:color="auto" w:sz="4" w:space="0"/>
              <w:right w:val="single" w:color="auto" w:sz="4" w:space="0"/>
            </w:tcBorders>
            <w:vAlign w:val="center"/>
          </w:tcPr>
          <w:p w14:paraId="4E8B6699">
            <w:pPr>
              <w:spacing w:line="240" w:lineRule="auto"/>
              <w:ind w:firstLine="0" w:firstLineChars="0"/>
              <w:jc w:val="center"/>
              <w:rPr>
                <w:rFonts w:cs="Times New Roman"/>
                <w:spacing w:val="0"/>
                <w:sz w:val="21"/>
                <w:szCs w:val="21"/>
              </w:rPr>
            </w:pPr>
            <w:r>
              <w:rPr>
                <w:rFonts w:cs="Times New Roman"/>
                <w:spacing w:val="0"/>
                <w:sz w:val="21"/>
                <w:szCs w:val="21"/>
              </w:rPr>
              <w:t>≥</w:t>
            </w:r>
            <w:r>
              <w:rPr>
                <w:rFonts w:hint="eastAsia" w:cs="Times New Roman"/>
                <w:spacing w:val="0"/>
                <w:sz w:val="21"/>
                <w:szCs w:val="21"/>
              </w:rPr>
              <w:t>90</w:t>
            </w:r>
          </w:p>
        </w:tc>
        <w:tc>
          <w:tcPr>
            <w:tcW w:w="1732" w:type="dxa"/>
            <w:tcBorders>
              <w:top w:val="single" w:color="auto" w:sz="4" w:space="0"/>
              <w:left w:val="nil"/>
              <w:bottom w:val="single" w:color="auto" w:sz="4" w:space="0"/>
              <w:right w:val="single" w:color="auto" w:sz="4" w:space="0"/>
            </w:tcBorders>
            <w:vAlign w:val="center"/>
          </w:tcPr>
          <w:p w14:paraId="0AFE1687">
            <w:pPr>
              <w:spacing w:line="240" w:lineRule="auto"/>
              <w:ind w:firstLine="0" w:firstLineChars="0"/>
              <w:jc w:val="center"/>
              <w:rPr>
                <w:rFonts w:cs="Times New Roman"/>
                <w:spacing w:val="0"/>
                <w:sz w:val="21"/>
                <w:szCs w:val="21"/>
              </w:rPr>
            </w:pPr>
            <w:r>
              <w:rPr>
                <w:rFonts w:cs="Times New Roman"/>
                <w:spacing w:val="0"/>
                <w:sz w:val="21"/>
                <w:szCs w:val="21"/>
              </w:rPr>
              <w:t>＜</w:t>
            </w:r>
            <w:r>
              <w:rPr>
                <w:rFonts w:hint="eastAsia" w:cs="Times New Roman"/>
                <w:spacing w:val="0"/>
                <w:sz w:val="21"/>
                <w:szCs w:val="21"/>
              </w:rPr>
              <w:t>90</w:t>
            </w:r>
            <w:r>
              <w:rPr>
                <w:rFonts w:cs="Times New Roman"/>
                <w:spacing w:val="0"/>
                <w:sz w:val="21"/>
                <w:szCs w:val="21"/>
              </w:rPr>
              <w:t>，≥80</w:t>
            </w:r>
          </w:p>
        </w:tc>
        <w:tc>
          <w:tcPr>
            <w:tcW w:w="1732" w:type="dxa"/>
            <w:tcBorders>
              <w:top w:val="single" w:color="auto" w:sz="4" w:space="0"/>
              <w:left w:val="nil"/>
              <w:bottom w:val="single" w:color="auto" w:sz="4" w:space="0"/>
              <w:right w:val="single" w:color="auto" w:sz="4" w:space="0"/>
            </w:tcBorders>
            <w:vAlign w:val="center"/>
          </w:tcPr>
          <w:p w14:paraId="78E7AC58">
            <w:pPr>
              <w:spacing w:line="240" w:lineRule="auto"/>
              <w:ind w:firstLine="0" w:firstLineChars="0"/>
              <w:jc w:val="center"/>
              <w:rPr>
                <w:rFonts w:cs="Times New Roman"/>
                <w:spacing w:val="0"/>
                <w:sz w:val="21"/>
                <w:szCs w:val="21"/>
              </w:rPr>
            </w:pPr>
            <w:r>
              <w:rPr>
                <w:rFonts w:cs="Times New Roman"/>
                <w:spacing w:val="0"/>
                <w:sz w:val="21"/>
                <w:szCs w:val="21"/>
              </w:rPr>
              <w:t>＜</w:t>
            </w:r>
            <w:r>
              <w:rPr>
                <w:rFonts w:hint="eastAsia" w:cs="Times New Roman"/>
                <w:spacing w:val="0"/>
                <w:sz w:val="21"/>
                <w:szCs w:val="21"/>
              </w:rPr>
              <w:t>8</w:t>
            </w:r>
            <w:r>
              <w:rPr>
                <w:rFonts w:cs="Times New Roman"/>
                <w:spacing w:val="0"/>
                <w:sz w:val="21"/>
                <w:szCs w:val="21"/>
              </w:rPr>
              <w:t>0，≥</w:t>
            </w:r>
            <w:r>
              <w:rPr>
                <w:rFonts w:hint="eastAsia" w:cs="Times New Roman"/>
                <w:spacing w:val="0"/>
                <w:sz w:val="21"/>
                <w:szCs w:val="21"/>
              </w:rPr>
              <w:t>60</w:t>
            </w:r>
          </w:p>
        </w:tc>
        <w:tc>
          <w:tcPr>
            <w:tcW w:w="1733" w:type="dxa"/>
            <w:tcBorders>
              <w:top w:val="single" w:color="auto" w:sz="4" w:space="0"/>
              <w:left w:val="nil"/>
              <w:bottom w:val="single" w:color="auto" w:sz="4" w:space="0"/>
              <w:right w:val="single" w:color="auto" w:sz="4" w:space="0"/>
            </w:tcBorders>
            <w:vAlign w:val="center"/>
          </w:tcPr>
          <w:p w14:paraId="6EF562A9">
            <w:pPr>
              <w:spacing w:line="240" w:lineRule="auto"/>
              <w:ind w:firstLine="0" w:firstLineChars="0"/>
              <w:jc w:val="center"/>
              <w:rPr>
                <w:rFonts w:cs="Times New Roman"/>
                <w:spacing w:val="0"/>
                <w:sz w:val="21"/>
                <w:szCs w:val="21"/>
              </w:rPr>
            </w:pPr>
            <w:r>
              <w:rPr>
                <w:rFonts w:cs="Times New Roman"/>
                <w:spacing w:val="0"/>
                <w:sz w:val="21"/>
                <w:szCs w:val="21"/>
              </w:rPr>
              <w:t>＜</w:t>
            </w:r>
            <w:r>
              <w:rPr>
                <w:rFonts w:hint="eastAsia" w:cs="Times New Roman"/>
                <w:spacing w:val="0"/>
                <w:sz w:val="21"/>
                <w:szCs w:val="21"/>
              </w:rPr>
              <w:t>60</w:t>
            </w:r>
          </w:p>
        </w:tc>
      </w:tr>
    </w:tbl>
    <w:p w14:paraId="0D6EAE7D">
      <w:pPr>
        <w:pStyle w:val="3"/>
        <w:adjustRightInd/>
        <w:snapToGrid/>
        <w:spacing w:before="0" w:after="0"/>
        <w:ind w:firstLine="321" w:firstLineChars="100"/>
        <w:contextualSpacing/>
        <w:rPr>
          <w:rFonts w:ascii="楷体_GB2312" w:eastAsia="楷体_GB2312"/>
        </w:rPr>
      </w:pPr>
      <w:bookmarkStart w:id="15" w:name="_Toc167874822"/>
      <w:r>
        <w:rPr>
          <w:rFonts w:hint="eastAsia" w:ascii="楷体_GB2312" w:eastAsia="楷体_GB2312"/>
        </w:rPr>
        <w:t>（三）评价工作过程</w:t>
      </w:r>
      <w:bookmarkEnd w:id="15"/>
    </w:p>
    <w:p w14:paraId="3A2405E0">
      <w:pPr>
        <w:adjustRightInd/>
        <w:snapToGrid/>
        <w:ind w:firstLine="664"/>
        <w:contextualSpacing/>
        <w:rPr>
          <w:sz w:val="32"/>
          <w:szCs w:val="32"/>
        </w:rPr>
      </w:pPr>
      <w:r>
        <w:rPr>
          <w:rFonts w:hint="eastAsia"/>
          <w:sz w:val="32"/>
          <w:szCs w:val="32"/>
        </w:rPr>
        <w:t>我所根据《江西省委托第三方机构参与预算绩效管理工作暂行办法》（赣财规〔</w:t>
      </w:r>
      <w:r>
        <w:rPr>
          <w:sz w:val="32"/>
          <w:szCs w:val="32"/>
        </w:rPr>
        <w:t>2021〕3号）的要求，组建了</w:t>
      </w:r>
      <w:r>
        <w:rPr>
          <w:rFonts w:hint="eastAsia"/>
          <w:sz w:val="32"/>
          <w:szCs w:val="32"/>
        </w:rPr>
        <w:t>6</w:t>
      </w:r>
      <w:r>
        <w:rPr>
          <w:sz w:val="32"/>
          <w:szCs w:val="32"/>
        </w:rPr>
        <w:t>人绩效评价工作组，投入主评人1名、质量复核人</w:t>
      </w:r>
      <w:r>
        <w:rPr>
          <w:rFonts w:hint="eastAsia"/>
          <w:sz w:val="32"/>
          <w:szCs w:val="32"/>
        </w:rPr>
        <w:t>1名、</w:t>
      </w:r>
      <w:r>
        <w:rPr>
          <w:sz w:val="32"/>
          <w:szCs w:val="32"/>
        </w:rPr>
        <w:t>项目联络人1名、项目组员3名，负责工作方案的制定、绩效指标体系及调查问卷设计、现场调研、资料收集、数据分析及整理、撰写评价报告等具体事宜。</w:t>
      </w:r>
    </w:p>
    <w:p w14:paraId="6C70CB07">
      <w:pPr>
        <w:adjustRightInd/>
        <w:snapToGrid/>
        <w:ind w:firstLine="667"/>
        <w:contextualSpacing/>
        <w:rPr>
          <w:sz w:val="32"/>
          <w:szCs w:val="32"/>
        </w:rPr>
      </w:pPr>
      <w:r>
        <w:rPr>
          <w:b/>
          <w:sz w:val="32"/>
          <w:szCs w:val="32"/>
        </w:rPr>
        <w:t>1.前期准备阶段。</w:t>
      </w:r>
      <w:r>
        <w:rPr>
          <w:sz w:val="32"/>
          <w:szCs w:val="32"/>
        </w:rPr>
        <w:t>围绕部门整体支出绩效目标，开展调研工作。查阅被评价单位提供的汇总资料，包括部门的职责职能、年度工作计划、工作计划、管理制度等，详细调阅部门履职过程中所涉及的相关资料。在对部门的工作计划详细研读后，制定本次绩效评价的工作方案并设计评价指标体系。</w:t>
      </w:r>
    </w:p>
    <w:p w14:paraId="57AFB53D">
      <w:pPr>
        <w:adjustRightInd/>
        <w:snapToGrid/>
        <w:ind w:firstLine="667"/>
        <w:contextualSpacing/>
        <w:rPr>
          <w:sz w:val="32"/>
          <w:szCs w:val="32"/>
        </w:rPr>
      </w:pPr>
      <w:r>
        <w:rPr>
          <w:b/>
          <w:sz w:val="32"/>
          <w:szCs w:val="32"/>
        </w:rPr>
        <w:t>2.现场实施阶段。</w:t>
      </w:r>
      <w:r>
        <w:rPr>
          <w:sz w:val="32"/>
          <w:szCs w:val="32"/>
        </w:rPr>
        <w:t>为整体反映部门履职情况，评价小组通过开展现场评价工作，详细了解部门的工作任务、工作计划的落实等情况，</w:t>
      </w:r>
      <w:r>
        <w:rPr>
          <w:rFonts w:hint="eastAsia"/>
          <w:sz w:val="32"/>
          <w:szCs w:val="32"/>
        </w:rPr>
        <w:t>并通过有针对性地访谈调研，了解浮梁县市监局在推动党建及精神文明创建指导等方面的工作情况以及服务对象对改进其工作的意见建议等，为评价结果取得第一手资料</w:t>
      </w:r>
      <w:r>
        <w:rPr>
          <w:sz w:val="32"/>
          <w:szCs w:val="32"/>
        </w:rPr>
        <w:t>。</w:t>
      </w:r>
    </w:p>
    <w:p w14:paraId="097B1D01">
      <w:pPr>
        <w:adjustRightInd/>
        <w:snapToGrid/>
        <w:ind w:firstLine="667"/>
        <w:contextualSpacing/>
        <w:rPr>
          <w:sz w:val="32"/>
          <w:szCs w:val="32"/>
        </w:rPr>
      </w:pPr>
      <w:r>
        <w:rPr>
          <w:b/>
          <w:sz w:val="32"/>
          <w:szCs w:val="32"/>
        </w:rPr>
        <w:t>3.报告出具及资料归档阶段。</w:t>
      </w:r>
      <w:r>
        <w:rPr>
          <w:sz w:val="32"/>
          <w:szCs w:val="32"/>
        </w:rPr>
        <w:t>通过认真逐项评分并核实佐证材料，完成此次绩效评价报告，评价结果力求客观、公正、全面地反映该部门的履职绩效。绩效评价工作完成后，按照要求及时进行资料的归档。</w:t>
      </w:r>
    </w:p>
    <w:p w14:paraId="67119C82">
      <w:pPr>
        <w:pStyle w:val="2"/>
        <w:adjustRightInd/>
        <w:snapToGrid/>
        <w:spacing w:before="0" w:after="0"/>
        <w:ind w:firstLine="664"/>
        <w:contextualSpacing/>
        <w:rPr>
          <w:szCs w:val="32"/>
        </w:rPr>
      </w:pPr>
      <w:bookmarkStart w:id="16" w:name="_Toc167874823"/>
      <w:r>
        <w:rPr>
          <w:rFonts w:hint="eastAsia"/>
          <w:szCs w:val="32"/>
        </w:rPr>
        <w:t>三、评价总体结论</w:t>
      </w:r>
      <w:bookmarkEnd w:id="16"/>
    </w:p>
    <w:p w14:paraId="7DDD9BD7">
      <w:pPr>
        <w:pStyle w:val="3"/>
        <w:adjustRightInd/>
        <w:snapToGrid/>
        <w:spacing w:before="0" w:after="0"/>
        <w:ind w:firstLine="667"/>
        <w:contextualSpacing/>
        <w:rPr>
          <w:rFonts w:ascii="楷体_GB2312" w:eastAsia="楷体_GB2312"/>
        </w:rPr>
      </w:pPr>
      <w:bookmarkStart w:id="17" w:name="_Toc167874824"/>
      <w:r>
        <w:rPr>
          <w:rFonts w:hint="eastAsia" w:ascii="楷体_GB2312" w:eastAsia="楷体_GB2312"/>
        </w:rPr>
        <w:t>（一）评价得分情况</w:t>
      </w:r>
      <w:bookmarkEnd w:id="17"/>
    </w:p>
    <w:p w14:paraId="6959E53A">
      <w:pPr>
        <w:pStyle w:val="5"/>
        <w:spacing w:after="0" w:line="560" w:lineRule="exact"/>
        <w:ind w:left="0" w:leftChars="0" w:firstLine="640" w:firstLineChars="200"/>
        <w:contextualSpacing/>
        <w:rPr>
          <w:rFonts w:ascii="仿宋_GB2312" w:hAnsi="仿宋" w:eastAsia="仿宋_GB2312" w:cs="仿宋"/>
          <w:sz w:val="32"/>
          <w:szCs w:val="32"/>
        </w:rPr>
      </w:pPr>
      <w:r>
        <w:rPr>
          <w:rFonts w:hint="eastAsia" w:ascii="仿宋_GB2312" w:hAnsi="仿宋" w:eastAsia="仿宋_GB2312" w:cs="仿宋"/>
          <w:sz w:val="32"/>
          <w:szCs w:val="32"/>
        </w:rPr>
        <w:t>经评价小组核定，2023年，浮梁县市场监督管理局基本按照年初工作要点完成了重点工作任务，部门产出完成情况较好，最终得分为：85.78分。评分简表如下：</w:t>
      </w:r>
    </w:p>
    <w:p w14:paraId="7C4D264A">
      <w:pPr>
        <w:adjustRightInd/>
        <w:snapToGrid/>
        <w:ind w:firstLine="444"/>
        <w:contextualSpacing/>
        <w:jc w:val="center"/>
        <w:rPr>
          <w:rFonts w:ascii="黑体" w:hAnsi="黑体" w:eastAsia="黑体" w:cs="仿宋"/>
          <w:sz w:val="21"/>
          <w:szCs w:val="21"/>
        </w:rPr>
      </w:pPr>
      <w:r>
        <w:rPr>
          <w:rFonts w:hint="eastAsia" w:ascii="黑体" w:hAnsi="黑体" w:eastAsia="黑体" w:cs="仿宋"/>
          <w:sz w:val="21"/>
          <w:szCs w:val="21"/>
        </w:rPr>
        <w:t>表3-1 2023年度浮梁县市监局部门整体支出绩效评价评分简表</w:t>
      </w:r>
    </w:p>
    <w:tbl>
      <w:tblPr>
        <w:tblStyle w:val="12"/>
        <w:tblW w:w="8318" w:type="dxa"/>
        <w:tblInd w:w="96" w:type="dxa"/>
        <w:tblLayout w:type="fixed"/>
        <w:tblCellMar>
          <w:top w:w="0" w:type="dxa"/>
          <w:left w:w="108" w:type="dxa"/>
          <w:bottom w:w="0" w:type="dxa"/>
          <w:right w:w="108" w:type="dxa"/>
        </w:tblCellMar>
      </w:tblPr>
      <w:tblGrid>
        <w:gridCol w:w="1766"/>
        <w:gridCol w:w="3018"/>
        <w:gridCol w:w="1766"/>
        <w:gridCol w:w="1768"/>
      </w:tblGrid>
      <w:tr w14:paraId="72EF4B1C">
        <w:tblPrEx>
          <w:tblCellMar>
            <w:top w:w="0" w:type="dxa"/>
            <w:left w:w="108" w:type="dxa"/>
            <w:bottom w:w="0" w:type="dxa"/>
            <w:right w:w="108" w:type="dxa"/>
          </w:tblCellMar>
        </w:tblPrEx>
        <w:trPr>
          <w:trHeight w:val="289" w:hRule="atLeast"/>
          <w:tblHeader/>
        </w:trPr>
        <w:tc>
          <w:tcPr>
            <w:tcW w:w="176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5A6D72F">
            <w:pPr>
              <w:widowControl/>
              <w:spacing w:line="240" w:lineRule="auto"/>
              <w:ind w:firstLine="0" w:firstLineChars="0"/>
              <w:jc w:val="center"/>
              <w:textAlignment w:val="center"/>
              <w:rPr>
                <w:rFonts w:cs="仿宋"/>
                <w:b/>
                <w:bCs/>
                <w:color w:val="000000"/>
                <w:sz w:val="24"/>
                <w:szCs w:val="24"/>
              </w:rPr>
            </w:pPr>
            <w:r>
              <w:rPr>
                <w:rFonts w:hint="eastAsia" w:cs="仿宋"/>
                <w:b/>
                <w:bCs/>
                <w:color w:val="000000"/>
                <w:kern w:val="0"/>
                <w:sz w:val="24"/>
                <w:szCs w:val="24"/>
                <w:lang w:bidi="ar"/>
              </w:rPr>
              <w:t>一级指标</w:t>
            </w:r>
          </w:p>
        </w:tc>
        <w:tc>
          <w:tcPr>
            <w:tcW w:w="3018"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2789D1E">
            <w:pPr>
              <w:widowControl/>
              <w:spacing w:line="240" w:lineRule="auto"/>
              <w:ind w:firstLine="0" w:firstLineChars="0"/>
              <w:jc w:val="center"/>
              <w:textAlignment w:val="center"/>
              <w:rPr>
                <w:rFonts w:cs="仿宋"/>
                <w:b/>
                <w:bCs/>
                <w:color w:val="000000"/>
                <w:sz w:val="24"/>
                <w:szCs w:val="24"/>
              </w:rPr>
            </w:pPr>
            <w:r>
              <w:rPr>
                <w:rFonts w:hint="eastAsia" w:cs="仿宋"/>
                <w:b/>
                <w:bCs/>
                <w:color w:val="000000"/>
                <w:kern w:val="0"/>
                <w:sz w:val="24"/>
                <w:szCs w:val="24"/>
                <w:lang w:bidi="ar"/>
              </w:rPr>
              <w:t>二级指标</w:t>
            </w:r>
          </w:p>
        </w:tc>
        <w:tc>
          <w:tcPr>
            <w:tcW w:w="176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8BB1932">
            <w:pPr>
              <w:widowControl/>
              <w:spacing w:line="240" w:lineRule="auto"/>
              <w:ind w:firstLine="0" w:firstLineChars="0"/>
              <w:jc w:val="center"/>
              <w:textAlignment w:val="center"/>
              <w:rPr>
                <w:rFonts w:cs="仿宋"/>
                <w:b/>
                <w:bCs/>
                <w:color w:val="000000"/>
                <w:sz w:val="24"/>
                <w:szCs w:val="24"/>
              </w:rPr>
            </w:pPr>
            <w:r>
              <w:rPr>
                <w:rFonts w:hint="eastAsia" w:cs="仿宋"/>
                <w:b/>
                <w:bCs/>
                <w:color w:val="000000"/>
                <w:kern w:val="0"/>
                <w:sz w:val="24"/>
                <w:szCs w:val="24"/>
                <w:lang w:bidi="ar"/>
              </w:rPr>
              <w:t>分值</w:t>
            </w:r>
          </w:p>
        </w:tc>
        <w:tc>
          <w:tcPr>
            <w:tcW w:w="1768"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BE34CA9">
            <w:pPr>
              <w:widowControl/>
              <w:spacing w:line="240" w:lineRule="auto"/>
              <w:ind w:firstLine="0" w:firstLineChars="0"/>
              <w:jc w:val="center"/>
              <w:textAlignment w:val="center"/>
              <w:rPr>
                <w:rFonts w:cs="仿宋"/>
                <w:b/>
                <w:bCs/>
                <w:color w:val="000000"/>
                <w:sz w:val="24"/>
                <w:szCs w:val="24"/>
              </w:rPr>
            </w:pPr>
            <w:r>
              <w:rPr>
                <w:rFonts w:hint="eastAsia" w:cs="仿宋"/>
                <w:b/>
                <w:bCs/>
                <w:color w:val="000000"/>
                <w:kern w:val="0"/>
                <w:sz w:val="24"/>
                <w:szCs w:val="24"/>
                <w:lang w:bidi="ar"/>
              </w:rPr>
              <w:t>得分</w:t>
            </w:r>
          </w:p>
        </w:tc>
      </w:tr>
      <w:tr w14:paraId="07005284">
        <w:tblPrEx>
          <w:tblCellMar>
            <w:top w:w="0" w:type="dxa"/>
            <w:left w:w="108" w:type="dxa"/>
            <w:bottom w:w="0" w:type="dxa"/>
            <w:right w:w="108" w:type="dxa"/>
          </w:tblCellMar>
        </w:tblPrEx>
        <w:trPr>
          <w:trHeight w:val="289" w:hRule="atLeast"/>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53254">
            <w:pPr>
              <w:widowControl/>
              <w:spacing w:line="240" w:lineRule="auto"/>
              <w:ind w:firstLine="0" w:firstLineChars="0"/>
              <w:jc w:val="center"/>
              <w:textAlignment w:val="center"/>
              <w:rPr>
                <w:rFonts w:cs="仿宋"/>
                <w:color w:val="000000"/>
                <w:sz w:val="24"/>
                <w:szCs w:val="24"/>
              </w:rPr>
            </w:pPr>
            <w:r>
              <w:rPr>
                <w:rFonts w:hint="eastAsia" w:cs="仿宋"/>
                <w:color w:val="000000"/>
                <w:kern w:val="0"/>
                <w:sz w:val="24"/>
                <w:szCs w:val="24"/>
                <w:lang w:bidi="ar"/>
              </w:rPr>
              <w:t>部门决策</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50E7">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部门规划计划</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F84F">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C86">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3.60</w:t>
            </w:r>
          </w:p>
        </w:tc>
      </w:tr>
      <w:tr w14:paraId="34C1D9A9">
        <w:tblPrEx>
          <w:tblCellMar>
            <w:top w:w="0" w:type="dxa"/>
            <w:left w:w="108" w:type="dxa"/>
            <w:bottom w:w="0" w:type="dxa"/>
            <w:right w:w="108" w:type="dxa"/>
          </w:tblCellMar>
        </w:tblPrEx>
        <w:trPr>
          <w:trHeight w:val="289" w:hRule="atLeast"/>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78CE">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CA29">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绩效目标</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2EB">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322">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3.20</w:t>
            </w:r>
          </w:p>
        </w:tc>
      </w:tr>
      <w:tr w14:paraId="51D888D7">
        <w:tblPrEx>
          <w:tblCellMar>
            <w:top w:w="0" w:type="dxa"/>
            <w:left w:w="108" w:type="dxa"/>
            <w:bottom w:w="0" w:type="dxa"/>
            <w:right w:w="108" w:type="dxa"/>
          </w:tblCellMar>
        </w:tblPrEx>
        <w:trPr>
          <w:trHeight w:val="289" w:hRule="atLeast"/>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55E9">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0256">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资金配置</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6A4">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C244">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4</w:t>
            </w:r>
          </w:p>
        </w:tc>
      </w:tr>
      <w:tr w14:paraId="018A6E8D">
        <w:tblPrEx>
          <w:tblCellMar>
            <w:top w:w="0" w:type="dxa"/>
            <w:left w:w="108" w:type="dxa"/>
            <w:bottom w:w="0" w:type="dxa"/>
            <w:right w:w="108" w:type="dxa"/>
          </w:tblCellMar>
        </w:tblPrEx>
        <w:trPr>
          <w:trHeight w:val="289" w:hRule="atLeast"/>
        </w:trPr>
        <w:tc>
          <w:tcPr>
            <w:tcW w:w="1766" w:type="dxa"/>
            <w:vMerge w:val="restart"/>
            <w:tcBorders>
              <w:top w:val="single" w:color="000000" w:sz="4" w:space="0"/>
              <w:left w:val="single" w:color="000000" w:sz="4" w:space="0"/>
              <w:right w:val="single" w:color="000000" w:sz="4" w:space="0"/>
            </w:tcBorders>
            <w:shd w:val="clear" w:color="auto" w:fill="auto"/>
            <w:vAlign w:val="center"/>
          </w:tcPr>
          <w:p w14:paraId="2DA63158">
            <w:pPr>
              <w:spacing w:line="240" w:lineRule="auto"/>
              <w:ind w:firstLine="0" w:firstLineChars="0"/>
              <w:jc w:val="center"/>
              <w:textAlignment w:val="center"/>
              <w:rPr>
                <w:rFonts w:cs="仿宋"/>
                <w:color w:val="000000"/>
                <w:sz w:val="24"/>
                <w:szCs w:val="24"/>
              </w:rPr>
            </w:pPr>
            <w:r>
              <w:rPr>
                <w:rFonts w:hint="eastAsia" w:cs="仿宋"/>
                <w:color w:val="000000"/>
                <w:kern w:val="0"/>
                <w:sz w:val="24"/>
                <w:szCs w:val="24"/>
                <w:lang w:bidi="ar"/>
              </w:rPr>
              <w:t>部门管理</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A82B">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资金管理</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AFDF">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501F">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1</w:t>
            </w:r>
          </w:p>
        </w:tc>
      </w:tr>
      <w:tr w14:paraId="5E5469ED">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29E1D1C0">
            <w:pPr>
              <w:spacing w:line="240" w:lineRule="auto"/>
              <w:ind w:firstLine="504"/>
              <w:jc w:val="center"/>
              <w:textAlignment w:val="center"/>
              <w:rPr>
                <w:rFonts w:cs="仿宋"/>
                <w:color w:val="000000"/>
                <w:sz w:val="24"/>
                <w:szCs w:val="24"/>
              </w:rPr>
            </w:pPr>
          </w:p>
        </w:tc>
        <w:tc>
          <w:tcPr>
            <w:tcW w:w="3018" w:type="dxa"/>
            <w:tcBorders>
              <w:top w:val="single" w:color="auto" w:sz="4" w:space="0"/>
              <w:left w:val="single" w:color="000000" w:sz="4" w:space="0"/>
              <w:bottom w:val="single" w:color="000000" w:sz="4" w:space="0"/>
              <w:right w:val="single" w:color="000000" w:sz="4" w:space="0"/>
            </w:tcBorders>
            <w:shd w:val="clear" w:color="auto" w:fill="auto"/>
            <w:vAlign w:val="center"/>
          </w:tcPr>
          <w:p w14:paraId="54EB7DE5">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预算管理</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222">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A9D5">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r>
      <w:tr w14:paraId="5CA4F63A">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3B0177EE">
            <w:pPr>
              <w:widowControl/>
              <w:spacing w:line="240" w:lineRule="auto"/>
              <w:ind w:firstLine="504"/>
              <w:jc w:val="center"/>
              <w:textAlignment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CBD">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政府采购管理</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B2B">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FA29">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0</w:t>
            </w:r>
          </w:p>
        </w:tc>
      </w:tr>
      <w:tr w14:paraId="0713EDF0">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47B460D3">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90C">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资产管理</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5BE">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8EAF">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2.80</w:t>
            </w:r>
          </w:p>
        </w:tc>
      </w:tr>
      <w:tr w14:paraId="275F7A26">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6933C281">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E4DA">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组织实施</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B13C">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D8E">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r>
      <w:tr w14:paraId="5DC5EF7C">
        <w:tblPrEx>
          <w:tblCellMar>
            <w:top w:w="0" w:type="dxa"/>
            <w:left w:w="108" w:type="dxa"/>
            <w:bottom w:w="0" w:type="dxa"/>
            <w:right w:w="108" w:type="dxa"/>
          </w:tblCellMar>
        </w:tblPrEx>
        <w:trPr>
          <w:trHeight w:val="289" w:hRule="atLeast"/>
        </w:trPr>
        <w:tc>
          <w:tcPr>
            <w:tcW w:w="1766" w:type="dxa"/>
            <w:vMerge w:val="restart"/>
            <w:tcBorders>
              <w:top w:val="single" w:color="auto" w:sz="4" w:space="0"/>
              <w:left w:val="single" w:color="000000" w:sz="4" w:space="0"/>
              <w:right w:val="single" w:color="000000" w:sz="4" w:space="0"/>
            </w:tcBorders>
            <w:shd w:val="clear" w:color="auto" w:fill="auto"/>
            <w:vAlign w:val="center"/>
          </w:tcPr>
          <w:p w14:paraId="3B514A8A">
            <w:pPr>
              <w:spacing w:line="240" w:lineRule="auto"/>
              <w:ind w:firstLine="0" w:firstLineChars="0"/>
              <w:jc w:val="center"/>
              <w:rPr>
                <w:rFonts w:cs="仿宋"/>
                <w:color w:val="000000"/>
                <w:sz w:val="24"/>
                <w:szCs w:val="24"/>
              </w:rPr>
            </w:pPr>
            <w:r>
              <w:rPr>
                <w:rFonts w:hint="eastAsia" w:cs="仿宋"/>
                <w:color w:val="000000"/>
                <w:sz w:val="24"/>
                <w:szCs w:val="24"/>
              </w:rPr>
              <w:t>部门产出</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B971">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产出数量</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6A3">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738B">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12</w:t>
            </w:r>
          </w:p>
        </w:tc>
      </w:tr>
      <w:tr w14:paraId="77F179AB">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2F26BD06">
            <w:pPr>
              <w:widowControl/>
              <w:spacing w:line="240" w:lineRule="auto"/>
              <w:ind w:firstLine="504"/>
              <w:jc w:val="center"/>
              <w:textAlignment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083">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产出质量</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206">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F07D">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8.65</w:t>
            </w:r>
          </w:p>
        </w:tc>
      </w:tr>
      <w:tr w14:paraId="20199EF5">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2850BD54">
            <w:pPr>
              <w:spacing w:line="240" w:lineRule="auto"/>
              <w:ind w:firstLine="504"/>
              <w:jc w:val="center"/>
              <w:rPr>
                <w:rFonts w:cs="仿宋"/>
                <w:color w:val="000000"/>
                <w:sz w:val="24"/>
                <w:szCs w:val="24"/>
              </w:rPr>
            </w:pPr>
          </w:p>
        </w:tc>
        <w:tc>
          <w:tcPr>
            <w:tcW w:w="3018" w:type="dxa"/>
            <w:tcBorders>
              <w:top w:val="single" w:color="auto" w:sz="4" w:space="0"/>
              <w:left w:val="single" w:color="000000" w:sz="4" w:space="0"/>
              <w:bottom w:val="single" w:color="000000" w:sz="4" w:space="0"/>
              <w:right w:val="single" w:color="000000" w:sz="4" w:space="0"/>
            </w:tcBorders>
            <w:shd w:val="clear" w:color="auto" w:fill="auto"/>
            <w:vAlign w:val="center"/>
          </w:tcPr>
          <w:p w14:paraId="60BB23B0">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产出时效</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B72">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6C03">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3</w:t>
            </w:r>
          </w:p>
        </w:tc>
      </w:tr>
      <w:tr w14:paraId="1AB57261">
        <w:tblPrEx>
          <w:tblCellMar>
            <w:top w:w="0" w:type="dxa"/>
            <w:left w:w="108" w:type="dxa"/>
            <w:bottom w:w="0" w:type="dxa"/>
            <w:right w:w="108" w:type="dxa"/>
          </w:tblCellMar>
        </w:tblPrEx>
        <w:trPr>
          <w:trHeight w:val="289" w:hRule="atLeast"/>
        </w:trPr>
        <w:tc>
          <w:tcPr>
            <w:tcW w:w="1766" w:type="dxa"/>
            <w:vMerge w:val="continue"/>
            <w:tcBorders>
              <w:left w:val="single" w:color="000000" w:sz="4" w:space="0"/>
              <w:bottom w:val="single" w:color="000000" w:sz="4" w:space="0"/>
              <w:right w:val="single" w:color="000000" w:sz="4" w:space="0"/>
            </w:tcBorders>
            <w:shd w:val="clear" w:color="auto" w:fill="auto"/>
            <w:vAlign w:val="center"/>
          </w:tcPr>
          <w:p w14:paraId="7E8C34D6">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C1E">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产出成本</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927A">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026">
            <w:pPr>
              <w:widowControl/>
              <w:spacing w:line="240" w:lineRule="auto"/>
              <w:ind w:firstLine="0" w:firstLineChars="0"/>
              <w:jc w:val="center"/>
              <w:textAlignment w:val="center"/>
              <w:rPr>
                <w:rFonts w:cs="仿宋"/>
                <w:color w:val="000000"/>
                <w:sz w:val="24"/>
                <w:szCs w:val="24"/>
              </w:rPr>
            </w:pPr>
            <w:r>
              <w:rPr>
                <w:rFonts w:hint="eastAsia" w:cs="仿宋"/>
                <w:color w:val="000000"/>
                <w:sz w:val="24"/>
                <w:szCs w:val="24"/>
              </w:rPr>
              <w:t>6</w:t>
            </w:r>
          </w:p>
        </w:tc>
      </w:tr>
      <w:tr w14:paraId="113A9114">
        <w:tblPrEx>
          <w:tblCellMar>
            <w:top w:w="0" w:type="dxa"/>
            <w:left w:w="108" w:type="dxa"/>
            <w:bottom w:w="0" w:type="dxa"/>
            <w:right w:w="108" w:type="dxa"/>
          </w:tblCellMar>
        </w:tblPrEx>
        <w:trPr>
          <w:trHeight w:val="289" w:hRule="atLeast"/>
        </w:trPr>
        <w:tc>
          <w:tcPr>
            <w:tcW w:w="1766" w:type="dxa"/>
            <w:vMerge w:val="restart"/>
            <w:tcBorders>
              <w:top w:val="single" w:color="000000" w:sz="4" w:space="0"/>
              <w:left w:val="single" w:color="000000" w:sz="4" w:space="0"/>
              <w:right w:val="single" w:color="000000" w:sz="4" w:space="0"/>
            </w:tcBorders>
            <w:shd w:val="clear" w:color="auto" w:fill="auto"/>
            <w:vAlign w:val="center"/>
          </w:tcPr>
          <w:p w14:paraId="03EEC95C">
            <w:pPr>
              <w:spacing w:line="240" w:lineRule="auto"/>
              <w:ind w:firstLine="0" w:firstLineChars="0"/>
              <w:jc w:val="center"/>
              <w:rPr>
                <w:rFonts w:cs="仿宋"/>
                <w:color w:val="000000"/>
                <w:sz w:val="24"/>
                <w:szCs w:val="24"/>
              </w:rPr>
            </w:pPr>
            <w:r>
              <w:rPr>
                <w:rFonts w:hint="eastAsia" w:cs="仿宋"/>
                <w:color w:val="000000"/>
                <w:sz w:val="24"/>
                <w:szCs w:val="24"/>
              </w:rPr>
              <w:t>部门效益</w:t>
            </w: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DDB8">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社会效益</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7C3F">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30</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6C4F">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25.53</w:t>
            </w:r>
          </w:p>
        </w:tc>
      </w:tr>
      <w:tr w14:paraId="6C337397">
        <w:tblPrEx>
          <w:tblCellMar>
            <w:top w:w="0" w:type="dxa"/>
            <w:left w:w="108" w:type="dxa"/>
            <w:bottom w:w="0" w:type="dxa"/>
            <w:right w:w="108" w:type="dxa"/>
          </w:tblCellMar>
        </w:tblPrEx>
        <w:trPr>
          <w:trHeight w:val="289" w:hRule="atLeast"/>
        </w:trPr>
        <w:tc>
          <w:tcPr>
            <w:tcW w:w="1766" w:type="dxa"/>
            <w:vMerge w:val="continue"/>
            <w:tcBorders>
              <w:left w:val="single" w:color="000000" w:sz="4" w:space="0"/>
              <w:right w:val="single" w:color="000000" w:sz="4" w:space="0"/>
            </w:tcBorders>
            <w:shd w:val="clear" w:color="auto" w:fill="auto"/>
            <w:vAlign w:val="center"/>
          </w:tcPr>
          <w:p w14:paraId="3A17C526">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DEDD">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在职人员满意度</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8F9">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A21F">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5</w:t>
            </w:r>
          </w:p>
        </w:tc>
      </w:tr>
      <w:tr w14:paraId="5365B04D">
        <w:tblPrEx>
          <w:tblCellMar>
            <w:top w:w="0" w:type="dxa"/>
            <w:left w:w="108" w:type="dxa"/>
            <w:bottom w:w="0" w:type="dxa"/>
            <w:right w:w="108" w:type="dxa"/>
          </w:tblCellMar>
        </w:tblPrEx>
        <w:trPr>
          <w:trHeight w:val="289" w:hRule="atLeast"/>
        </w:trPr>
        <w:tc>
          <w:tcPr>
            <w:tcW w:w="1766" w:type="dxa"/>
            <w:vMerge w:val="continue"/>
            <w:tcBorders>
              <w:left w:val="single" w:color="000000" w:sz="4" w:space="0"/>
              <w:bottom w:val="single" w:color="000000" w:sz="4" w:space="0"/>
              <w:right w:val="single" w:color="000000" w:sz="4" w:space="0"/>
            </w:tcBorders>
            <w:shd w:val="clear" w:color="auto" w:fill="auto"/>
            <w:vAlign w:val="center"/>
          </w:tcPr>
          <w:p w14:paraId="36696650">
            <w:pPr>
              <w:spacing w:line="240" w:lineRule="auto"/>
              <w:ind w:firstLine="504"/>
              <w:jc w:val="center"/>
              <w:rPr>
                <w:rFonts w:cs="仿宋"/>
                <w:color w:val="000000"/>
                <w:sz w:val="24"/>
                <w:szCs w:val="24"/>
              </w:rPr>
            </w:pPr>
          </w:p>
        </w:tc>
        <w:tc>
          <w:tcPr>
            <w:tcW w:w="3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EF4">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群众满意度</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62B">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A43">
            <w:pPr>
              <w:widowControl/>
              <w:spacing w:line="240" w:lineRule="auto"/>
              <w:ind w:firstLine="0" w:firstLineChars="0"/>
              <w:jc w:val="center"/>
              <w:textAlignment w:val="center"/>
              <w:rPr>
                <w:rFonts w:cs="仿宋"/>
                <w:color w:val="000000"/>
                <w:kern w:val="0"/>
                <w:sz w:val="24"/>
                <w:szCs w:val="24"/>
                <w:lang w:bidi="ar"/>
              </w:rPr>
            </w:pPr>
            <w:r>
              <w:rPr>
                <w:rFonts w:hint="eastAsia" w:cs="仿宋"/>
                <w:color w:val="000000"/>
                <w:kern w:val="0"/>
                <w:sz w:val="24"/>
                <w:szCs w:val="24"/>
                <w:lang w:bidi="ar"/>
              </w:rPr>
              <w:t>5</w:t>
            </w:r>
          </w:p>
        </w:tc>
      </w:tr>
      <w:tr w14:paraId="1653DB3C">
        <w:tblPrEx>
          <w:tblCellMar>
            <w:top w:w="0" w:type="dxa"/>
            <w:left w:w="108" w:type="dxa"/>
            <w:bottom w:w="0" w:type="dxa"/>
            <w:right w:w="108" w:type="dxa"/>
          </w:tblCellMar>
        </w:tblPrEx>
        <w:trPr>
          <w:trHeight w:val="298" w:hRule="atLeast"/>
        </w:trPr>
        <w:tc>
          <w:tcPr>
            <w:tcW w:w="4784" w:type="dxa"/>
            <w:gridSpan w:val="2"/>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47289C">
            <w:pPr>
              <w:widowControl/>
              <w:spacing w:line="240" w:lineRule="auto"/>
              <w:ind w:firstLine="506"/>
              <w:jc w:val="center"/>
              <w:textAlignment w:val="center"/>
              <w:rPr>
                <w:rFonts w:cs="仿宋"/>
                <w:b/>
                <w:bCs/>
                <w:color w:val="000000"/>
                <w:sz w:val="24"/>
                <w:szCs w:val="24"/>
              </w:rPr>
            </w:pPr>
            <w:r>
              <w:rPr>
                <w:rFonts w:hint="eastAsia" w:cs="仿宋"/>
                <w:b/>
                <w:bCs/>
                <w:color w:val="000000"/>
                <w:kern w:val="0"/>
                <w:sz w:val="24"/>
                <w:szCs w:val="24"/>
                <w:lang w:bidi="ar"/>
              </w:rPr>
              <w:t>合计分值</w:t>
            </w:r>
          </w:p>
        </w:tc>
        <w:tc>
          <w:tcPr>
            <w:tcW w:w="1766"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CFF2DC3">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100</w:t>
            </w:r>
          </w:p>
        </w:tc>
        <w:tc>
          <w:tcPr>
            <w:tcW w:w="1768"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5BB3592">
            <w:pPr>
              <w:widowControl/>
              <w:spacing w:line="240" w:lineRule="auto"/>
              <w:ind w:firstLine="0" w:firstLineChars="0"/>
              <w:jc w:val="center"/>
              <w:textAlignment w:val="center"/>
              <w:rPr>
                <w:rFonts w:cs="仿宋"/>
                <w:b/>
                <w:bCs/>
                <w:color w:val="000000"/>
                <w:sz w:val="24"/>
                <w:szCs w:val="24"/>
              </w:rPr>
            </w:pPr>
            <w:r>
              <w:rPr>
                <w:rFonts w:hint="eastAsia" w:cs="仿宋"/>
                <w:b/>
                <w:bCs/>
                <w:color w:val="000000"/>
                <w:sz w:val="24"/>
                <w:szCs w:val="24"/>
              </w:rPr>
              <w:t>85.78</w:t>
            </w:r>
          </w:p>
        </w:tc>
      </w:tr>
    </w:tbl>
    <w:p w14:paraId="7098093D">
      <w:pPr>
        <w:pStyle w:val="3"/>
        <w:adjustRightInd/>
        <w:snapToGrid/>
        <w:spacing w:before="0" w:after="0"/>
        <w:ind w:firstLine="667"/>
        <w:contextualSpacing/>
        <w:rPr>
          <w:rFonts w:ascii="楷体_GB2312" w:eastAsia="楷体_GB2312"/>
        </w:rPr>
      </w:pPr>
      <w:bookmarkStart w:id="18" w:name="_Toc153995856"/>
      <w:bookmarkStart w:id="19" w:name="_Toc167874825"/>
      <w:r>
        <w:rPr>
          <w:rFonts w:hint="eastAsia" w:ascii="楷体_GB2312" w:eastAsia="楷体_GB2312"/>
        </w:rPr>
        <w:t>（二）评价总体结论</w:t>
      </w:r>
      <w:bookmarkEnd w:id="18"/>
      <w:bookmarkEnd w:id="19"/>
    </w:p>
    <w:p w14:paraId="3382E162">
      <w:pPr>
        <w:adjustRightInd/>
        <w:snapToGrid/>
        <w:ind w:firstLine="664"/>
        <w:contextualSpacing/>
        <w:rPr>
          <w:sz w:val="32"/>
          <w:szCs w:val="32"/>
        </w:rPr>
      </w:pPr>
      <w:r>
        <w:rPr>
          <w:rFonts w:hint="eastAsia" w:cs="仿宋"/>
          <w:kern w:val="0"/>
          <w:sz w:val="32"/>
          <w:szCs w:val="32"/>
        </w:rPr>
        <w:t>本次绩效评价按照绩效评价指标和评价标准，对浮梁县市场监督管理局履职情况进行了综合评价。从评价结果分析，部门履职绩效总体良好，评价得分为</w:t>
      </w:r>
      <w:r>
        <w:rPr>
          <w:rFonts w:cs="仿宋"/>
          <w:kern w:val="0"/>
          <w:sz w:val="32"/>
          <w:szCs w:val="32"/>
        </w:rPr>
        <w:t>85.</w:t>
      </w:r>
      <w:r>
        <w:rPr>
          <w:rFonts w:hint="eastAsia" w:cs="仿宋"/>
          <w:kern w:val="0"/>
          <w:sz w:val="32"/>
          <w:szCs w:val="32"/>
        </w:rPr>
        <w:t>7</w:t>
      </w:r>
      <w:r>
        <w:rPr>
          <w:rFonts w:cs="仿宋"/>
          <w:kern w:val="0"/>
          <w:sz w:val="32"/>
          <w:szCs w:val="32"/>
        </w:rPr>
        <w:t>8</w:t>
      </w:r>
      <w:r>
        <w:rPr>
          <w:rFonts w:hint="eastAsia" w:cs="仿宋"/>
          <w:kern w:val="0"/>
          <w:sz w:val="32"/>
          <w:szCs w:val="32"/>
        </w:rPr>
        <w:t>分，综合评价等级为“良”。</w:t>
      </w:r>
    </w:p>
    <w:p w14:paraId="6E096729">
      <w:pPr>
        <w:pStyle w:val="2"/>
        <w:adjustRightInd/>
        <w:snapToGrid/>
        <w:spacing w:before="0" w:after="0"/>
        <w:ind w:firstLine="664"/>
        <w:contextualSpacing/>
        <w:rPr>
          <w:szCs w:val="32"/>
        </w:rPr>
      </w:pPr>
      <w:bookmarkStart w:id="20" w:name="_Toc167874826"/>
      <w:r>
        <w:rPr>
          <w:szCs w:val="32"/>
        </w:rPr>
        <w:t>四、部门整体支出绩效实现情况</w:t>
      </w:r>
      <w:bookmarkEnd w:id="20"/>
    </w:p>
    <w:p w14:paraId="721CA08F">
      <w:pPr>
        <w:pStyle w:val="3"/>
        <w:adjustRightInd/>
        <w:snapToGrid/>
        <w:spacing w:before="0" w:after="0"/>
        <w:ind w:firstLine="667"/>
        <w:contextualSpacing/>
        <w:rPr>
          <w:rFonts w:ascii="楷体_GB2312" w:eastAsia="楷体_GB2312"/>
        </w:rPr>
      </w:pPr>
      <w:bookmarkStart w:id="21" w:name="_Toc167874827"/>
      <w:bookmarkStart w:id="22" w:name="_Toc77757398"/>
      <w:bookmarkStart w:id="23" w:name="_Toc146476231"/>
      <w:bookmarkStart w:id="24" w:name="_Toc146027907"/>
      <w:bookmarkStart w:id="25" w:name="_Toc78382228"/>
      <w:r>
        <w:rPr>
          <w:rFonts w:hint="eastAsia" w:ascii="楷体_GB2312" w:eastAsia="楷体_GB2312"/>
        </w:rPr>
        <w:t>（一）部门决策完成情况</w:t>
      </w:r>
      <w:bookmarkEnd w:id="21"/>
    </w:p>
    <w:bookmarkEnd w:id="22"/>
    <w:bookmarkEnd w:id="23"/>
    <w:bookmarkEnd w:id="24"/>
    <w:bookmarkEnd w:id="25"/>
    <w:p w14:paraId="64BEFB93">
      <w:pPr>
        <w:adjustRightInd/>
        <w:snapToGrid/>
        <w:ind w:firstLine="664"/>
        <w:contextualSpacing/>
        <w:rPr>
          <w:sz w:val="32"/>
          <w:szCs w:val="32"/>
        </w:rPr>
      </w:pPr>
      <w:r>
        <w:rPr>
          <w:rFonts w:hint="eastAsia"/>
          <w:sz w:val="32"/>
          <w:szCs w:val="32"/>
        </w:rPr>
        <w:t>决策指标主要评价部门“部门规划计划”、“绩效目标”和“资金配置”三方面。该部分满分14分，得10.80分，得分率为77.14%。</w:t>
      </w:r>
    </w:p>
    <w:p w14:paraId="765DAEC9">
      <w:pPr>
        <w:adjustRightInd/>
        <w:snapToGrid/>
        <w:ind w:firstLine="667"/>
        <w:contextualSpacing/>
        <w:rPr>
          <w:b/>
          <w:sz w:val="32"/>
          <w:szCs w:val="32"/>
        </w:rPr>
      </w:pPr>
      <w:r>
        <w:rPr>
          <w:rFonts w:hint="eastAsia"/>
          <w:b/>
          <w:sz w:val="32"/>
          <w:szCs w:val="32"/>
        </w:rPr>
        <w:t>1.部门规划计划情况分析</w:t>
      </w:r>
    </w:p>
    <w:p w14:paraId="7BA51AD9">
      <w:pPr>
        <w:adjustRightInd/>
        <w:snapToGrid/>
        <w:ind w:firstLine="664"/>
        <w:contextualSpacing/>
        <w:rPr>
          <w:sz w:val="32"/>
          <w:szCs w:val="32"/>
        </w:rPr>
      </w:pPr>
      <w:r>
        <w:rPr>
          <w:rFonts w:hint="eastAsia"/>
          <w:sz w:val="32"/>
          <w:szCs w:val="32"/>
        </w:rPr>
        <w:t>部门规划计划情况主要评价“中长期规划明确性”和“年度工作计划明确性”两方面。该部分满分6分，得3.6</w:t>
      </w:r>
      <w:r>
        <w:rPr>
          <w:sz w:val="32"/>
          <w:szCs w:val="32"/>
        </w:rPr>
        <w:t>0</w:t>
      </w:r>
      <w:r>
        <w:rPr>
          <w:rFonts w:hint="eastAsia"/>
          <w:sz w:val="32"/>
          <w:szCs w:val="32"/>
        </w:rPr>
        <w:t>分，得分率为60%。指标的业绩值和绩效得分见表4-1：</w:t>
      </w:r>
    </w:p>
    <w:p w14:paraId="5D635687">
      <w:pPr>
        <w:pStyle w:val="29"/>
      </w:pPr>
      <w:r>
        <w:rPr>
          <w:rFonts w:hint="eastAsia"/>
        </w:rPr>
        <w:t>表4-1  部门规划计划指标业绩值及分值</w:t>
      </w:r>
    </w:p>
    <w:tbl>
      <w:tblPr>
        <w:tblStyle w:val="12"/>
        <w:tblW w:w="8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810"/>
        <w:gridCol w:w="1543"/>
        <w:gridCol w:w="1543"/>
        <w:gridCol w:w="1033"/>
      </w:tblGrid>
      <w:tr w14:paraId="64FA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5" w:type="dxa"/>
            <w:shd w:val="clear" w:color="auto" w:fill="FFFFFF"/>
            <w:vAlign w:val="center"/>
          </w:tcPr>
          <w:p w14:paraId="4E771A84">
            <w:pPr>
              <w:autoSpaceDE w:val="0"/>
              <w:adjustRightInd/>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810" w:type="dxa"/>
            <w:shd w:val="clear" w:color="auto" w:fill="FFFFFF"/>
            <w:vAlign w:val="center"/>
          </w:tcPr>
          <w:p w14:paraId="2E266426">
            <w:pPr>
              <w:autoSpaceDE w:val="0"/>
              <w:adjustRightInd/>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543" w:type="dxa"/>
            <w:shd w:val="clear" w:color="auto" w:fill="FFFFFF"/>
            <w:vAlign w:val="center"/>
          </w:tcPr>
          <w:p w14:paraId="200B68E8">
            <w:pPr>
              <w:autoSpaceDE w:val="0"/>
              <w:adjustRightInd/>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543" w:type="dxa"/>
            <w:shd w:val="clear" w:color="auto" w:fill="FFFFFF"/>
            <w:vAlign w:val="center"/>
          </w:tcPr>
          <w:p w14:paraId="4EB906F3">
            <w:pPr>
              <w:autoSpaceDE w:val="0"/>
              <w:adjustRightInd/>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033" w:type="dxa"/>
            <w:shd w:val="clear" w:color="auto" w:fill="FFFFFF"/>
            <w:vAlign w:val="center"/>
          </w:tcPr>
          <w:p w14:paraId="39B9185F">
            <w:pPr>
              <w:autoSpaceDE w:val="0"/>
              <w:adjustRightInd/>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075D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40419D24">
            <w:pPr>
              <w:adjustRightInd/>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810" w:type="dxa"/>
            <w:shd w:val="clear" w:color="auto" w:fill="FFFFFF"/>
            <w:vAlign w:val="center"/>
          </w:tcPr>
          <w:p w14:paraId="2B7351C7">
            <w:pPr>
              <w:adjustRightInd/>
              <w:spacing w:line="240" w:lineRule="auto"/>
              <w:ind w:firstLine="0" w:firstLineChars="0"/>
              <w:jc w:val="center"/>
              <w:rPr>
                <w:rFonts w:cs="仿宋"/>
                <w:b/>
                <w:bCs/>
                <w:spacing w:val="0"/>
                <w:sz w:val="21"/>
                <w:szCs w:val="21"/>
              </w:rPr>
            </w:pPr>
            <w:r>
              <w:rPr>
                <w:rFonts w:hint="eastAsia" w:cs="仿宋"/>
                <w:b/>
                <w:bCs/>
                <w:spacing w:val="0"/>
                <w:sz w:val="21"/>
                <w:szCs w:val="21"/>
              </w:rPr>
              <w:t>6</w:t>
            </w:r>
          </w:p>
        </w:tc>
        <w:tc>
          <w:tcPr>
            <w:tcW w:w="1543" w:type="dxa"/>
            <w:shd w:val="clear" w:color="auto" w:fill="FFFFFF"/>
            <w:vAlign w:val="center"/>
          </w:tcPr>
          <w:p w14:paraId="4CDAA5BE">
            <w:pPr>
              <w:adjustRightInd/>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543" w:type="dxa"/>
            <w:shd w:val="clear" w:color="auto" w:fill="FFFFFF"/>
            <w:vAlign w:val="center"/>
          </w:tcPr>
          <w:p w14:paraId="31E517B6">
            <w:pPr>
              <w:adjustRightInd/>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033" w:type="dxa"/>
            <w:shd w:val="clear" w:color="auto" w:fill="FFFFFF"/>
            <w:vAlign w:val="center"/>
          </w:tcPr>
          <w:p w14:paraId="26150811">
            <w:pPr>
              <w:adjustRightInd/>
              <w:spacing w:line="240" w:lineRule="auto"/>
              <w:ind w:firstLine="0" w:firstLineChars="0"/>
              <w:jc w:val="center"/>
              <w:rPr>
                <w:rFonts w:cs="仿宋"/>
                <w:b/>
                <w:bCs/>
                <w:spacing w:val="0"/>
                <w:sz w:val="21"/>
                <w:szCs w:val="21"/>
              </w:rPr>
            </w:pPr>
            <w:r>
              <w:rPr>
                <w:rFonts w:hint="eastAsia" w:cs="仿宋"/>
                <w:b/>
                <w:bCs/>
                <w:spacing w:val="0"/>
                <w:sz w:val="21"/>
                <w:szCs w:val="21"/>
              </w:rPr>
              <w:t>5.1</w:t>
            </w:r>
            <w:r>
              <w:rPr>
                <w:rFonts w:cs="仿宋"/>
                <w:b/>
                <w:bCs/>
                <w:spacing w:val="0"/>
                <w:sz w:val="21"/>
                <w:szCs w:val="21"/>
              </w:rPr>
              <w:t>0</w:t>
            </w:r>
          </w:p>
        </w:tc>
      </w:tr>
      <w:tr w14:paraId="07BC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199857DC">
            <w:pPr>
              <w:adjustRightInd/>
              <w:spacing w:line="240" w:lineRule="auto"/>
              <w:ind w:firstLine="0" w:firstLineChars="0"/>
              <w:jc w:val="center"/>
              <w:rPr>
                <w:rFonts w:cs="仿宋"/>
                <w:spacing w:val="0"/>
                <w:sz w:val="21"/>
                <w:szCs w:val="21"/>
              </w:rPr>
            </w:pPr>
            <w:r>
              <w:rPr>
                <w:rFonts w:hint="eastAsia" w:cs="仿宋"/>
                <w:spacing w:val="0"/>
                <w:sz w:val="21"/>
                <w:szCs w:val="21"/>
              </w:rPr>
              <w:t>中长期规划明确性</w:t>
            </w:r>
          </w:p>
        </w:tc>
        <w:tc>
          <w:tcPr>
            <w:tcW w:w="810" w:type="dxa"/>
            <w:shd w:val="clear" w:color="auto" w:fill="FFFFFF"/>
            <w:vAlign w:val="center"/>
          </w:tcPr>
          <w:p w14:paraId="121A36DE">
            <w:pPr>
              <w:adjustRightInd/>
              <w:spacing w:line="240" w:lineRule="auto"/>
              <w:ind w:firstLine="0" w:firstLineChars="0"/>
              <w:jc w:val="center"/>
              <w:rPr>
                <w:rFonts w:cs="仿宋"/>
                <w:spacing w:val="0"/>
                <w:sz w:val="21"/>
                <w:szCs w:val="21"/>
              </w:rPr>
            </w:pPr>
            <w:r>
              <w:rPr>
                <w:rFonts w:hint="eastAsia" w:cs="仿宋"/>
                <w:spacing w:val="0"/>
                <w:sz w:val="21"/>
                <w:szCs w:val="21"/>
              </w:rPr>
              <w:t>3</w:t>
            </w:r>
          </w:p>
        </w:tc>
        <w:tc>
          <w:tcPr>
            <w:tcW w:w="1543" w:type="dxa"/>
            <w:shd w:val="clear" w:color="auto" w:fill="FFFFFF"/>
            <w:vAlign w:val="center"/>
          </w:tcPr>
          <w:p w14:paraId="7FBEABD2">
            <w:pPr>
              <w:adjustRightInd/>
              <w:spacing w:line="240" w:lineRule="auto"/>
              <w:ind w:firstLine="0" w:firstLineChars="0"/>
              <w:jc w:val="center"/>
              <w:rPr>
                <w:rFonts w:cs="仿宋"/>
                <w:spacing w:val="0"/>
                <w:sz w:val="21"/>
                <w:szCs w:val="21"/>
              </w:rPr>
            </w:pPr>
            <w:r>
              <w:rPr>
                <w:rFonts w:hint="eastAsia" w:cs="仿宋"/>
                <w:spacing w:val="0"/>
                <w:sz w:val="21"/>
                <w:szCs w:val="21"/>
              </w:rPr>
              <w:t>明确</w:t>
            </w:r>
          </w:p>
        </w:tc>
        <w:tc>
          <w:tcPr>
            <w:tcW w:w="1543" w:type="dxa"/>
            <w:shd w:val="clear" w:color="auto" w:fill="FFFFFF"/>
            <w:vAlign w:val="center"/>
          </w:tcPr>
          <w:p w14:paraId="5E74077B">
            <w:pPr>
              <w:adjustRightInd/>
              <w:spacing w:line="240" w:lineRule="auto"/>
              <w:ind w:firstLine="0" w:firstLineChars="0"/>
              <w:jc w:val="center"/>
              <w:rPr>
                <w:rFonts w:cs="仿宋"/>
                <w:spacing w:val="0"/>
                <w:sz w:val="21"/>
                <w:szCs w:val="21"/>
              </w:rPr>
            </w:pPr>
            <w:r>
              <w:rPr>
                <w:rFonts w:hint="eastAsia" w:cs="仿宋"/>
                <w:spacing w:val="0"/>
                <w:sz w:val="21"/>
                <w:szCs w:val="21"/>
              </w:rPr>
              <w:t>一般</w:t>
            </w:r>
            <w:r>
              <w:rPr>
                <w:rStyle w:val="16"/>
                <w:rFonts w:cs="仿宋"/>
                <w:spacing w:val="0"/>
                <w:sz w:val="21"/>
                <w:szCs w:val="21"/>
              </w:rPr>
              <w:footnoteReference w:id="0"/>
            </w:r>
          </w:p>
        </w:tc>
        <w:tc>
          <w:tcPr>
            <w:tcW w:w="1033" w:type="dxa"/>
            <w:shd w:val="clear" w:color="auto" w:fill="FFFFFF"/>
            <w:vAlign w:val="center"/>
          </w:tcPr>
          <w:p w14:paraId="51428029">
            <w:pPr>
              <w:adjustRightInd/>
              <w:spacing w:line="240" w:lineRule="auto"/>
              <w:ind w:firstLine="0" w:firstLineChars="0"/>
              <w:jc w:val="center"/>
              <w:rPr>
                <w:rFonts w:cs="仿宋"/>
                <w:spacing w:val="0"/>
                <w:sz w:val="21"/>
                <w:szCs w:val="21"/>
              </w:rPr>
            </w:pPr>
            <w:r>
              <w:rPr>
                <w:rFonts w:hint="eastAsia" w:cs="仿宋"/>
                <w:spacing w:val="0"/>
                <w:sz w:val="21"/>
                <w:szCs w:val="21"/>
              </w:rPr>
              <w:t>1.80</w:t>
            </w:r>
          </w:p>
        </w:tc>
      </w:tr>
      <w:tr w14:paraId="534A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245B08DF">
            <w:pPr>
              <w:adjustRightInd/>
              <w:spacing w:line="240" w:lineRule="auto"/>
              <w:ind w:firstLine="0" w:firstLineChars="0"/>
              <w:jc w:val="center"/>
              <w:rPr>
                <w:rFonts w:cs="仿宋"/>
                <w:spacing w:val="0"/>
                <w:sz w:val="21"/>
                <w:szCs w:val="21"/>
              </w:rPr>
            </w:pPr>
            <w:r>
              <w:rPr>
                <w:rFonts w:hint="eastAsia" w:cs="仿宋"/>
                <w:spacing w:val="0"/>
                <w:sz w:val="21"/>
                <w:szCs w:val="21"/>
              </w:rPr>
              <w:t>年度工作计划明确性</w:t>
            </w:r>
          </w:p>
        </w:tc>
        <w:tc>
          <w:tcPr>
            <w:tcW w:w="810" w:type="dxa"/>
            <w:shd w:val="clear" w:color="auto" w:fill="FFFFFF"/>
            <w:vAlign w:val="center"/>
          </w:tcPr>
          <w:p w14:paraId="21F72E08">
            <w:pPr>
              <w:adjustRightInd/>
              <w:spacing w:line="240" w:lineRule="auto"/>
              <w:ind w:firstLine="0" w:firstLineChars="0"/>
              <w:jc w:val="center"/>
              <w:rPr>
                <w:rFonts w:cs="仿宋"/>
                <w:spacing w:val="0"/>
                <w:sz w:val="21"/>
                <w:szCs w:val="21"/>
              </w:rPr>
            </w:pPr>
            <w:r>
              <w:rPr>
                <w:rFonts w:hint="eastAsia" w:cs="仿宋"/>
                <w:spacing w:val="0"/>
                <w:sz w:val="21"/>
                <w:szCs w:val="21"/>
              </w:rPr>
              <w:t>3</w:t>
            </w:r>
          </w:p>
        </w:tc>
        <w:tc>
          <w:tcPr>
            <w:tcW w:w="1543" w:type="dxa"/>
            <w:shd w:val="clear" w:color="auto" w:fill="FFFFFF"/>
            <w:vAlign w:val="center"/>
          </w:tcPr>
          <w:p w14:paraId="03752F39">
            <w:pPr>
              <w:adjustRightInd/>
              <w:spacing w:line="240" w:lineRule="auto"/>
              <w:ind w:firstLine="0" w:firstLineChars="0"/>
              <w:jc w:val="center"/>
              <w:rPr>
                <w:rFonts w:cs="仿宋"/>
                <w:spacing w:val="0"/>
                <w:sz w:val="21"/>
                <w:szCs w:val="21"/>
              </w:rPr>
            </w:pPr>
            <w:r>
              <w:rPr>
                <w:rFonts w:hint="eastAsia" w:cs="仿宋"/>
                <w:spacing w:val="0"/>
                <w:sz w:val="21"/>
                <w:szCs w:val="21"/>
              </w:rPr>
              <w:t>明确</w:t>
            </w:r>
          </w:p>
        </w:tc>
        <w:tc>
          <w:tcPr>
            <w:tcW w:w="1543" w:type="dxa"/>
            <w:shd w:val="clear" w:color="auto" w:fill="FFFFFF"/>
            <w:vAlign w:val="center"/>
          </w:tcPr>
          <w:p w14:paraId="3AADAFB4">
            <w:pPr>
              <w:adjustRightInd/>
              <w:spacing w:line="240" w:lineRule="auto"/>
              <w:ind w:firstLine="0" w:firstLineChars="0"/>
              <w:jc w:val="center"/>
              <w:rPr>
                <w:rFonts w:cs="仿宋"/>
                <w:spacing w:val="0"/>
                <w:sz w:val="21"/>
                <w:szCs w:val="21"/>
              </w:rPr>
            </w:pPr>
            <w:r>
              <w:rPr>
                <w:rFonts w:hint="eastAsia" w:cs="仿宋"/>
                <w:spacing w:val="0"/>
                <w:sz w:val="21"/>
                <w:szCs w:val="21"/>
              </w:rPr>
              <w:t>一般</w:t>
            </w:r>
          </w:p>
        </w:tc>
        <w:tc>
          <w:tcPr>
            <w:tcW w:w="1033" w:type="dxa"/>
            <w:shd w:val="clear" w:color="auto" w:fill="FFFFFF"/>
            <w:vAlign w:val="center"/>
          </w:tcPr>
          <w:p w14:paraId="229C175F">
            <w:pPr>
              <w:adjustRightInd/>
              <w:spacing w:line="240" w:lineRule="auto"/>
              <w:ind w:firstLine="0" w:firstLineChars="0"/>
              <w:jc w:val="center"/>
              <w:rPr>
                <w:rFonts w:cs="仿宋"/>
                <w:spacing w:val="0"/>
                <w:sz w:val="21"/>
                <w:szCs w:val="21"/>
              </w:rPr>
            </w:pPr>
            <w:r>
              <w:rPr>
                <w:rFonts w:hint="eastAsia" w:cs="仿宋"/>
                <w:spacing w:val="0"/>
                <w:sz w:val="21"/>
                <w:szCs w:val="21"/>
              </w:rPr>
              <w:t>1.8</w:t>
            </w:r>
            <w:r>
              <w:rPr>
                <w:rFonts w:cs="仿宋"/>
                <w:spacing w:val="0"/>
                <w:sz w:val="21"/>
                <w:szCs w:val="21"/>
              </w:rPr>
              <w:t>0</w:t>
            </w:r>
          </w:p>
        </w:tc>
      </w:tr>
    </w:tbl>
    <w:p w14:paraId="5D4E7926">
      <w:pPr>
        <w:adjustRightInd/>
        <w:snapToGrid/>
        <w:ind w:firstLine="664"/>
        <w:contextualSpacing/>
        <w:rPr>
          <w:sz w:val="32"/>
          <w:szCs w:val="32"/>
        </w:rPr>
      </w:pPr>
      <w:r>
        <w:rPr>
          <w:rFonts w:hint="eastAsia"/>
          <w:sz w:val="32"/>
          <w:szCs w:val="32"/>
        </w:rPr>
        <w:t>（1）中长期规划明确性</w:t>
      </w:r>
    </w:p>
    <w:p w14:paraId="184ED29D">
      <w:pPr>
        <w:adjustRightInd/>
        <w:snapToGrid/>
        <w:ind w:firstLine="664"/>
        <w:contextualSpacing/>
        <w:rPr>
          <w:sz w:val="32"/>
          <w:szCs w:val="32"/>
        </w:rPr>
      </w:pPr>
      <w:r>
        <w:rPr>
          <w:rFonts w:hint="eastAsia"/>
          <w:sz w:val="32"/>
          <w:szCs w:val="32"/>
        </w:rPr>
        <w:t>2021年，浮梁县市监局在政府工作报告中提出了五年未来打算，明确了未来五年的工作重点，对于部分重点工作如申报“江西绿色生态”品牌示范县有具体的时间安排，但缺乏对部门各项职能履行的完整规划。因此，依据评分标准，该项指标得1.80</w:t>
      </w:r>
      <w:r>
        <w:rPr>
          <w:sz w:val="32"/>
          <w:szCs w:val="32"/>
        </w:rPr>
        <w:t>分。</w:t>
      </w:r>
    </w:p>
    <w:p w14:paraId="5F62348E">
      <w:pPr>
        <w:pStyle w:val="4"/>
        <w:adjustRightInd/>
        <w:snapToGrid/>
        <w:spacing w:line="560" w:lineRule="exact"/>
        <w:ind w:firstLine="664"/>
        <w:contextualSpacing/>
        <w:rPr>
          <w:sz w:val="32"/>
          <w:szCs w:val="32"/>
        </w:rPr>
      </w:pPr>
      <w:r>
        <w:rPr>
          <w:rFonts w:hint="eastAsia"/>
          <w:sz w:val="32"/>
          <w:szCs w:val="32"/>
        </w:rPr>
        <w:t>（2）年度工作计划明确性</w:t>
      </w:r>
    </w:p>
    <w:p w14:paraId="7D623F18">
      <w:pPr>
        <w:pStyle w:val="4"/>
        <w:adjustRightInd/>
        <w:snapToGrid/>
        <w:spacing w:line="560" w:lineRule="exact"/>
        <w:ind w:firstLine="664"/>
        <w:contextualSpacing/>
        <w:rPr>
          <w:rFonts w:cs="Times New Roman"/>
          <w:kern w:val="2"/>
          <w:sz w:val="32"/>
          <w:szCs w:val="32"/>
        </w:rPr>
      </w:pPr>
      <w:r>
        <w:rPr>
          <w:rFonts w:hint="eastAsia"/>
          <w:sz w:val="32"/>
          <w:szCs w:val="32"/>
        </w:rPr>
        <w:t>2022年11月底，浮梁县市监局</w:t>
      </w:r>
      <w:r>
        <w:rPr>
          <w:rFonts w:cs="Times New Roman"/>
          <w:kern w:val="2"/>
          <w:sz w:val="32"/>
          <w:szCs w:val="32"/>
        </w:rPr>
        <w:t>在进行</w:t>
      </w:r>
      <w:r>
        <w:rPr>
          <w:rFonts w:hint="eastAsia" w:cs="Times New Roman"/>
          <w:kern w:val="2"/>
          <w:sz w:val="32"/>
          <w:szCs w:val="32"/>
        </w:rPr>
        <w:t>2022年度工作总结的同时</w:t>
      </w:r>
      <w:r>
        <w:rPr>
          <w:rFonts w:cs="Times New Roman"/>
          <w:kern w:val="2"/>
          <w:sz w:val="32"/>
          <w:szCs w:val="32"/>
        </w:rPr>
        <w:t>制定了</w:t>
      </w:r>
      <w:r>
        <w:rPr>
          <w:rFonts w:hint="eastAsia" w:cs="Times New Roman"/>
          <w:kern w:val="2"/>
          <w:sz w:val="32"/>
          <w:szCs w:val="32"/>
        </w:rPr>
        <w:t>2023年度工作计划，包含了明确的总体目标、计划实施内容，但未涵盖部门的全部职能，且责任主体未予以明确。</w:t>
      </w:r>
      <w:r>
        <w:rPr>
          <w:rFonts w:cs="Times New Roman"/>
          <w:kern w:val="2"/>
          <w:sz w:val="32"/>
          <w:szCs w:val="32"/>
        </w:rPr>
        <w:t>因此，依据评分标准，该指标得</w:t>
      </w:r>
      <w:r>
        <w:rPr>
          <w:rFonts w:hint="eastAsia" w:cs="Times New Roman"/>
          <w:kern w:val="2"/>
          <w:sz w:val="32"/>
          <w:szCs w:val="32"/>
        </w:rPr>
        <w:t>1.80</w:t>
      </w:r>
      <w:r>
        <w:rPr>
          <w:rFonts w:cs="Times New Roman"/>
          <w:kern w:val="2"/>
          <w:sz w:val="32"/>
          <w:szCs w:val="32"/>
        </w:rPr>
        <w:t>分。</w:t>
      </w:r>
    </w:p>
    <w:p w14:paraId="2054D63C">
      <w:pPr>
        <w:adjustRightInd/>
        <w:snapToGrid/>
        <w:ind w:firstLine="667"/>
        <w:contextualSpacing/>
        <w:rPr>
          <w:b/>
          <w:sz w:val="32"/>
          <w:szCs w:val="32"/>
        </w:rPr>
      </w:pPr>
      <w:r>
        <w:rPr>
          <w:rFonts w:hint="eastAsia"/>
          <w:b/>
          <w:sz w:val="32"/>
          <w:szCs w:val="32"/>
        </w:rPr>
        <w:t>2.绩效</w:t>
      </w:r>
      <w:r>
        <w:rPr>
          <w:b/>
          <w:sz w:val="32"/>
          <w:szCs w:val="32"/>
        </w:rPr>
        <w:t>目标情况分析</w:t>
      </w:r>
    </w:p>
    <w:p w14:paraId="46BF0AA4">
      <w:pPr>
        <w:adjustRightInd/>
        <w:snapToGrid/>
        <w:ind w:firstLine="664"/>
        <w:contextualSpacing/>
        <w:rPr>
          <w:sz w:val="32"/>
          <w:szCs w:val="32"/>
        </w:rPr>
      </w:pPr>
      <w:r>
        <w:rPr>
          <w:rFonts w:hint="eastAsia"/>
          <w:sz w:val="32"/>
          <w:szCs w:val="32"/>
        </w:rPr>
        <w:t>绩效目标情况主要评价“绩效目标合理性”和“绩效指标明确性”两方面。该部分满分4分，得3.20分，得分率为80%。指标的业绩值和绩效得分见表4-2：</w:t>
      </w:r>
    </w:p>
    <w:p w14:paraId="2E099E1F">
      <w:pPr>
        <w:pStyle w:val="29"/>
      </w:pPr>
      <w:r>
        <w:rPr>
          <w:rFonts w:hint="eastAsia"/>
        </w:rPr>
        <w:t>表4-2  绩效目标指标业绩值及分值</w:t>
      </w:r>
    </w:p>
    <w:tbl>
      <w:tblPr>
        <w:tblStyle w:val="12"/>
        <w:tblW w:w="8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810"/>
        <w:gridCol w:w="1543"/>
        <w:gridCol w:w="1543"/>
        <w:gridCol w:w="1033"/>
      </w:tblGrid>
      <w:tr w14:paraId="06DA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5" w:type="dxa"/>
            <w:shd w:val="clear" w:color="auto" w:fill="FFFFFF"/>
            <w:vAlign w:val="center"/>
          </w:tcPr>
          <w:p w14:paraId="3E92D88C">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shd w:val="clear" w:color="auto" w:fill="FFFFFF"/>
            <w:vAlign w:val="center"/>
          </w:tcPr>
          <w:p w14:paraId="78C42B3E">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shd w:val="clear" w:color="auto" w:fill="FFFFFF"/>
            <w:vAlign w:val="center"/>
          </w:tcPr>
          <w:p w14:paraId="5D79B782">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shd w:val="clear" w:color="auto" w:fill="FFFFFF"/>
            <w:vAlign w:val="center"/>
          </w:tcPr>
          <w:p w14:paraId="2C1E331A">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shd w:val="clear" w:color="auto" w:fill="FFFFFF"/>
            <w:vAlign w:val="center"/>
          </w:tcPr>
          <w:p w14:paraId="41C5CD5F">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7365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2A6FA6AA">
            <w:pPr>
              <w:spacing w:line="240" w:lineRule="auto"/>
              <w:ind w:firstLine="0" w:firstLineChars="0"/>
              <w:jc w:val="center"/>
              <w:rPr>
                <w:rFonts w:cs="仿宋"/>
                <w:b/>
                <w:bCs/>
                <w:sz w:val="21"/>
                <w:szCs w:val="21"/>
              </w:rPr>
            </w:pPr>
            <w:r>
              <w:rPr>
                <w:rFonts w:hint="eastAsia" w:cs="仿宋"/>
                <w:b/>
                <w:bCs/>
                <w:sz w:val="21"/>
                <w:szCs w:val="21"/>
              </w:rPr>
              <w:t>合计</w:t>
            </w:r>
          </w:p>
        </w:tc>
        <w:tc>
          <w:tcPr>
            <w:tcW w:w="810" w:type="dxa"/>
            <w:shd w:val="clear" w:color="auto" w:fill="FFFFFF"/>
            <w:vAlign w:val="center"/>
          </w:tcPr>
          <w:p w14:paraId="52D4EB52">
            <w:pPr>
              <w:spacing w:line="240" w:lineRule="auto"/>
              <w:ind w:firstLine="0" w:firstLineChars="0"/>
              <w:jc w:val="center"/>
              <w:rPr>
                <w:rFonts w:cs="仿宋"/>
                <w:b/>
                <w:bCs/>
                <w:sz w:val="21"/>
                <w:szCs w:val="21"/>
              </w:rPr>
            </w:pPr>
            <w:r>
              <w:rPr>
                <w:rFonts w:hint="eastAsia" w:cs="仿宋"/>
                <w:b/>
                <w:bCs/>
                <w:sz w:val="21"/>
                <w:szCs w:val="21"/>
              </w:rPr>
              <w:t>4</w:t>
            </w:r>
          </w:p>
        </w:tc>
        <w:tc>
          <w:tcPr>
            <w:tcW w:w="1543" w:type="dxa"/>
            <w:shd w:val="clear" w:color="auto" w:fill="FFFFFF"/>
            <w:vAlign w:val="center"/>
          </w:tcPr>
          <w:p w14:paraId="11E93CEF">
            <w:pPr>
              <w:spacing w:line="240" w:lineRule="auto"/>
              <w:ind w:firstLine="0" w:firstLineChars="0"/>
              <w:jc w:val="center"/>
              <w:rPr>
                <w:rFonts w:cs="仿宋"/>
                <w:b/>
                <w:bCs/>
                <w:sz w:val="21"/>
                <w:szCs w:val="21"/>
              </w:rPr>
            </w:pPr>
            <w:r>
              <w:rPr>
                <w:rFonts w:hint="eastAsia" w:cs="仿宋"/>
                <w:b/>
                <w:bCs/>
                <w:sz w:val="21"/>
                <w:szCs w:val="21"/>
              </w:rPr>
              <w:t>——</w:t>
            </w:r>
          </w:p>
        </w:tc>
        <w:tc>
          <w:tcPr>
            <w:tcW w:w="1543" w:type="dxa"/>
            <w:shd w:val="clear" w:color="auto" w:fill="FFFFFF"/>
            <w:vAlign w:val="center"/>
          </w:tcPr>
          <w:p w14:paraId="7BD53AB8">
            <w:pPr>
              <w:spacing w:line="240" w:lineRule="auto"/>
              <w:ind w:firstLine="0" w:firstLineChars="0"/>
              <w:jc w:val="center"/>
              <w:rPr>
                <w:rFonts w:cs="仿宋"/>
                <w:b/>
                <w:bCs/>
                <w:sz w:val="21"/>
                <w:szCs w:val="21"/>
              </w:rPr>
            </w:pPr>
            <w:r>
              <w:rPr>
                <w:rFonts w:hint="eastAsia" w:cs="仿宋"/>
                <w:b/>
                <w:bCs/>
                <w:sz w:val="21"/>
                <w:szCs w:val="21"/>
              </w:rPr>
              <w:t>——</w:t>
            </w:r>
          </w:p>
        </w:tc>
        <w:tc>
          <w:tcPr>
            <w:tcW w:w="1033" w:type="dxa"/>
            <w:shd w:val="clear" w:color="auto" w:fill="FFFFFF"/>
            <w:vAlign w:val="center"/>
          </w:tcPr>
          <w:p w14:paraId="5C368AA0">
            <w:pPr>
              <w:spacing w:line="240" w:lineRule="auto"/>
              <w:ind w:firstLine="0" w:firstLineChars="0"/>
              <w:jc w:val="center"/>
              <w:rPr>
                <w:rFonts w:cs="仿宋"/>
                <w:b/>
                <w:bCs/>
                <w:sz w:val="21"/>
                <w:szCs w:val="21"/>
              </w:rPr>
            </w:pPr>
            <w:r>
              <w:rPr>
                <w:rFonts w:hint="eastAsia" w:cs="仿宋"/>
                <w:b/>
                <w:bCs/>
                <w:sz w:val="21"/>
                <w:szCs w:val="21"/>
              </w:rPr>
              <w:t>3.20</w:t>
            </w:r>
          </w:p>
        </w:tc>
      </w:tr>
      <w:tr w14:paraId="47F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4E866F94">
            <w:pPr>
              <w:spacing w:line="240" w:lineRule="auto"/>
              <w:ind w:firstLine="0" w:firstLineChars="0"/>
              <w:jc w:val="center"/>
              <w:rPr>
                <w:rFonts w:cs="仿宋"/>
                <w:sz w:val="21"/>
                <w:szCs w:val="21"/>
              </w:rPr>
            </w:pPr>
            <w:r>
              <w:rPr>
                <w:rFonts w:hint="eastAsia" w:cs="仿宋"/>
                <w:sz w:val="21"/>
                <w:szCs w:val="21"/>
              </w:rPr>
              <w:t>绩效目标合理性</w:t>
            </w:r>
          </w:p>
        </w:tc>
        <w:tc>
          <w:tcPr>
            <w:tcW w:w="810" w:type="dxa"/>
            <w:shd w:val="clear" w:color="auto" w:fill="FFFFFF"/>
            <w:vAlign w:val="center"/>
          </w:tcPr>
          <w:p w14:paraId="4D73826F">
            <w:pPr>
              <w:spacing w:line="240" w:lineRule="auto"/>
              <w:ind w:firstLine="0" w:firstLineChars="0"/>
              <w:jc w:val="center"/>
              <w:rPr>
                <w:rFonts w:cs="仿宋"/>
                <w:sz w:val="21"/>
                <w:szCs w:val="21"/>
              </w:rPr>
            </w:pPr>
            <w:r>
              <w:rPr>
                <w:rFonts w:hint="eastAsia" w:cs="仿宋"/>
                <w:sz w:val="21"/>
                <w:szCs w:val="21"/>
              </w:rPr>
              <w:t>2</w:t>
            </w:r>
          </w:p>
        </w:tc>
        <w:tc>
          <w:tcPr>
            <w:tcW w:w="1543" w:type="dxa"/>
            <w:shd w:val="clear" w:color="auto" w:fill="FFFFFF"/>
            <w:vAlign w:val="center"/>
          </w:tcPr>
          <w:p w14:paraId="720D5BAE">
            <w:pPr>
              <w:spacing w:line="240" w:lineRule="auto"/>
              <w:ind w:firstLine="0" w:firstLineChars="0"/>
              <w:jc w:val="center"/>
              <w:rPr>
                <w:rFonts w:cs="仿宋"/>
                <w:sz w:val="21"/>
                <w:szCs w:val="21"/>
              </w:rPr>
            </w:pPr>
            <w:r>
              <w:rPr>
                <w:rFonts w:hint="eastAsia" w:cs="仿宋"/>
                <w:sz w:val="21"/>
                <w:szCs w:val="21"/>
              </w:rPr>
              <w:t>合理</w:t>
            </w:r>
          </w:p>
        </w:tc>
        <w:tc>
          <w:tcPr>
            <w:tcW w:w="1543" w:type="dxa"/>
            <w:shd w:val="clear" w:color="auto" w:fill="FFFFFF"/>
            <w:vAlign w:val="center"/>
          </w:tcPr>
          <w:p w14:paraId="1ADC00FF">
            <w:pPr>
              <w:spacing w:line="240" w:lineRule="auto"/>
              <w:ind w:firstLine="0" w:firstLineChars="0"/>
              <w:jc w:val="center"/>
              <w:rPr>
                <w:rFonts w:cs="仿宋"/>
                <w:sz w:val="21"/>
                <w:szCs w:val="21"/>
              </w:rPr>
            </w:pPr>
            <w:r>
              <w:rPr>
                <w:rFonts w:cs="仿宋"/>
                <w:sz w:val="21"/>
                <w:szCs w:val="21"/>
              </w:rPr>
              <w:t>合理</w:t>
            </w:r>
          </w:p>
        </w:tc>
        <w:tc>
          <w:tcPr>
            <w:tcW w:w="1033" w:type="dxa"/>
            <w:shd w:val="clear" w:color="auto" w:fill="FFFFFF"/>
            <w:vAlign w:val="center"/>
          </w:tcPr>
          <w:p w14:paraId="4E40907C">
            <w:pPr>
              <w:spacing w:line="240" w:lineRule="auto"/>
              <w:ind w:firstLine="0" w:firstLineChars="0"/>
              <w:jc w:val="center"/>
              <w:rPr>
                <w:rFonts w:cs="仿宋"/>
                <w:sz w:val="21"/>
                <w:szCs w:val="21"/>
              </w:rPr>
            </w:pPr>
            <w:r>
              <w:rPr>
                <w:rFonts w:hint="eastAsia" w:cs="仿宋"/>
                <w:sz w:val="21"/>
                <w:szCs w:val="21"/>
              </w:rPr>
              <w:t>2</w:t>
            </w:r>
          </w:p>
        </w:tc>
      </w:tr>
      <w:tr w14:paraId="62BB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6B7072C3">
            <w:pPr>
              <w:spacing w:line="240" w:lineRule="auto"/>
              <w:ind w:firstLine="0" w:firstLineChars="0"/>
              <w:jc w:val="center"/>
              <w:rPr>
                <w:rFonts w:cs="仿宋"/>
                <w:sz w:val="21"/>
                <w:szCs w:val="21"/>
              </w:rPr>
            </w:pPr>
            <w:r>
              <w:rPr>
                <w:rFonts w:cs="仿宋"/>
                <w:sz w:val="21"/>
                <w:szCs w:val="21"/>
              </w:rPr>
              <w:t>绩效指标明确性</w:t>
            </w:r>
          </w:p>
        </w:tc>
        <w:tc>
          <w:tcPr>
            <w:tcW w:w="810" w:type="dxa"/>
            <w:shd w:val="clear" w:color="auto" w:fill="FFFFFF"/>
            <w:vAlign w:val="center"/>
          </w:tcPr>
          <w:p w14:paraId="368BBDE8">
            <w:pPr>
              <w:spacing w:line="240" w:lineRule="auto"/>
              <w:ind w:firstLine="0" w:firstLineChars="0"/>
              <w:jc w:val="center"/>
              <w:rPr>
                <w:rFonts w:cs="仿宋"/>
                <w:sz w:val="21"/>
                <w:szCs w:val="21"/>
              </w:rPr>
            </w:pPr>
            <w:r>
              <w:rPr>
                <w:rFonts w:hint="eastAsia" w:cs="仿宋"/>
                <w:sz w:val="21"/>
                <w:szCs w:val="21"/>
              </w:rPr>
              <w:t>2</w:t>
            </w:r>
          </w:p>
        </w:tc>
        <w:tc>
          <w:tcPr>
            <w:tcW w:w="1543" w:type="dxa"/>
            <w:shd w:val="clear" w:color="auto" w:fill="FFFFFF"/>
            <w:vAlign w:val="center"/>
          </w:tcPr>
          <w:p w14:paraId="65BC355F">
            <w:pPr>
              <w:spacing w:line="240" w:lineRule="auto"/>
              <w:ind w:firstLine="0" w:firstLineChars="0"/>
              <w:jc w:val="center"/>
              <w:rPr>
                <w:rFonts w:cs="仿宋"/>
                <w:sz w:val="21"/>
                <w:szCs w:val="21"/>
              </w:rPr>
            </w:pPr>
            <w:r>
              <w:rPr>
                <w:rFonts w:hint="eastAsia" w:cs="仿宋"/>
                <w:sz w:val="21"/>
                <w:szCs w:val="21"/>
              </w:rPr>
              <w:t>明确</w:t>
            </w:r>
          </w:p>
        </w:tc>
        <w:tc>
          <w:tcPr>
            <w:tcW w:w="1543" w:type="dxa"/>
            <w:shd w:val="clear" w:color="auto" w:fill="FFFFFF"/>
            <w:vAlign w:val="center"/>
          </w:tcPr>
          <w:p w14:paraId="31319B31">
            <w:pPr>
              <w:spacing w:line="240" w:lineRule="auto"/>
              <w:ind w:firstLine="0" w:firstLineChars="0"/>
              <w:jc w:val="center"/>
              <w:rPr>
                <w:rFonts w:cs="仿宋"/>
                <w:sz w:val="21"/>
                <w:szCs w:val="21"/>
              </w:rPr>
            </w:pPr>
            <w:r>
              <w:rPr>
                <w:rFonts w:cs="仿宋"/>
                <w:sz w:val="21"/>
                <w:szCs w:val="21"/>
              </w:rPr>
              <w:t>一般</w:t>
            </w:r>
          </w:p>
        </w:tc>
        <w:tc>
          <w:tcPr>
            <w:tcW w:w="1033" w:type="dxa"/>
            <w:shd w:val="clear" w:color="auto" w:fill="FFFFFF"/>
            <w:vAlign w:val="center"/>
          </w:tcPr>
          <w:p w14:paraId="00931B9B">
            <w:pPr>
              <w:spacing w:line="240" w:lineRule="auto"/>
              <w:ind w:firstLine="0" w:firstLineChars="0"/>
              <w:jc w:val="center"/>
              <w:rPr>
                <w:rFonts w:cs="仿宋"/>
                <w:sz w:val="21"/>
                <w:szCs w:val="21"/>
              </w:rPr>
            </w:pPr>
            <w:r>
              <w:rPr>
                <w:rFonts w:hint="eastAsia" w:cs="仿宋"/>
                <w:sz w:val="21"/>
                <w:szCs w:val="21"/>
              </w:rPr>
              <w:t>1.20</w:t>
            </w:r>
          </w:p>
        </w:tc>
      </w:tr>
    </w:tbl>
    <w:p w14:paraId="3355FDA7">
      <w:pPr>
        <w:adjustRightInd/>
        <w:snapToGrid/>
        <w:ind w:firstLine="664"/>
        <w:contextualSpacing/>
        <w:rPr>
          <w:sz w:val="32"/>
          <w:szCs w:val="32"/>
        </w:rPr>
      </w:pPr>
      <w:r>
        <w:rPr>
          <w:rFonts w:hint="eastAsia"/>
          <w:sz w:val="32"/>
          <w:szCs w:val="32"/>
        </w:rPr>
        <w:t>（1）绩效</w:t>
      </w:r>
      <w:r>
        <w:rPr>
          <w:sz w:val="32"/>
          <w:szCs w:val="32"/>
        </w:rPr>
        <w:t>目标合理性</w:t>
      </w:r>
    </w:p>
    <w:p w14:paraId="42758237">
      <w:pPr>
        <w:adjustRightInd/>
        <w:snapToGrid/>
        <w:ind w:firstLine="664"/>
        <w:contextualSpacing/>
        <w:rPr>
          <w:sz w:val="32"/>
          <w:szCs w:val="32"/>
        </w:rPr>
      </w:pPr>
      <w:r>
        <w:rPr>
          <w:sz w:val="32"/>
          <w:szCs w:val="32"/>
        </w:rPr>
        <w:t>依据</w:t>
      </w:r>
      <w:r>
        <w:rPr>
          <w:rFonts w:hint="eastAsia"/>
          <w:sz w:val="32"/>
          <w:szCs w:val="32"/>
        </w:rPr>
        <w:t>浮梁县市监局</w:t>
      </w:r>
      <w:r>
        <w:rPr>
          <w:sz w:val="32"/>
          <w:szCs w:val="32"/>
        </w:rPr>
        <w:t>提供的20</w:t>
      </w:r>
      <w:r>
        <w:rPr>
          <w:rFonts w:hint="eastAsia"/>
          <w:sz w:val="32"/>
          <w:szCs w:val="32"/>
        </w:rPr>
        <w:t>23</w:t>
      </w:r>
      <w:r>
        <w:rPr>
          <w:sz w:val="32"/>
          <w:szCs w:val="32"/>
        </w:rPr>
        <w:t>年</w:t>
      </w:r>
      <w:r>
        <w:rPr>
          <w:rFonts w:hint="eastAsia"/>
          <w:sz w:val="32"/>
          <w:szCs w:val="32"/>
        </w:rPr>
        <w:t>度部门整体支出绩效目标申报表，浮梁县市监局设定的部门整体支出绩效目标符合国家法律法规，绩效目标与部门职能、规划计划相关，预期产出效益和效果基本符合正常的业绩水平。因此，依据评分标准，该项指标得2</w:t>
      </w:r>
      <w:r>
        <w:rPr>
          <w:sz w:val="32"/>
          <w:szCs w:val="32"/>
        </w:rPr>
        <w:t>分。</w:t>
      </w:r>
    </w:p>
    <w:p w14:paraId="115933EB">
      <w:pPr>
        <w:adjustRightInd/>
        <w:snapToGrid/>
        <w:ind w:firstLine="664"/>
        <w:contextualSpacing/>
        <w:rPr>
          <w:sz w:val="32"/>
          <w:szCs w:val="32"/>
        </w:rPr>
      </w:pPr>
      <w:r>
        <w:rPr>
          <w:rFonts w:hint="eastAsia"/>
          <w:sz w:val="32"/>
          <w:szCs w:val="32"/>
        </w:rPr>
        <w:t>（2）绩效</w:t>
      </w:r>
      <w:r>
        <w:rPr>
          <w:sz w:val="32"/>
          <w:szCs w:val="32"/>
        </w:rPr>
        <w:t>指标明确性</w:t>
      </w:r>
    </w:p>
    <w:p w14:paraId="10CDB786">
      <w:pPr>
        <w:adjustRightInd/>
        <w:snapToGrid/>
        <w:ind w:firstLine="640"/>
        <w:contextualSpacing/>
        <w:rPr>
          <w:sz w:val="32"/>
          <w:szCs w:val="32"/>
        </w:rPr>
      </w:pPr>
      <w:r>
        <w:rPr>
          <w:rFonts w:hint="eastAsia"/>
          <w:spacing w:val="0"/>
          <w:sz w:val="32"/>
          <w:szCs w:val="32"/>
        </w:rPr>
        <w:t>浮梁县市监局对设定的部门整体支出绩效目标进行了细化、量化，但指标设置方面仍存在以下问题：一是指标数量较多，产出和效益指标高达84个，侧重点不明显，且易导致各指标分值较低；二是效益指标缺少可量化指标；三</w:t>
      </w:r>
      <w:r>
        <w:rPr>
          <w:rFonts w:hint="eastAsia" w:cs="仿宋"/>
          <w:color w:val="000000"/>
          <w:spacing w:val="0"/>
          <w:sz w:val="32"/>
          <w:szCs w:val="32"/>
          <w:shd w:val="clear" w:color="auto" w:fill="FFFFFF"/>
        </w:rPr>
        <w:t>是产出指标权重配分过于均衡，未区分常规基础性工作和重点、核心工作并在分值设置时有所侧重。</w:t>
      </w:r>
      <w:r>
        <w:rPr>
          <w:spacing w:val="0"/>
          <w:sz w:val="32"/>
          <w:szCs w:val="32"/>
        </w:rPr>
        <w:t>因此，依据评分标准，该项指标得</w:t>
      </w:r>
      <w:r>
        <w:rPr>
          <w:rFonts w:hint="eastAsia"/>
          <w:spacing w:val="0"/>
          <w:sz w:val="32"/>
          <w:szCs w:val="32"/>
        </w:rPr>
        <w:t>1.2</w:t>
      </w:r>
      <w:r>
        <w:rPr>
          <w:spacing w:val="0"/>
          <w:sz w:val="32"/>
          <w:szCs w:val="32"/>
        </w:rPr>
        <w:t>0分。</w:t>
      </w:r>
    </w:p>
    <w:p w14:paraId="3EE07E47">
      <w:pPr>
        <w:adjustRightInd/>
        <w:snapToGrid/>
        <w:ind w:firstLine="667"/>
        <w:contextualSpacing/>
        <w:rPr>
          <w:b/>
          <w:sz w:val="32"/>
          <w:szCs w:val="32"/>
        </w:rPr>
      </w:pPr>
      <w:r>
        <w:rPr>
          <w:rFonts w:hint="eastAsia"/>
          <w:b/>
          <w:sz w:val="32"/>
          <w:szCs w:val="32"/>
        </w:rPr>
        <w:t>3.资金</w:t>
      </w:r>
      <w:r>
        <w:rPr>
          <w:b/>
          <w:sz w:val="32"/>
          <w:szCs w:val="32"/>
        </w:rPr>
        <w:t>配置情况分析</w:t>
      </w:r>
    </w:p>
    <w:p w14:paraId="1B74F267">
      <w:pPr>
        <w:pStyle w:val="4"/>
        <w:adjustRightInd/>
        <w:snapToGrid/>
        <w:spacing w:line="560" w:lineRule="exact"/>
        <w:ind w:firstLine="664"/>
        <w:contextualSpacing/>
        <w:rPr>
          <w:rFonts w:cs="Times New Roman"/>
          <w:kern w:val="2"/>
          <w:sz w:val="32"/>
          <w:szCs w:val="32"/>
        </w:rPr>
      </w:pPr>
      <w:r>
        <w:rPr>
          <w:rFonts w:hint="eastAsia" w:cs="Times New Roman"/>
          <w:kern w:val="2"/>
          <w:sz w:val="32"/>
          <w:szCs w:val="32"/>
        </w:rPr>
        <w:t>资金配置情况主要评价“预算编制科学性”和“资金分配合理性”两方面。该部分满分4</w:t>
      </w:r>
      <w:r>
        <w:rPr>
          <w:rFonts w:cs="Times New Roman"/>
          <w:kern w:val="2"/>
          <w:sz w:val="32"/>
          <w:szCs w:val="32"/>
        </w:rPr>
        <w:t>分，得</w:t>
      </w:r>
      <w:r>
        <w:rPr>
          <w:rFonts w:hint="eastAsia" w:cs="Times New Roman"/>
          <w:kern w:val="2"/>
          <w:sz w:val="32"/>
          <w:szCs w:val="32"/>
        </w:rPr>
        <w:t>4</w:t>
      </w:r>
      <w:r>
        <w:rPr>
          <w:rFonts w:cs="Times New Roman"/>
          <w:kern w:val="2"/>
          <w:sz w:val="32"/>
          <w:szCs w:val="32"/>
        </w:rPr>
        <w:t>分，得分率为</w:t>
      </w:r>
      <w:r>
        <w:rPr>
          <w:rFonts w:hint="eastAsia" w:cs="Times New Roman"/>
          <w:kern w:val="2"/>
          <w:sz w:val="32"/>
          <w:szCs w:val="32"/>
        </w:rPr>
        <w:t>100</w:t>
      </w:r>
      <w:r>
        <w:rPr>
          <w:rFonts w:cs="Times New Roman"/>
          <w:kern w:val="2"/>
          <w:sz w:val="32"/>
          <w:szCs w:val="32"/>
        </w:rPr>
        <w:t>%。指标的业绩值和绩效得分见表</w:t>
      </w:r>
      <w:r>
        <w:rPr>
          <w:rFonts w:hint="eastAsia" w:cs="Times New Roman"/>
          <w:kern w:val="2"/>
          <w:sz w:val="32"/>
          <w:szCs w:val="32"/>
        </w:rPr>
        <w:t>4</w:t>
      </w:r>
      <w:r>
        <w:rPr>
          <w:rFonts w:cs="Times New Roman"/>
          <w:kern w:val="2"/>
          <w:sz w:val="32"/>
          <w:szCs w:val="32"/>
        </w:rPr>
        <w:t>-</w:t>
      </w:r>
      <w:r>
        <w:rPr>
          <w:rFonts w:hint="eastAsia" w:cs="Times New Roman"/>
          <w:kern w:val="2"/>
          <w:sz w:val="32"/>
          <w:szCs w:val="32"/>
        </w:rPr>
        <w:t>3</w:t>
      </w:r>
      <w:r>
        <w:rPr>
          <w:rFonts w:cs="Times New Roman"/>
          <w:kern w:val="2"/>
          <w:sz w:val="32"/>
          <w:szCs w:val="32"/>
        </w:rPr>
        <w:t>：</w:t>
      </w:r>
    </w:p>
    <w:p w14:paraId="6C2809E7">
      <w:pPr>
        <w:pStyle w:val="29"/>
      </w:pPr>
      <w:r>
        <w:rPr>
          <w:rFonts w:hint="eastAsia"/>
        </w:rPr>
        <w:t>表4-3  资金配置指标业绩值及分值</w:t>
      </w:r>
    </w:p>
    <w:tbl>
      <w:tblPr>
        <w:tblStyle w:val="12"/>
        <w:tblW w:w="8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810"/>
        <w:gridCol w:w="1543"/>
        <w:gridCol w:w="1543"/>
        <w:gridCol w:w="1033"/>
      </w:tblGrid>
      <w:tr w14:paraId="7D6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5" w:type="dxa"/>
            <w:shd w:val="clear" w:color="auto" w:fill="FFFFFF"/>
            <w:vAlign w:val="center"/>
          </w:tcPr>
          <w:p w14:paraId="18D58C46">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shd w:val="clear" w:color="auto" w:fill="FFFFFF"/>
            <w:vAlign w:val="center"/>
          </w:tcPr>
          <w:p w14:paraId="0A6BC8D2">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shd w:val="clear" w:color="auto" w:fill="FFFFFF"/>
            <w:vAlign w:val="center"/>
          </w:tcPr>
          <w:p w14:paraId="7729D7B1">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shd w:val="clear" w:color="auto" w:fill="FFFFFF"/>
            <w:vAlign w:val="center"/>
          </w:tcPr>
          <w:p w14:paraId="2D2BDE18">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shd w:val="clear" w:color="auto" w:fill="FFFFFF"/>
            <w:vAlign w:val="center"/>
          </w:tcPr>
          <w:p w14:paraId="3BC41AC9">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0C3F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28C08962">
            <w:pPr>
              <w:spacing w:line="240" w:lineRule="auto"/>
              <w:ind w:firstLine="0" w:firstLineChars="0"/>
              <w:jc w:val="center"/>
              <w:rPr>
                <w:rFonts w:cs="仿宋"/>
                <w:b/>
                <w:bCs/>
                <w:sz w:val="21"/>
                <w:szCs w:val="21"/>
              </w:rPr>
            </w:pPr>
            <w:r>
              <w:rPr>
                <w:rFonts w:hint="eastAsia" w:cs="仿宋"/>
                <w:b/>
                <w:bCs/>
                <w:sz w:val="21"/>
                <w:szCs w:val="21"/>
              </w:rPr>
              <w:t>合计</w:t>
            </w:r>
          </w:p>
        </w:tc>
        <w:tc>
          <w:tcPr>
            <w:tcW w:w="810" w:type="dxa"/>
            <w:shd w:val="clear" w:color="auto" w:fill="FFFFFF"/>
            <w:vAlign w:val="center"/>
          </w:tcPr>
          <w:p w14:paraId="4BCE9C72">
            <w:pPr>
              <w:spacing w:line="240" w:lineRule="auto"/>
              <w:ind w:firstLine="0" w:firstLineChars="0"/>
              <w:jc w:val="center"/>
              <w:rPr>
                <w:rFonts w:cs="仿宋"/>
                <w:b/>
                <w:bCs/>
                <w:sz w:val="21"/>
                <w:szCs w:val="21"/>
              </w:rPr>
            </w:pPr>
            <w:r>
              <w:rPr>
                <w:rFonts w:hint="eastAsia" w:cs="仿宋"/>
                <w:b/>
                <w:bCs/>
                <w:sz w:val="21"/>
                <w:szCs w:val="21"/>
              </w:rPr>
              <w:t>4</w:t>
            </w:r>
          </w:p>
        </w:tc>
        <w:tc>
          <w:tcPr>
            <w:tcW w:w="1543" w:type="dxa"/>
            <w:shd w:val="clear" w:color="auto" w:fill="FFFFFF"/>
            <w:vAlign w:val="center"/>
          </w:tcPr>
          <w:p w14:paraId="463429E6">
            <w:pPr>
              <w:spacing w:line="240" w:lineRule="auto"/>
              <w:ind w:firstLine="0" w:firstLineChars="0"/>
              <w:jc w:val="center"/>
              <w:rPr>
                <w:rFonts w:cs="仿宋"/>
                <w:b/>
                <w:bCs/>
                <w:sz w:val="21"/>
                <w:szCs w:val="21"/>
              </w:rPr>
            </w:pPr>
            <w:r>
              <w:rPr>
                <w:rFonts w:hint="eastAsia" w:cs="仿宋"/>
                <w:b/>
                <w:bCs/>
                <w:sz w:val="21"/>
                <w:szCs w:val="21"/>
              </w:rPr>
              <w:t>——</w:t>
            </w:r>
          </w:p>
        </w:tc>
        <w:tc>
          <w:tcPr>
            <w:tcW w:w="1543" w:type="dxa"/>
            <w:shd w:val="clear" w:color="auto" w:fill="FFFFFF"/>
            <w:vAlign w:val="center"/>
          </w:tcPr>
          <w:p w14:paraId="52603B72">
            <w:pPr>
              <w:spacing w:line="240" w:lineRule="auto"/>
              <w:ind w:firstLine="0" w:firstLineChars="0"/>
              <w:jc w:val="center"/>
              <w:rPr>
                <w:rFonts w:cs="仿宋"/>
                <w:b/>
                <w:bCs/>
                <w:sz w:val="21"/>
                <w:szCs w:val="21"/>
              </w:rPr>
            </w:pPr>
            <w:r>
              <w:rPr>
                <w:rFonts w:hint="eastAsia" w:cs="仿宋"/>
                <w:b/>
                <w:bCs/>
                <w:sz w:val="21"/>
                <w:szCs w:val="21"/>
              </w:rPr>
              <w:t>——</w:t>
            </w:r>
          </w:p>
        </w:tc>
        <w:tc>
          <w:tcPr>
            <w:tcW w:w="1033" w:type="dxa"/>
            <w:shd w:val="clear" w:color="auto" w:fill="FFFFFF"/>
            <w:vAlign w:val="center"/>
          </w:tcPr>
          <w:p w14:paraId="27CBA9B4">
            <w:pPr>
              <w:spacing w:line="240" w:lineRule="auto"/>
              <w:ind w:firstLine="0" w:firstLineChars="0"/>
              <w:jc w:val="center"/>
              <w:rPr>
                <w:rFonts w:cs="仿宋"/>
                <w:b/>
                <w:bCs/>
                <w:sz w:val="21"/>
                <w:szCs w:val="21"/>
              </w:rPr>
            </w:pPr>
            <w:r>
              <w:rPr>
                <w:rFonts w:hint="eastAsia" w:cs="仿宋"/>
                <w:b/>
                <w:bCs/>
                <w:sz w:val="21"/>
                <w:szCs w:val="21"/>
              </w:rPr>
              <w:t>4</w:t>
            </w:r>
          </w:p>
        </w:tc>
      </w:tr>
      <w:tr w14:paraId="6814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42D5C5EA">
            <w:pPr>
              <w:spacing w:line="240" w:lineRule="auto"/>
              <w:ind w:firstLine="0" w:firstLineChars="0"/>
              <w:jc w:val="center"/>
              <w:rPr>
                <w:rFonts w:cs="仿宋"/>
                <w:sz w:val="21"/>
                <w:szCs w:val="21"/>
              </w:rPr>
            </w:pPr>
            <w:r>
              <w:rPr>
                <w:rFonts w:hint="eastAsia" w:cs="仿宋"/>
                <w:sz w:val="21"/>
                <w:szCs w:val="21"/>
              </w:rPr>
              <w:t>预算编制科学性</w:t>
            </w:r>
          </w:p>
        </w:tc>
        <w:tc>
          <w:tcPr>
            <w:tcW w:w="810" w:type="dxa"/>
            <w:shd w:val="clear" w:color="auto" w:fill="FFFFFF"/>
            <w:vAlign w:val="center"/>
          </w:tcPr>
          <w:p w14:paraId="3E0A8571">
            <w:pPr>
              <w:spacing w:line="240" w:lineRule="auto"/>
              <w:ind w:firstLine="0" w:firstLineChars="0"/>
              <w:jc w:val="center"/>
              <w:rPr>
                <w:rFonts w:cs="仿宋"/>
                <w:sz w:val="21"/>
                <w:szCs w:val="21"/>
              </w:rPr>
            </w:pPr>
            <w:r>
              <w:rPr>
                <w:rFonts w:hint="eastAsia" w:cs="仿宋"/>
                <w:sz w:val="21"/>
                <w:szCs w:val="21"/>
              </w:rPr>
              <w:t>2</w:t>
            </w:r>
          </w:p>
        </w:tc>
        <w:tc>
          <w:tcPr>
            <w:tcW w:w="1543" w:type="dxa"/>
            <w:shd w:val="clear" w:color="auto" w:fill="FFFFFF"/>
            <w:vAlign w:val="center"/>
          </w:tcPr>
          <w:p w14:paraId="4CDB133A">
            <w:pPr>
              <w:spacing w:line="240" w:lineRule="auto"/>
              <w:ind w:firstLine="0" w:firstLineChars="0"/>
              <w:jc w:val="center"/>
              <w:rPr>
                <w:rFonts w:cs="仿宋"/>
                <w:sz w:val="21"/>
                <w:szCs w:val="21"/>
              </w:rPr>
            </w:pPr>
            <w:r>
              <w:rPr>
                <w:rFonts w:hint="eastAsia" w:cs="仿宋"/>
                <w:sz w:val="21"/>
                <w:szCs w:val="21"/>
              </w:rPr>
              <w:t>科学</w:t>
            </w:r>
          </w:p>
        </w:tc>
        <w:tc>
          <w:tcPr>
            <w:tcW w:w="1543" w:type="dxa"/>
            <w:shd w:val="clear" w:color="auto" w:fill="FFFFFF"/>
            <w:vAlign w:val="center"/>
          </w:tcPr>
          <w:p w14:paraId="10EC0C54">
            <w:pPr>
              <w:spacing w:line="240" w:lineRule="auto"/>
              <w:ind w:firstLine="0" w:firstLineChars="0"/>
              <w:jc w:val="center"/>
              <w:rPr>
                <w:rFonts w:cs="仿宋"/>
                <w:sz w:val="21"/>
                <w:szCs w:val="21"/>
              </w:rPr>
            </w:pPr>
            <w:r>
              <w:rPr>
                <w:rFonts w:cs="仿宋"/>
                <w:sz w:val="21"/>
                <w:szCs w:val="21"/>
              </w:rPr>
              <w:t>科学</w:t>
            </w:r>
          </w:p>
        </w:tc>
        <w:tc>
          <w:tcPr>
            <w:tcW w:w="1033" w:type="dxa"/>
            <w:shd w:val="clear" w:color="auto" w:fill="FFFFFF"/>
            <w:vAlign w:val="center"/>
          </w:tcPr>
          <w:p w14:paraId="047D49E1">
            <w:pPr>
              <w:spacing w:line="240" w:lineRule="auto"/>
              <w:ind w:firstLine="0" w:firstLineChars="0"/>
              <w:jc w:val="center"/>
              <w:rPr>
                <w:rFonts w:cs="仿宋"/>
                <w:sz w:val="21"/>
                <w:szCs w:val="21"/>
              </w:rPr>
            </w:pPr>
            <w:r>
              <w:rPr>
                <w:rFonts w:hint="eastAsia" w:cs="仿宋"/>
                <w:sz w:val="21"/>
                <w:szCs w:val="21"/>
              </w:rPr>
              <w:t>2</w:t>
            </w:r>
          </w:p>
        </w:tc>
      </w:tr>
      <w:tr w14:paraId="076C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5" w:type="dxa"/>
            <w:shd w:val="clear" w:color="auto" w:fill="FFFFFF"/>
            <w:vAlign w:val="center"/>
          </w:tcPr>
          <w:p w14:paraId="0576B152">
            <w:pPr>
              <w:spacing w:line="240" w:lineRule="auto"/>
              <w:ind w:firstLine="0" w:firstLineChars="0"/>
              <w:jc w:val="center"/>
              <w:rPr>
                <w:rFonts w:cs="仿宋"/>
                <w:sz w:val="21"/>
                <w:szCs w:val="21"/>
              </w:rPr>
            </w:pPr>
            <w:r>
              <w:rPr>
                <w:rFonts w:hint="eastAsia" w:cs="仿宋"/>
                <w:sz w:val="21"/>
                <w:szCs w:val="21"/>
              </w:rPr>
              <w:t>资金分配合理性</w:t>
            </w:r>
          </w:p>
        </w:tc>
        <w:tc>
          <w:tcPr>
            <w:tcW w:w="810" w:type="dxa"/>
            <w:shd w:val="clear" w:color="auto" w:fill="FFFFFF"/>
            <w:vAlign w:val="center"/>
          </w:tcPr>
          <w:p w14:paraId="1F3D3F9D">
            <w:pPr>
              <w:spacing w:line="240" w:lineRule="auto"/>
              <w:ind w:firstLine="0" w:firstLineChars="0"/>
              <w:jc w:val="center"/>
              <w:rPr>
                <w:rFonts w:cs="仿宋"/>
                <w:sz w:val="21"/>
                <w:szCs w:val="21"/>
              </w:rPr>
            </w:pPr>
            <w:r>
              <w:rPr>
                <w:rFonts w:hint="eastAsia" w:cs="仿宋"/>
                <w:sz w:val="21"/>
                <w:szCs w:val="21"/>
              </w:rPr>
              <w:t>2</w:t>
            </w:r>
          </w:p>
        </w:tc>
        <w:tc>
          <w:tcPr>
            <w:tcW w:w="1543" w:type="dxa"/>
            <w:shd w:val="clear" w:color="auto" w:fill="FFFFFF"/>
            <w:vAlign w:val="center"/>
          </w:tcPr>
          <w:p w14:paraId="7710FD51">
            <w:pPr>
              <w:spacing w:line="240" w:lineRule="auto"/>
              <w:ind w:firstLine="0" w:firstLineChars="0"/>
              <w:jc w:val="center"/>
              <w:rPr>
                <w:rFonts w:cs="仿宋"/>
                <w:sz w:val="21"/>
                <w:szCs w:val="21"/>
              </w:rPr>
            </w:pPr>
            <w:r>
              <w:rPr>
                <w:rFonts w:hint="eastAsia" w:cs="仿宋"/>
                <w:sz w:val="21"/>
                <w:szCs w:val="21"/>
              </w:rPr>
              <w:t>合理</w:t>
            </w:r>
          </w:p>
        </w:tc>
        <w:tc>
          <w:tcPr>
            <w:tcW w:w="1543" w:type="dxa"/>
            <w:shd w:val="clear" w:color="auto" w:fill="FFFFFF"/>
            <w:vAlign w:val="center"/>
          </w:tcPr>
          <w:p w14:paraId="30AB5A78">
            <w:pPr>
              <w:spacing w:line="240" w:lineRule="auto"/>
              <w:ind w:firstLine="0" w:firstLineChars="0"/>
              <w:jc w:val="center"/>
              <w:rPr>
                <w:rFonts w:cs="仿宋"/>
                <w:sz w:val="21"/>
                <w:szCs w:val="21"/>
              </w:rPr>
            </w:pPr>
            <w:r>
              <w:rPr>
                <w:rFonts w:hint="eastAsia" w:cs="仿宋"/>
                <w:sz w:val="21"/>
                <w:szCs w:val="21"/>
              </w:rPr>
              <w:t>较合理</w:t>
            </w:r>
          </w:p>
        </w:tc>
        <w:tc>
          <w:tcPr>
            <w:tcW w:w="1033" w:type="dxa"/>
            <w:shd w:val="clear" w:color="auto" w:fill="FFFFFF"/>
            <w:vAlign w:val="center"/>
          </w:tcPr>
          <w:p w14:paraId="1EDD7EB7">
            <w:pPr>
              <w:spacing w:line="240" w:lineRule="auto"/>
              <w:ind w:firstLine="0" w:firstLineChars="0"/>
              <w:jc w:val="center"/>
              <w:rPr>
                <w:rFonts w:cs="仿宋"/>
                <w:sz w:val="21"/>
                <w:szCs w:val="21"/>
              </w:rPr>
            </w:pPr>
            <w:r>
              <w:rPr>
                <w:rFonts w:hint="eastAsia" w:cs="仿宋"/>
                <w:sz w:val="21"/>
                <w:szCs w:val="21"/>
              </w:rPr>
              <w:t>2</w:t>
            </w:r>
          </w:p>
        </w:tc>
      </w:tr>
    </w:tbl>
    <w:p w14:paraId="2911A067">
      <w:pPr>
        <w:adjustRightInd/>
        <w:snapToGrid/>
        <w:ind w:firstLine="664"/>
        <w:contextualSpacing/>
        <w:rPr>
          <w:sz w:val="32"/>
          <w:szCs w:val="32"/>
        </w:rPr>
      </w:pPr>
      <w:r>
        <w:rPr>
          <w:rFonts w:hint="eastAsia"/>
          <w:sz w:val="32"/>
          <w:szCs w:val="32"/>
        </w:rPr>
        <w:t>（1）预算</w:t>
      </w:r>
      <w:r>
        <w:rPr>
          <w:sz w:val="32"/>
          <w:szCs w:val="32"/>
        </w:rPr>
        <w:t>编制科学性</w:t>
      </w:r>
    </w:p>
    <w:p w14:paraId="62E05FEF">
      <w:pPr>
        <w:adjustRightInd/>
        <w:snapToGrid/>
        <w:ind w:firstLine="664"/>
        <w:contextualSpacing/>
        <w:rPr>
          <w:sz w:val="32"/>
          <w:szCs w:val="32"/>
        </w:rPr>
      </w:pPr>
      <w:r>
        <w:rPr>
          <w:rFonts w:hint="eastAsia" w:cs="Times New Roman"/>
          <w:sz w:val="32"/>
          <w:szCs w:val="32"/>
        </w:rPr>
        <w:t>浮梁县市监局预算编制基于上年决算，预算内容与部门履职及规划计划相匹配，预算内容与部门履职及规划计划基本匹配，基本支出依据的是往年情况，按照标准编制，项目支出按照政府抄告单上批复的资金数额进行预算申请，确定的资金量与工作任务较匹配。</w:t>
      </w:r>
      <w:r>
        <w:rPr>
          <w:spacing w:val="0"/>
          <w:sz w:val="32"/>
          <w:szCs w:val="32"/>
        </w:rPr>
        <w:t>因此，依据评分标准，该项指标得</w:t>
      </w:r>
      <w:r>
        <w:rPr>
          <w:rFonts w:hint="eastAsia"/>
          <w:spacing w:val="0"/>
          <w:sz w:val="32"/>
          <w:szCs w:val="32"/>
        </w:rPr>
        <w:t>2</w:t>
      </w:r>
      <w:r>
        <w:rPr>
          <w:spacing w:val="0"/>
          <w:sz w:val="32"/>
          <w:szCs w:val="32"/>
        </w:rPr>
        <w:t>分。</w:t>
      </w:r>
    </w:p>
    <w:p w14:paraId="401DE64B">
      <w:pPr>
        <w:adjustRightInd/>
        <w:snapToGrid/>
        <w:ind w:firstLine="664"/>
        <w:contextualSpacing/>
        <w:rPr>
          <w:sz w:val="32"/>
          <w:szCs w:val="32"/>
        </w:rPr>
      </w:pPr>
      <w:r>
        <w:rPr>
          <w:rFonts w:hint="eastAsia"/>
          <w:sz w:val="32"/>
          <w:szCs w:val="32"/>
        </w:rPr>
        <w:t>（2）资金分配合理性</w:t>
      </w:r>
    </w:p>
    <w:p w14:paraId="0C7B0730">
      <w:pPr>
        <w:adjustRightInd/>
        <w:snapToGrid/>
        <w:ind w:firstLine="664"/>
        <w:contextualSpacing/>
        <w:rPr>
          <w:sz w:val="32"/>
          <w:szCs w:val="32"/>
        </w:rPr>
      </w:pPr>
      <w:r>
        <w:rPr>
          <w:sz w:val="32"/>
          <w:szCs w:val="32"/>
        </w:rPr>
        <w:t>浮梁县市监局</w:t>
      </w:r>
      <w:r>
        <w:rPr>
          <w:rFonts w:hint="eastAsia"/>
          <w:sz w:val="32"/>
          <w:szCs w:val="32"/>
        </w:rPr>
        <w:t>资金基本按照申请用途予以分配，与部门整体绩效目标内容相一致，主要用于单位日常运转、产品安全抽检、食品安全监管等工作，分配结果较合理。</w:t>
      </w:r>
      <w:r>
        <w:rPr>
          <w:spacing w:val="0"/>
          <w:sz w:val="32"/>
          <w:szCs w:val="32"/>
        </w:rPr>
        <w:t>因此，依据评分标准，该指标得</w:t>
      </w:r>
      <w:r>
        <w:rPr>
          <w:rFonts w:hint="eastAsia"/>
          <w:spacing w:val="0"/>
          <w:sz w:val="32"/>
          <w:szCs w:val="32"/>
        </w:rPr>
        <w:t>3</w:t>
      </w:r>
      <w:r>
        <w:rPr>
          <w:spacing w:val="0"/>
          <w:sz w:val="32"/>
          <w:szCs w:val="32"/>
        </w:rPr>
        <w:t>分。</w:t>
      </w:r>
    </w:p>
    <w:p w14:paraId="7059FBDC">
      <w:pPr>
        <w:pStyle w:val="3"/>
        <w:adjustRightInd/>
        <w:snapToGrid/>
        <w:spacing w:before="0" w:after="0"/>
        <w:ind w:firstLine="667"/>
        <w:contextualSpacing/>
        <w:rPr>
          <w:rFonts w:ascii="楷体_GB2312" w:eastAsia="楷体_GB2312"/>
        </w:rPr>
      </w:pPr>
      <w:bookmarkStart w:id="26" w:name="_Toc78382229"/>
      <w:bookmarkStart w:id="27" w:name="_Toc146027908"/>
      <w:bookmarkStart w:id="28" w:name="_Toc77757399"/>
      <w:bookmarkStart w:id="29" w:name="_Toc167874828"/>
      <w:bookmarkStart w:id="30" w:name="_Toc146476232"/>
      <w:r>
        <w:rPr>
          <w:rFonts w:hint="eastAsia" w:ascii="楷体_GB2312" w:eastAsia="楷体_GB2312"/>
        </w:rPr>
        <w:t>（二）部门管理完成情况</w:t>
      </w:r>
      <w:bookmarkEnd w:id="26"/>
      <w:bookmarkEnd w:id="27"/>
      <w:bookmarkEnd w:id="28"/>
      <w:bookmarkEnd w:id="29"/>
      <w:bookmarkEnd w:id="30"/>
    </w:p>
    <w:p w14:paraId="333CF004">
      <w:pPr>
        <w:adjustRightInd/>
        <w:snapToGrid/>
        <w:ind w:firstLine="664"/>
        <w:contextualSpacing/>
        <w:rPr>
          <w:sz w:val="32"/>
          <w:szCs w:val="32"/>
        </w:rPr>
      </w:pPr>
      <w:r>
        <w:rPr>
          <w:rFonts w:hint="eastAsia"/>
          <w:sz w:val="32"/>
          <w:szCs w:val="32"/>
        </w:rPr>
        <w:t>管理指标主要评价部门“资金管理”“预算管理”“政府采购管理”“资产管理”和“组织实施”五方面。该部分指标满分16分，得12.80分，得分率80%。</w:t>
      </w:r>
    </w:p>
    <w:p w14:paraId="7A35EAB9">
      <w:pPr>
        <w:adjustRightInd/>
        <w:snapToGrid/>
        <w:ind w:firstLine="667"/>
        <w:contextualSpacing/>
        <w:rPr>
          <w:b/>
          <w:sz w:val="32"/>
          <w:szCs w:val="32"/>
        </w:rPr>
      </w:pPr>
      <w:r>
        <w:rPr>
          <w:rFonts w:hint="eastAsia"/>
          <w:b/>
          <w:sz w:val="32"/>
          <w:szCs w:val="32"/>
        </w:rPr>
        <w:t>1.资金管理情况分析</w:t>
      </w:r>
    </w:p>
    <w:p w14:paraId="17AE4E0C">
      <w:pPr>
        <w:adjustRightInd/>
        <w:snapToGrid/>
        <w:ind w:firstLine="664"/>
        <w:contextualSpacing/>
        <w:rPr>
          <w:sz w:val="32"/>
          <w:szCs w:val="32"/>
        </w:rPr>
      </w:pPr>
      <w:r>
        <w:rPr>
          <w:rFonts w:hint="eastAsia"/>
          <w:sz w:val="32"/>
          <w:szCs w:val="32"/>
        </w:rPr>
        <w:t>资金管理情况主要评价“支出预算执行率”和“资金使用合规性”两方面。该部分满分5分，得1分，得分率为20%，指标的目标值、业绩值及得分见表4-4：</w:t>
      </w:r>
    </w:p>
    <w:p w14:paraId="1E7ED82C">
      <w:pPr>
        <w:ind w:firstLine="0" w:firstLineChars="0"/>
        <w:jc w:val="center"/>
        <w:rPr>
          <w:rFonts w:ascii="黑体" w:hAnsi="黑体" w:eastAsia="黑体"/>
          <w:sz w:val="21"/>
          <w:szCs w:val="21"/>
        </w:rPr>
      </w:pPr>
      <w:r>
        <w:rPr>
          <w:rFonts w:hint="eastAsia" w:ascii="黑体" w:hAnsi="黑体" w:eastAsia="黑体"/>
          <w:sz w:val="21"/>
          <w:szCs w:val="21"/>
        </w:rPr>
        <w:t>表4-4  资金管理指标业绩值及分值</w:t>
      </w:r>
    </w:p>
    <w:tbl>
      <w:tblPr>
        <w:tblStyle w:val="1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10"/>
        <w:gridCol w:w="1543"/>
        <w:gridCol w:w="1543"/>
        <w:gridCol w:w="1033"/>
      </w:tblGrid>
      <w:tr w14:paraId="0E4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15487C1">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568D7301">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34BAD60">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0690602">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2FA028B4">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5DFC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613C9796">
            <w:pPr>
              <w:autoSpaceDE w:val="0"/>
              <w:spacing w:line="240" w:lineRule="auto"/>
              <w:ind w:firstLine="0" w:firstLineChars="0"/>
              <w:jc w:val="center"/>
              <w:rPr>
                <w:rFonts w:cs="仿宋"/>
                <w:b/>
                <w:bCs/>
                <w:sz w:val="21"/>
                <w:szCs w:val="21"/>
              </w:rPr>
            </w:pPr>
            <w:r>
              <w:rPr>
                <w:rFonts w:hint="eastAsia" w:cs="仿宋"/>
                <w:b/>
                <w:bCs/>
                <w:sz w:val="21"/>
                <w:szCs w:val="21"/>
              </w:rPr>
              <w:t>合计</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E8F2D27">
            <w:pPr>
              <w:autoSpaceDE w:val="0"/>
              <w:spacing w:line="240" w:lineRule="auto"/>
              <w:ind w:firstLine="0" w:firstLineChars="0"/>
              <w:jc w:val="center"/>
              <w:rPr>
                <w:rFonts w:cs="仿宋"/>
                <w:b/>
                <w:bCs/>
                <w:sz w:val="21"/>
                <w:szCs w:val="21"/>
              </w:rPr>
            </w:pPr>
            <w:r>
              <w:rPr>
                <w:rFonts w:hint="eastAsia" w:cs="仿宋"/>
                <w:b/>
                <w:bCs/>
                <w:sz w:val="21"/>
                <w:szCs w:val="21"/>
              </w:rPr>
              <w:t>5</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6E9D40D">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BEE5592">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9E0B1A0">
            <w:pPr>
              <w:autoSpaceDE w:val="0"/>
              <w:spacing w:line="240" w:lineRule="auto"/>
              <w:ind w:firstLine="0" w:firstLineChars="0"/>
              <w:jc w:val="center"/>
              <w:rPr>
                <w:rFonts w:cs="仿宋"/>
                <w:b/>
                <w:bCs/>
                <w:sz w:val="21"/>
                <w:szCs w:val="21"/>
              </w:rPr>
            </w:pPr>
            <w:r>
              <w:rPr>
                <w:rFonts w:hint="eastAsia" w:cs="仿宋"/>
                <w:b/>
                <w:bCs/>
                <w:sz w:val="21"/>
                <w:szCs w:val="21"/>
              </w:rPr>
              <w:t>1</w:t>
            </w:r>
          </w:p>
        </w:tc>
      </w:tr>
      <w:tr w14:paraId="0EB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572B7844">
            <w:pPr>
              <w:autoSpaceDE w:val="0"/>
              <w:spacing w:line="240" w:lineRule="auto"/>
              <w:ind w:firstLine="0" w:firstLineChars="0"/>
              <w:jc w:val="center"/>
              <w:rPr>
                <w:rFonts w:cs="仿宋"/>
                <w:sz w:val="21"/>
                <w:szCs w:val="21"/>
              </w:rPr>
            </w:pPr>
            <w:r>
              <w:rPr>
                <w:rFonts w:hint="eastAsia" w:cs="仿宋"/>
                <w:sz w:val="21"/>
                <w:szCs w:val="21"/>
              </w:rPr>
              <w:t>支出预算执行率</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79617C8">
            <w:pPr>
              <w:autoSpaceDE w:val="0"/>
              <w:spacing w:line="240" w:lineRule="auto"/>
              <w:ind w:firstLine="0" w:firstLineChars="0"/>
              <w:jc w:val="center"/>
              <w:rPr>
                <w:rFonts w:cs="仿宋"/>
                <w:sz w:val="21"/>
                <w:szCs w:val="21"/>
              </w:rPr>
            </w:pPr>
            <w:r>
              <w:rPr>
                <w:rFonts w:hint="eastAsia" w:cs="仿宋"/>
                <w:sz w:val="21"/>
                <w:szCs w:val="21"/>
              </w:rPr>
              <w:t>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012BE89">
            <w:pPr>
              <w:autoSpaceDE w:val="0"/>
              <w:spacing w:line="240" w:lineRule="auto"/>
              <w:ind w:firstLine="0" w:firstLineChars="0"/>
              <w:jc w:val="center"/>
              <w:rPr>
                <w:rFonts w:cs="仿宋"/>
                <w:sz w:val="21"/>
                <w:szCs w:val="21"/>
              </w:rPr>
            </w:pPr>
            <w:r>
              <w:rPr>
                <w:rFonts w:hint="eastAsia" w:cs="仿宋"/>
                <w:sz w:val="21"/>
                <w:szCs w:val="21"/>
              </w:rPr>
              <w:t>100%</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17001EB">
            <w:pPr>
              <w:autoSpaceDE w:val="0"/>
              <w:spacing w:line="240" w:lineRule="auto"/>
              <w:ind w:firstLine="0" w:firstLineChars="0"/>
              <w:jc w:val="center"/>
              <w:rPr>
                <w:rFonts w:cs="仿宋"/>
                <w:sz w:val="21"/>
                <w:szCs w:val="21"/>
              </w:rPr>
            </w:pPr>
            <w:r>
              <w:rPr>
                <w:rFonts w:hint="eastAsia" w:cs="仿宋"/>
                <w:sz w:val="21"/>
                <w:szCs w:val="21"/>
              </w:rPr>
              <w:t>95.55%</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7054FEC6">
            <w:pPr>
              <w:autoSpaceDE w:val="0"/>
              <w:spacing w:line="240" w:lineRule="auto"/>
              <w:ind w:firstLine="0" w:firstLineChars="0"/>
              <w:jc w:val="center"/>
              <w:rPr>
                <w:rFonts w:cs="仿宋"/>
                <w:sz w:val="21"/>
                <w:szCs w:val="21"/>
              </w:rPr>
            </w:pPr>
            <w:r>
              <w:rPr>
                <w:rFonts w:hint="eastAsia" w:cs="仿宋"/>
                <w:sz w:val="21"/>
                <w:szCs w:val="21"/>
              </w:rPr>
              <w:t>1</w:t>
            </w:r>
          </w:p>
        </w:tc>
      </w:tr>
      <w:tr w14:paraId="2EAF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21D85C72">
            <w:pPr>
              <w:autoSpaceDE w:val="0"/>
              <w:spacing w:line="240" w:lineRule="auto"/>
              <w:ind w:firstLine="0" w:firstLineChars="0"/>
              <w:jc w:val="center"/>
              <w:rPr>
                <w:rFonts w:cs="仿宋"/>
                <w:sz w:val="21"/>
                <w:szCs w:val="21"/>
              </w:rPr>
            </w:pPr>
            <w:r>
              <w:rPr>
                <w:rFonts w:hint="eastAsia" w:cs="仿宋"/>
                <w:sz w:val="21"/>
                <w:szCs w:val="21"/>
              </w:rPr>
              <w:t>资金使用合规性</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9F6CD63">
            <w:pPr>
              <w:autoSpaceDE w:val="0"/>
              <w:spacing w:line="240" w:lineRule="auto"/>
              <w:ind w:firstLine="0" w:firstLineChars="0"/>
              <w:jc w:val="center"/>
              <w:rPr>
                <w:rFonts w:cs="仿宋"/>
                <w:sz w:val="21"/>
                <w:szCs w:val="21"/>
              </w:rPr>
            </w:pPr>
            <w:r>
              <w:rPr>
                <w:rFonts w:hint="eastAsia" w:cs="仿宋"/>
                <w:sz w:val="21"/>
                <w:szCs w:val="21"/>
              </w:rPr>
              <w:t>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2F1396E6">
            <w:pPr>
              <w:autoSpaceDE w:val="0"/>
              <w:spacing w:line="240" w:lineRule="auto"/>
              <w:ind w:firstLine="0" w:firstLineChars="0"/>
              <w:jc w:val="center"/>
              <w:rPr>
                <w:rFonts w:cs="仿宋"/>
                <w:sz w:val="21"/>
                <w:szCs w:val="21"/>
              </w:rPr>
            </w:pPr>
            <w:r>
              <w:rPr>
                <w:rFonts w:hint="eastAsia" w:cs="仿宋"/>
                <w:sz w:val="21"/>
                <w:szCs w:val="21"/>
              </w:rPr>
              <w:t>合规</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EE15681">
            <w:pPr>
              <w:autoSpaceDE w:val="0"/>
              <w:spacing w:line="240" w:lineRule="auto"/>
              <w:ind w:firstLine="0" w:firstLineChars="0"/>
              <w:jc w:val="center"/>
              <w:rPr>
                <w:rFonts w:cs="仿宋"/>
                <w:sz w:val="21"/>
                <w:szCs w:val="21"/>
              </w:rPr>
            </w:pPr>
            <w:r>
              <w:rPr>
                <w:rFonts w:hint="eastAsia" w:cs="仿宋"/>
                <w:sz w:val="21"/>
                <w:szCs w:val="21"/>
              </w:rPr>
              <w:t>欠合规</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46CF1609">
            <w:pPr>
              <w:autoSpaceDE w:val="0"/>
              <w:spacing w:line="240" w:lineRule="auto"/>
              <w:ind w:firstLine="0" w:firstLineChars="0"/>
              <w:jc w:val="center"/>
              <w:rPr>
                <w:rFonts w:cs="仿宋"/>
                <w:sz w:val="21"/>
                <w:szCs w:val="21"/>
              </w:rPr>
            </w:pPr>
            <w:r>
              <w:rPr>
                <w:rFonts w:hint="eastAsia" w:cs="仿宋"/>
                <w:sz w:val="21"/>
                <w:szCs w:val="21"/>
              </w:rPr>
              <w:t>0</w:t>
            </w:r>
          </w:p>
        </w:tc>
      </w:tr>
    </w:tbl>
    <w:p w14:paraId="4C592FF4">
      <w:pPr>
        <w:adjustRightInd/>
        <w:snapToGrid/>
        <w:ind w:firstLine="664"/>
        <w:contextualSpacing/>
        <w:rPr>
          <w:bCs/>
          <w:sz w:val="32"/>
          <w:szCs w:val="32"/>
        </w:rPr>
      </w:pPr>
      <w:r>
        <w:rPr>
          <w:rFonts w:hint="eastAsia"/>
          <w:bCs/>
          <w:sz w:val="32"/>
          <w:szCs w:val="32"/>
        </w:rPr>
        <w:t>（1）支出预算执行率</w:t>
      </w:r>
    </w:p>
    <w:p w14:paraId="44736394">
      <w:pPr>
        <w:adjustRightInd/>
        <w:snapToGrid/>
        <w:ind w:firstLine="664"/>
        <w:contextualSpacing/>
        <w:rPr>
          <w:sz w:val="32"/>
          <w:szCs w:val="32"/>
        </w:rPr>
      </w:pPr>
      <w:r>
        <w:rPr>
          <w:rFonts w:hint="eastAsia"/>
          <w:sz w:val="32"/>
          <w:szCs w:val="32"/>
        </w:rPr>
        <w:t>浮梁县市监局2023年政府预算资金</w:t>
      </w:r>
      <w:r>
        <w:rPr>
          <w:sz w:val="32"/>
          <w:szCs w:val="32"/>
        </w:rPr>
        <w:t>2,</w:t>
      </w:r>
      <w:r>
        <w:rPr>
          <w:rFonts w:hint="eastAsia"/>
          <w:sz w:val="32"/>
          <w:szCs w:val="32"/>
        </w:rPr>
        <w:t>45</w:t>
      </w:r>
      <w:r>
        <w:rPr>
          <w:sz w:val="32"/>
          <w:szCs w:val="32"/>
        </w:rPr>
        <w:t>4.46</w:t>
      </w:r>
      <w:r>
        <w:rPr>
          <w:rFonts w:hint="eastAsia"/>
          <w:sz w:val="32"/>
          <w:szCs w:val="32"/>
        </w:rPr>
        <w:t>万元，截至2023年12月31日，实际使用</w:t>
      </w:r>
      <w:r>
        <w:rPr>
          <w:sz w:val="32"/>
          <w:szCs w:val="32"/>
        </w:rPr>
        <w:t>2,345.25元，</w:t>
      </w:r>
      <w:r>
        <w:rPr>
          <w:rFonts w:hint="eastAsia"/>
          <w:sz w:val="32"/>
          <w:szCs w:val="32"/>
        </w:rPr>
        <w:t>预算执行率为95.55%。因此，依据评分标准，该项指标得1分。</w:t>
      </w:r>
    </w:p>
    <w:p w14:paraId="70E5062B">
      <w:pPr>
        <w:adjustRightInd/>
        <w:snapToGrid/>
        <w:ind w:firstLine="664"/>
        <w:contextualSpacing/>
        <w:rPr>
          <w:bCs/>
          <w:sz w:val="32"/>
          <w:szCs w:val="32"/>
        </w:rPr>
      </w:pPr>
      <w:r>
        <w:rPr>
          <w:rFonts w:hint="eastAsia"/>
          <w:bCs/>
          <w:sz w:val="32"/>
          <w:szCs w:val="32"/>
        </w:rPr>
        <w:t>（2）资金使用合规性</w:t>
      </w:r>
    </w:p>
    <w:p w14:paraId="07E1DBB6">
      <w:pPr>
        <w:adjustRightInd/>
        <w:snapToGrid/>
        <w:ind w:firstLine="664"/>
        <w:contextualSpacing/>
        <w:rPr>
          <w:bCs/>
          <w:sz w:val="32"/>
          <w:szCs w:val="32"/>
        </w:rPr>
      </w:pPr>
      <w:r>
        <w:rPr>
          <w:rFonts w:hint="eastAsia"/>
          <w:bCs/>
          <w:sz w:val="32"/>
          <w:szCs w:val="32"/>
        </w:rPr>
        <w:t>绩效评价工作组通过全查浮梁县市监局2023</w:t>
      </w:r>
      <w:r>
        <w:rPr>
          <w:bCs/>
          <w:sz w:val="32"/>
          <w:szCs w:val="32"/>
        </w:rPr>
        <w:t>年相关明细账及记账凭证后发现，该部门资金使用符合国家财经法规和财务管理制度规定以及有关专项资金管理办法的规定,资金拨付审批程序和报销手续比较完整，资金支出</w:t>
      </w:r>
      <w:r>
        <w:rPr>
          <w:rFonts w:hint="eastAsia"/>
          <w:bCs/>
          <w:sz w:val="32"/>
          <w:szCs w:val="32"/>
        </w:rPr>
        <w:t>实行财务四方会签审批制度，分别为：经办人签名、财务人员审核、分管领导审查、分管财务领导审批四方签制。大额开支严格执行国家规定的财务开支范围和标准以及国库集中支付制度，并经领导班子集体研究决定。但检查过程中，我们发现该单位存在</w:t>
      </w:r>
      <w:r>
        <w:rPr>
          <w:bCs/>
          <w:sz w:val="32"/>
          <w:szCs w:val="32"/>
        </w:rPr>
        <w:t>挪用部分项目经费</w:t>
      </w:r>
      <w:r>
        <w:rPr>
          <w:rFonts w:hint="eastAsia"/>
          <w:bCs/>
          <w:sz w:val="32"/>
          <w:szCs w:val="32"/>
        </w:rPr>
        <w:t>弥补公用</w:t>
      </w:r>
      <w:r>
        <w:rPr>
          <w:bCs/>
          <w:sz w:val="32"/>
          <w:szCs w:val="32"/>
        </w:rPr>
        <w:t>经费的情况。因此，依据评分标准，该项指标得</w:t>
      </w:r>
      <w:r>
        <w:rPr>
          <w:rFonts w:hint="eastAsia"/>
          <w:bCs/>
          <w:sz w:val="32"/>
          <w:szCs w:val="32"/>
        </w:rPr>
        <w:t>0</w:t>
      </w:r>
      <w:r>
        <w:rPr>
          <w:bCs/>
          <w:sz w:val="32"/>
          <w:szCs w:val="32"/>
        </w:rPr>
        <w:t>分。</w:t>
      </w:r>
    </w:p>
    <w:p w14:paraId="1B8F79BA">
      <w:pPr>
        <w:adjustRightInd/>
        <w:snapToGrid/>
        <w:ind w:firstLine="667"/>
        <w:contextualSpacing/>
        <w:rPr>
          <w:b/>
          <w:bCs/>
          <w:sz w:val="32"/>
          <w:szCs w:val="32"/>
        </w:rPr>
      </w:pPr>
      <w:r>
        <w:rPr>
          <w:rFonts w:hint="eastAsia"/>
          <w:b/>
          <w:bCs/>
          <w:sz w:val="32"/>
          <w:szCs w:val="32"/>
        </w:rPr>
        <w:t>2.预算管理情况分析</w:t>
      </w:r>
    </w:p>
    <w:p w14:paraId="0E11D51B">
      <w:pPr>
        <w:adjustRightInd/>
        <w:snapToGrid/>
        <w:ind w:firstLine="664"/>
        <w:contextualSpacing/>
        <w:rPr>
          <w:sz w:val="32"/>
          <w:szCs w:val="32"/>
        </w:rPr>
      </w:pPr>
      <w:r>
        <w:rPr>
          <w:rFonts w:hint="eastAsia"/>
          <w:sz w:val="32"/>
          <w:szCs w:val="32"/>
        </w:rPr>
        <w:t>预算管理情况主要评价“管理制度健全性”和“预决算信息公开性”两方面。该部分满分3分，得3分，得分率为100%，指标的目标值、业绩值及得分见表4-5：</w:t>
      </w:r>
    </w:p>
    <w:p w14:paraId="22C77DC9">
      <w:pPr>
        <w:ind w:firstLine="0" w:firstLineChars="0"/>
        <w:jc w:val="center"/>
        <w:rPr>
          <w:rFonts w:ascii="黑体" w:hAnsi="黑体" w:eastAsia="黑体"/>
          <w:sz w:val="21"/>
          <w:szCs w:val="21"/>
        </w:rPr>
      </w:pPr>
      <w:r>
        <w:rPr>
          <w:rFonts w:hint="eastAsia" w:ascii="黑体" w:hAnsi="黑体" w:eastAsia="黑体"/>
          <w:sz w:val="21"/>
          <w:szCs w:val="21"/>
        </w:rPr>
        <w:t>表4-5  预算管理指标业绩值及分值</w:t>
      </w:r>
    </w:p>
    <w:tbl>
      <w:tblPr>
        <w:tblStyle w:val="1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10"/>
        <w:gridCol w:w="1543"/>
        <w:gridCol w:w="1543"/>
        <w:gridCol w:w="1033"/>
      </w:tblGrid>
      <w:tr w14:paraId="328C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6C309C80">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D795D40">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D5ADCF2">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0AE2535">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580DEF88">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6FC3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A517A63">
            <w:pPr>
              <w:autoSpaceDE w:val="0"/>
              <w:spacing w:line="240" w:lineRule="auto"/>
              <w:ind w:firstLine="0" w:firstLineChars="0"/>
              <w:jc w:val="center"/>
              <w:rPr>
                <w:rFonts w:cs="仿宋"/>
                <w:b/>
                <w:bCs/>
                <w:sz w:val="21"/>
                <w:szCs w:val="21"/>
              </w:rPr>
            </w:pPr>
            <w:r>
              <w:rPr>
                <w:rFonts w:hint="eastAsia" w:cs="仿宋"/>
                <w:b/>
                <w:bCs/>
                <w:sz w:val="21"/>
                <w:szCs w:val="21"/>
              </w:rPr>
              <w:t>合计</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B973920">
            <w:pPr>
              <w:autoSpaceDE w:val="0"/>
              <w:spacing w:line="240" w:lineRule="auto"/>
              <w:ind w:firstLine="0" w:firstLineChars="0"/>
              <w:jc w:val="center"/>
              <w:rPr>
                <w:rFonts w:cs="仿宋"/>
                <w:b/>
                <w:bCs/>
                <w:sz w:val="21"/>
                <w:szCs w:val="21"/>
              </w:rPr>
            </w:pPr>
            <w:r>
              <w:rPr>
                <w:rFonts w:hint="eastAsia" w:cs="仿宋"/>
                <w:b/>
                <w:bCs/>
                <w:sz w:val="21"/>
                <w:szCs w:val="21"/>
              </w:rPr>
              <w:t>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04A6554">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405339E">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0B001E39">
            <w:pPr>
              <w:autoSpaceDE w:val="0"/>
              <w:spacing w:line="240" w:lineRule="auto"/>
              <w:ind w:firstLine="0" w:firstLineChars="0"/>
              <w:jc w:val="center"/>
              <w:rPr>
                <w:rFonts w:cs="仿宋"/>
                <w:b/>
                <w:bCs/>
                <w:sz w:val="21"/>
                <w:szCs w:val="21"/>
              </w:rPr>
            </w:pPr>
            <w:r>
              <w:rPr>
                <w:rFonts w:hint="eastAsia" w:cs="仿宋"/>
                <w:b/>
                <w:bCs/>
                <w:sz w:val="21"/>
                <w:szCs w:val="21"/>
              </w:rPr>
              <w:t>3</w:t>
            </w:r>
          </w:p>
        </w:tc>
      </w:tr>
      <w:tr w14:paraId="7ADD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66E805F9">
            <w:pPr>
              <w:autoSpaceDE w:val="0"/>
              <w:spacing w:line="240" w:lineRule="auto"/>
              <w:ind w:firstLine="0" w:firstLineChars="0"/>
              <w:jc w:val="center"/>
              <w:rPr>
                <w:rFonts w:cs="仿宋"/>
                <w:sz w:val="21"/>
                <w:szCs w:val="21"/>
              </w:rPr>
            </w:pPr>
            <w:r>
              <w:rPr>
                <w:rFonts w:hint="eastAsia" w:cs="仿宋"/>
                <w:sz w:val="21"/>
                <w:szCs w:val="21"/>
              </w:rPr>
              <w:t>管理制度健全性</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CFF2BAE">
            <w:pPr>
              <w:autoSpaceDE w:val="0"/>
              <w:spacing w:line="240" w:lineRule="auto"/>
              <w:ind w:firstLine="0" w:firstLineChars="0"/>
              <w:jc w:val="center"/>
              <w:rPr>
                <w:rFonts w:cs="仿宋"/>
                <w:sz w:val="21"/>
                <w:szCs w:val="21"/>
              </w:rPr>
            </w:pPr>
            <w:r>
              <w:rPr>
                <w:rFonts w:hint="eastAsia" w:cs="仿宋"/>
                <w:sz w:val="21"/>
                <w:szCs w:val="21"/>
              </w:rPr>
              <w:t>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0F582C9">
            <w:pPr>
              <w:autoSpaceDE w:val="0"/>
              <w:spacing w:line="240" w:lineRule="auto"/>
              <w:ind w:firstLine="0" w:firstLineChars="0"/>
              <w:jc w:val="center"/>
              <w:rPr>
                <w:rFonts w:cs="仿宋"/>
                <w:sz w:val="21"/>
                <w:szCs w:val="21"/>
              </w:rPr>
            </w:pPr>
            <w:r>
              <w:rPr>
                <w:rFonts w:hint="eastAsia" w:cs="仿宋"/>
                <w:sz w:val="21"/>
                <w:szCs w:val="21"/>
              </w:rPr>
              <w:t>健全</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E03B95B">
            <w:pPr>
              <w:autoSpaceDE w:val="0"/>
              <w:spacing w:line="240" w:lineRule="auto"/>
              <w:ind w:firstLine="0" w:firstLineChars="0"/>
              <w:jc w:val="center"/>
              <w:rPr>
                <w:rFonts w:cs="仿宋"/>
                <w:sz w:val="21"/>
                <w:szCs w:val="21"/>
              </w:rPr>
            </w:pPr>
            <w:r>
              <w:rPr>
                <w:rFonts w:hint="eastAsia" w:cs="仿宋"/>
                <w:sz w:val="21"/>
                <w:szCs w:val="21"/>
              </w:rPr>
              <w:t>健全</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651CEDFF">
            <w:pPr>
              <w:autoSpaceDE w:val="0"/>
              <w:spacing w:line="240" w:lineRule="auto"/>
              <w:ind w:firstLine="0" w:firstLineChars="0"/>
              <w:jc w:val="center"/>
              <w:rPr>
                <w:rFonts w:cs="仿宋"/>
                <w:sz w:val="21"/>
                <w:szCs w:val="21"/>
              </w:rPr>
            </w:pPr>
            <w:r>
              <w:rPr>
                <w:rFonts w:hint="eastAsia" w:cs="仿宋"/>
                <w:sz w:val="21"/>
                <w:szCs w:val="21"/>
              </w:rPr>
              <w:t>2</w:t>
            </w:r>
          </w:p>
        </w:tc>
      </w:tr>
      <w:tr w14:paraId="513C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37AD762B">
            <w:pPr>
              <w:autoSpaceDE w:val="0"/>
              <w:spacing w:line="240" w:lineRule="auto"/>
              <w:ind w:firstLine="0" w:firstLineChars="0"/>
              <w:jc w:val="center"/>
              <w:rPr>
                <w:rFonts w:cs="仿宋"/>
                <w:sz w:val="21"/>
                <w:szCs w:val="21"/>
              </w:rPr>
            </w:pPr>
            <w:r>
              <w:rPr>
                <w:rFonts w:hint="eastAsia" w:cs="仿宋"/>
                <w:sz w:val="21"/>
                <w:szCs w:val="21"/>
              </w:rPr>
              <w:t>预决算信息公开性</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8219EA7">
            <w:pPr>
              <w:autoSpaceDE w:val="0"/>
              <w:spacing w:line="240" w:lineRule="auto"/>
              <w:ind w:firstLine="0" w:firstLineChars="0"/>
              <w:jc w:val="center"/>
              <w:rPr>
                <w:rFonts w:cs="仿宋"/>
                <w:sz w:val="21"/>
                <w:szCs w:val="21"/>
              </w:rPr>
            </w:pPr>
            <w:r>
              <w:rPr>
                <w:rFonts w:hint="eastAsia" w:cs="仿宋"/>
                <w:sz w:val="21"/>
                <w:szCs w:val="21"/>
              </w:rPr>
              <w:t>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F107480">
            <w:pPr>
              <w:autoSpaceDE w:val="0"/>
              <w:spacing w:line="240" w:lineRule="auto"/>
              <w:ind w:firstLine="0" w:firstLineChars="0"/>
              <w:jc w:val="center"/>
              <w:rPr>
                <w:rFonts w:cs="仿宋"/>
                <w:sz w:val="21"/>
                <w:szCs w:val="21"/>
              </w:rPr>
            </w:pPr>
            <w:r>
              <w:rPr>
                <w:rFonts w:hint="eastAsia" w:cs="仿宋"/>
                <w:sz w:val="21"/>
                <w:szCs w:val="21"/>
              </w:rPr>
              <w:t>公开</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3EE74A5">
            <w:pPr>
              <w:autoSpaceDE w:val="0"/>
              <w:spacing w:line="240" w:lineRule="auto"/>
              <w:ind w:firstLine="0" w:firstLineChars="0"/>
              <w:jc w:val="center"/>
              <w:rPr>
                <w:rFonts w:cs="仿宋"/>
                <w:sz w:val="21"/>
                <w:szCs w:val="21"/>
              </w:rPr>
            </w:pPr>
            <w:r>
              <w:rPr>
                <w:rFonts w:hint="eastAsia" w:cs="仿宋"/>
                <w:sz w:val="21"/>
                <w:szCs w:val="21"/>
              </w:rPr>
              <w:t>公开</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CCD78A3">
            <w:pPr>
              <w:autoSpaceDE w:val="0"/>
              <w:spacing w:line="240" w:lineRule="auto"/>
              <w:ind w:firstLine="0" w:firstLineChars="0"/>
              <w:jc w:val="center"/>
              <w:rPr>
                <w:rFonts w:cs="仿宋"/>
                <w:sz w:val="21"/>
                <w:szCs w:val="21"/>
              </w:rPr>
            </w:pPr>
            <w:r>
              <w:rPr>
                <w:rFonts w:hint="eastAsia" w:cs="仿宋"/>
                <w:sz w:val="21"/>
                <w:szCs w:val="21"/>
              </w:rPr>
              <w:t>1</w:t>
            </w:r>
          </w:p>
        </w:tc>
      </w:tr>
    </w:tbl>
    <w:p w14:paraId="4C048DEF">
      <w:pPr>
        <w:adjustRightInd/>
        <w:snapToGrid/>
        <w:ind w:firstLine="664"/>
        <w:contextualSpacing/>
        <w:rPr>
          <w:bCs/>
          <w:sz w:val="32"/>
          <w:szCs w:val="32"/>
        </w:rPr>
      </w:pPr>
      <w:r>
        <w:rPr>
          <w:rFonts w:hint="eastAsia"/>
          <w:bCs/>
          <w:sz w:val="32"/>
          <w:szCs w:val="32"/>
        </w:rPr>
        <w:t>（1）管理制度健全性</w:t>
      </w:r>
    </w:p>
    <w:p w14:paraId="4E36E885">
      <w:pPr>
        <w:adjustRightInd/>
        <w:snapToGrid/>
        <w:ind w:firstLine="664"/>
        <w:contextualSpacing/>
        <w:rPr>
          <w:bCs/>
          <w:sz w:val="32"/>
          <w:szCs w:val="32"/>
        </w:rPr>
      </w:pPr>
      <w:r>
        <w:rPr>
          <w:rFonts w:hint="eastAsia"/>
          <w:bCs/>
          <w:sz w:val="32"/>
          <w:szCs w:val="32"/>
        </w:rPr>
        <w:t>为规范机关各项工作，浮梁县市监局制定了一系列管理制度，如《浮梁县市场监督管理局财务管理办法》《浮梁县市场监督管理局资产业务内部控制制度（试行）》《浮梁县市场监督管理局预算管理内部控制制度（试行）》《浮梁县市场监督管理局车辆管理规定（试行）》《浮梁县市场监督管理局公务、商务接待用餐管理规定（试行）》等，此外，为进一步加强单位预算绩效管理工作，于2023年1月印发了《浮梁县市场监督管理局预算绩效管理制度》，管理制度健全</w:t>
      </w:r>
      <w:r>
        <w:rPr>
          <w:bCs/>
          <w:sz w:val="32"/>
          <w:szCs w:val="32"/>
        </w:rPr>
        <w:t>。因此，依据评分标准，该项指标得</w:t>
      </w:r>
      <w:r>
        <w:rPr>
          <w:rFonts w:hint="eastAsia"/>
          <w:bCs/>
          <w:sz w:val="32"/>
          <w:szCs w:val="32"/>
        </w:rPr>
        <w:t>2</w:t>
      </w:r>
      <w:r>
        <w:rPr>
          <w:bCs/>
          <w:sz w:val="32"/>
          <w:szCs w:val="32"/>
        </w:rPr>
        <w:t>分。</w:t>
      </w:r>
    </w:p>
    <w:p w14:paraId="761B918D">
      <w:pPr>
        <w:adjustRightInd/>
        <w:snapToGrid/>
        <w:ind w:firstLine="664"/>
        <w:contextualSpacing/>
        <w:rPr>
          <w:bCs/>
          <w:sz w:val="32"/>
          <w:szCs w:val="32"/>
        </w:rPr>
      </w:pPr>
      <w:r>
        <w:rPr>
          <w:rFonts w:hint="eastAsia"/>
          <w:bCs/>
          <w:sz w:val="32"/>
          <w:szCs w:val="32"/>
        </w:rPr>
        <w:t>（2）预决算信息公开性</w:t>
      </w:r>
    </w:p>
    <w:p w14:paraId="6DE86750">
      <w:pPr>
        <w:adjustRightInd/>
        <w:snapToGrid/>
        <w:ind w:firstLine="664"/>
        <w:contextualSpacing/>
        <w:rPr>
          <w:bCs/>
          <w:sz w:val="32"/>
          <w:szCs w:val="32"/>
        </w:rPr>
      </w:pPr>
      <w:r>
        <w:rPr>
          <w:bCs/>
          <w:sz w:val="32"/>
          <w:szCs w:val="32"/>
        </w:rPr>
        <w:t>202</w:t>
      </w:r>
      <w:r>
        <w:rPr>
          <w:rFonts w:hint="eastAsia"/>
          <w:bCs/>
          <w:sz w:val="32"/>
          <w:szCs w:val="32"/>
        </w:rPr>
        <w:t>3</w:t>
      </w:r>
      <w:r>
        <w:rPr>
          <w:bCs/>
          <w:sz w:val="32"/>
          <w:szCs w:val="32"/>
        </w:rPr>
        <w:t>年，</w:t>
      </w:r>
      <w:r>
        <w:rPr>
          <w:rFonts w:hint="eastAsia"/>
          <w:bCs/>
          <w:sz w:val="32"/>
          <w:szCs w:val="32"/>
        </w:rPr>
        <w:t>浮梁县市监局</w:t>
      </w:r>
      <w:r>
        <w:rPr>
          <w:bCs/>
          <w:sz w:val="32"/>
          <w:szCs w:val="32"/>
        </w:rPr>
        <w:t>按照《中共中央办公厅 国务院关于进一步推进预算公开的意见》（中办发（2016）13号）、《地方预决算公开操作规程》（财预〔2016〕143号）等相关要求，于当年</w:t>
      </w:r>
      <w:r>
        <w:rPr>
          <w:rFonts w:hint="eastAsia"/>
          <w:bCs/>
          <w:sz w:val="32"/>
          <w:szCs w:val="32"/>
        </w:rPr>
        <w:t>3</w:t>
      </w:r>
      <w:r>
        <w:rPr>
          <w:bCs/>
          <w:sz w:val="32"/>
          <w:szCs w:val="32"/>
        </w:rPr>
        <w:t>月</w:t>
      </w:r>
      <w:r>
        <w:rPr>
          <w:rFonts w:hint="eastAsia"/>
          <w:bCs/>
          <w:sz w:val="32"/>
          <w:szCs w:val="32"/>
        </w:rPr>
        <w:t>31</w:t>
      </w:r>
      <w:r>
        <w:rPr>
          <w:bCs/>
          <w:sz w:val="32"/>
          <w:szCs w:val="32"/>
        </w:rPr>
        <w:t>日在官方网站公开了202</w:t>
      </w:r>
      <w:r>
        <w:rPr>
          <w:rFonts w:hint="eastAsia"/>
          <w:bCs/>
          <w:sz w:val="32"/>
          <w:szCs w:val="32"/>
        </w:rPr>
        <w:t>3</w:t>
      </w:r>
      <w:r>
        <w:rPr>
          <w:bCs/>
          <w:sz w:val="32"/>
          <w:szCs w:val="32"/>
        </w:rPr>
        <w:t>年预算信息。由于202</w:t>
      </w:r>
      <w:r>
        <w:rPr>
          <w:rFonts w:hint="eastAsia"/>
          <w:bCs/>
          <w:sz w:val="32"/>
          <w:szCs w:val="32"/>
        </w:rPr>
        <w:t>3</w:t>
      </w:r>
      <w:r>
        <w:rPr>
          <w:bCs/>
          <w:sz w:val="32"/>
          <w:szCs w:val="32"/>
        </w:rPr>
        <w:t>年浮梁县市监局决算尚未批复，部门决算信息未公开。因此，依据评分标准，该项指标得</w:t>
      </w:r>
      <w:r>
        <w:rPr>
          <w:rFonts w:hint="eastAsia"/>
          <w:bCs/>
          <w:sz w:val="32"/>
          <w:szCs w:val="32"/>
        </w:rPr>
        <w:t>1</w:t>
      </w:r>
      <w:r>
        <w:rPr>
          <w:bCs/>
          <w:sz w:val="32"/>
          <w:szCs w:val="32"/>
        </w:rPr>
        <w:t>分。</w:t>
      </w:r>
    </w:p>
    <w:p w14:paraId="584A8898">
      <w:pPr>
        <w:adjustRightInd/>
        <w:snapToGrid/>
        <w:ind w:firstLine="667"/>
        <w:contextualSpacing/>
        <w:rPr>
          <w:b/>
          <w:bCs/>
          <w:sz w:val="32"/>
          <w:szCs w:val="32"/>
        </w:rPr>
      </w:pPr>
      <w:r>
        <w:rPr>
          <w:rFonts w:hint="eastAsia"/>
          <w:b/>
          <w:bCs/>
          <w:sz w:val="32"/>
          <w:szCs w:val="32"/>
        </w:rPr>
        <w:t>3.政府采购管理情况分析</w:t>
      </w:r>
    </w:p>
    <w:p w14:paraId="3D82AFD4">
      <w:pPr>
        <w:adjustRightInd/>
        <w:snapToGrid/>
        <w:ind w:firstLine="664"/>
        <w:contextualSpacing/>
        <w:rPr>
          <w:sz w:val="32"/>
          <w:szCs w:val="32"/>
        </w:rPr>
      </w:pPr>
      <w:r>
        <w:rPr>
          <w:rFonts w:hint="eastAsia"/>
          <w:sz w:val="32"/>
          <w:szCs w:val="32"/>
        </w:rPr>
        <w:t>政府采购管理情况主要评价政府采购节支率。该部分满分2分，得0分，得分率为0%，指标的目标值、业绩值及得分见表4-6：</w:t>
      </w:r>
    </w:p>
    <w:p w14:paraId="158ED3D0">
      <w:pPr>
        <w:ind w:firstLine="0" w:firstLineChars="0"/>
        <w:jc w:val="center"/>
        <w:rPr>
          <w:rFonts w:ascii="黑体" w:hAnsi="黑体" w:eastAsia="黑体"/>
          <w:sz w:val="21"/>
          <w:szCs w:val="21"/>
        </w:rPr>
      </w:pPr>
      <w:r>
        <w:rPr>
          <w:rFonts w:hint="eastAsia" w:ascii="黑体" w:hAnsi="黑体" w:eastAsia="黑体"/>
          <w:sz w:val="21"/>
          <w:szCs w:val="21"/>
        </w:rPr>
        <w:t>表4-6  政府采购管理指标业绩值及分值</w:t>
      </w:r>
    </w:p>
    <w:tbl>
      <w:tblPr>
        <w:tblStyle w:val="1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10"/>
        <w:gridCol w:w="1543"/>
        <w:gridCol w:w="1543"/>
        <w:gridCol w:w="1033"/>
      </w:tblGrid>
      <w:tr w14:paraId="2B4A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F5034DC">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0AE4912">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509F369">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68C6254">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7623A815">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4F8E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23535429">
            <w:pPr>
              <w:autoSpaceDE w:val="0"/>
              <w:spacing w:line="240" w:lineRule="auto"/>
              <w:ind w:firstLine="0" w:firstLineChars="0"/>
              <w:jc w:val="center"/>
              <w:rPr>
                <w:rFonts w:cs="仿宋"/>
                <w:b/>
                <w:bCs/>
                <w:sz w:val="21"/>
                <w:szCs w:val="21"/>
              </w:rPr>
            </w:pPr>
            <w:r>
              <w:rPr>
                <w:rFonts w:hint="eastAsia" w:cs="仿宋"/>
                <w:b/>
                <w:bCs/>
                <w:sz w:val="21"/>
                <w:szCs w:val="21"/>
              </w:rPr>
              <w:t>合计</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FF6E679">
            <w:pPr>
              <w:autoSpaceDE w:val="0"/>
              <w:spacing w:line="240" w:lineRule="auto"/>
              <w:ind w:firstLine="0" w:firstLineChars="0"/>
              <w:jc w:val="center"/>
              <w:rPr>
                <w:rFonts w:cs="仿宋"/>
                <w:b/>
                <w:bCs/>
                <w:sz w:val="21"/>
                <w:szCs w:val="21"/>
              </w:rPr>
            </w:pPr>
            <w:r>
              <w:rPr>
                <w:rFonts w:hint="eastAsia" w:cs="仿宋"/>
                <w:b/>
                <w:bCs/>
                <w:sz w:val="21"/>
                <w:szCs w:val="21"/>
              </w:rPr>
              <w:t>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12F60AC">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28A4589">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2B5B7E1">
            <w:pPr>
              <w:autoSpaceDE w:val="0"/>
              <w:spacing w:line="240" w:lineRule="auto"/>
              <w:ind w:firstLine="0" w:firstLineChars="0"/>
              <w:jc w:val="center"/>
              <w:rPr>
                <w:rFonts w:cs="仿宋"/>
                <w:b/>
                <w:bCs/>
                <w:sz w:val="21"/>
                <w:szCs w:val="21"/>
              </w:rPr>
            </w:pPr>
            <w:r>
              <w:rPr>
                <w:rFonts w:hint="eastAsia" w:cs="仿宋"/>
                <w:b/>
                <w:bCs/>
                <w:sz w:val="21"/>
                <w:szCs w:val="21"/>
              </w:rPr>
              <w:t>0</w:t>
            </w:r>
          </w:p>
        </w:tc>
      </w:tr>
      <w:tr w14:paraId="6DF1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8674CA6">
            <w:pPr>
              <w:autoSpaceDE w:val="0"/>
              <w:spacing w:line="240" w:lineRule="auto"/>
              <w:ind w:firstLine="0" w:firstLineChars="0"/>
              <w:jc w:val="center"/>
              <w:rPr>
                <w:rFonts w:cs="仿宋"/>
                <w:sz w:val="21"/>
                <w:szCs w:val="21"/>
              </w:rPr>
            </w:pPr>
            <w:r>
              <w:rPr>
                <w:rFonts w:hint="eastAsia" w:cs="仿宋"/>
                <w:sz w:val="21"/>
                <w:szCs w:val="21"/>
              </w:rPr>
              <w:t>政府采购节支率</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8719194">
            <w:pPr>
              <w:autoSpaceDE w:val="0"/>
              <w:spacing w:line="240" w:lineRule="auto"/>
              <w:ind w:firstLine="0" w:firstLineChars="0"/>
              <w:jc w:val="center"/>
              <w:rPr>
                <w:rFonts w:cs="仿宋"/>
                <w:sz w:val="21"/>
                <w:szCs w:val="21"/>
              </w:rPr>
            </w:pPr>
            <w:r>
              <w:rPr>
                <w:rFonts w:hint="eastAsia" w:cs="仿宋"/>
                <w:sz w:val="21"/>
                <w:szCs w:val="21"/>
              </w:rPr>
              <w:t>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D631F55">
            <w:pPr>
              <w:autoSpaceDE w:val="0"/>
              <w:spacing w:line="240" w:lineRule="auto"/>
              <w:ind w:firstLine="0" w:firstLineChars="0"/>
              <w:jc w:val="center"/>
              <w:rPr>
                <w:rFonts w:cs="仿宋"/>
                <w:sz w:val="21"/>
                <w:szCs w:val="21"/>
              </w:rPr>
            </w:pPr>
            <w:r>
              <w:rPr>
                <w:rFonts w:cs="仿宋"/>
                <w:sz w:val="21"/>
                <w:szCs w:val="21"/>
              </w:rPr>
              <w:t>[</w:t>
            </w:r>
            <w:r>
              <w:rPr>
                <w:rFonts w:hint="eastAsia" w:cs="仿宋"/>
                <w:sz w:val="21"/>
                <w:szCs w:val="21"/>
              </w:rPr>
              <w:t>5%</w:t>
            </w:r>
            <w:r>
              <w:rPr>
                <w:rFonts w:cs="仿宋"/>
                <w:sz w:val="21"/>
                <w:szCs w:val="21"/>
              </w:rPr>
              <w:t>,</w:t>
            </w:r>
            <w:r>
              <w:rPr>
                <w:rFonts w:hint="eastAsia" w:cs="仿宋"/>
                <w:sz w:val="21"/>
                <w:szCs w:val="21"/>
              </w:rPr>
              <w:t>20%）</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B25E39E">
            <w:pPr>
              <w:autoSpaceDE w:val="0"/>
              <w:spacing w:line="240" w:lineRule="auto"/>
              <w:ind w:firstLine="0" w:firstLineChars="0"/>
              <w:jc w:val="center"/>
              <w:rPr>
                <w:rFonts w:cs="仿宋"/>
                <w:sz w:val="21"/>
                <w:szCs w:val="21"/>
              </w:rPr>
            </w:pPr>
            <w:r>
              <w:rPr>
                <w:rFonts w:hint="eastAsia" w:cs="仿宋"/>
                <w:sz w:val="21"/>
                <w:szCs w:val="21"/>
              </w:rPr>
              <w:t>19.32%</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7A7A9D34">
            <w:pPr>
              <w:autoSpaceDE w:val="0"/>
              <w:spacing w:line="240" w:lineRule="auto"/>
              <w:ind w:firstLine="0" w:firstLineChars="0"/>
              <w:jc w:val="center"/>
              <w:rPr>
                <w:rFonts w:cs="仿宋"/>
                <w:sz w:val="21"/>
                <w:szCs w:val="21"/>
              </w:rPr>
            </w:pPr>
            <w:r>
              <w:rPr>
                <w:rFonts w:hint="eastAsia" w:cs="仿宋"/>
                <w:sz w:val="21"/>
                <w:szCs w:val="21"/>
              </w:rPr>
              <w:t>0</w:t>
            </w:r>
          </w:p>
        </w:tc>
      </w:tr>
    </w:tbl>
    <w:p w14:paraId="473ED719">
      <w:pPr>
        <w:adjustRightInd/>
        <w:snapToGrid/>
        <w:ind w:firstLine="664"/>
        <w:contextualSpacing/>
        <w:rPr>
          <w:bCs/>
          <w:sz w:val="32"/>
          <w:szCs w:val="32"/>
        </w:rPr>
      </w:pPr>
      <w:r>
        <w:rPr>
          <w:rFonts w:hint="eastAsia"/>
          <w:bCs/>
          <w:sz w:val="32"/>
          <w:szCs w:val="32"/>
        </w:rPr>
        <w:t>浮梁县市监局</w:t>
      </w:r>
      <w:r>
        <w:rPr>
          <w:bCs/>
          <w:sz w:val="32"/>
          <w:szCs w:val="32"/>
        </w:rPr>
        <w:t>202</w:t>
      </w:r>
      <w:r>
        <w:rPr>
          <w:rFonts w:hint="eastAsia"/>
          <w:bCs/>
          <w:sz w:val="32"/>
          <w:szCs w:val="32"/>
        </w:rPr>
        <w:t>3</w:t>
      </w:r>
      <w:r>
        <w:rPr>
          <w:bCs/>
          <w:sz w:val="32"/>
          <w:szCs w:val="32"/>
        </w:rPr>
        <w:t>年政府采购实际</w:t>
      </w:r>
      <w:r>
        <w:rPr>
          <w:rFonts w:hint="eastAsia"/>
          <w:bCs/>
          <w:sz w:val="32"/>
          <w:szCs w:val="32"/>
        </w:rPr>
        <w:t>采购</w:t>
      </w:r>
      <w:r>
        <w:rPr>
          <w:bCs/>
          <w:sz w:val="32"/>
          <w:szCs w:val="32"/>
        </w:rPr>
        <w:t>总额826,856.00</w:t>
      </w:r>
      <w:r>
        <w:rPr>
          <w:rFonts w:hint="eastAsia"/>
          <w:bCs/>
          <w:sz w:val="32"/>
          <w:szCs w:val="32"/>
        </w:rPr>
        <w:t>元</w:t>
      </w:r>
      <w:r>
        <w:rPr>
          <w:bCs/>
          <w:sz w:val="32"/>
          <w:szCs w:val="32"/>
        </w:rPr>
        <w:t>，政府采购节支率</w:t>
      </w:r>
      <w:r>
        <w:rPr>
          <w:rFonts w:hint="eastAsia"/>
          <w:bCs/>
          <w:sz w:val="32"/>
          <w:szCs w:val="32"/>
        </w:rPr>
        <w:t>0%</w:t>
      </w:r>
      <w:r>
        <w:rPr>
          <w:bCs/>
          <w:sz w:val="32"/>
          <w:szCs w:val="32"/>
        </w:rPr>
        <w:t>。因此，依据评分标准，该项指标得</w:t>
      </w:r>
      <w:r>
        <w:rPr>
          <w:rFonts w:hint="eastAsia"/>
          <w:bCs/>
          <w:sz w:val="32"/>
          <w:szCs w:val="32"/>
        </w:rPr>
        <w:t>0</w:t>
      </w:r>
      <w:r>
        <w:rPr>
          <w:bCs/>
          <w:sz w:val="32"/>
          <w:szCs w:val="32"/>
        </w:rPr>
        <w:t>分。</w:t>
      </w:r>
    </w:p>
    <w:p w14:paraId="6A0324CE">
      <w:pPr>
        <w:adjustRightInd/>
        <w:snapToGrid/>
        <w:ind w:firstLine="667"/>
        <w:contextualSpacing/>
        <w:rPr>
          <w:b/>
          <w:bCs/>
          <w:sz w:val="32"/>
          <w:szCs w:val="32"/>
        </w:rPr>
      </w:pPr>
      <w:r>
        <w:rPr>
          <w:rFonts w:hint="eastAsia"/>
          <w:b/>
          <w:bCs/>
          <w:sz w:val="32"/>
          <w:szCs w:val="32"/>
        </w:rPr>
        <w:t>4.资产管理情况分析</w:t>
      </w:r>
    </w:p>
    <w:p w14:paraId="6BA7BDB0">
      <w:pPr>
        <w:adjustRightInd/>
        <w:snapToGrid/>
        <w:ind w:firstLine="664"/>
        <w:contextualSpacing/>
        <w:rPr>
          <w:sz w:val="32"/>
          <w:szCs w:val="32"/>
        </w:rPr>
      </w:pPr>
      <w:r>
        <w:rPr>
          <w:rFonts w:hint="eastAsia"/>
          <w:sz w:val="32"/>
          <w:szCs w:val="32"/>
        </w:rPr>
        <w:t>资产管理情况主要评价“资产管理规范性”和“固定资产利用率”两方面。该部分满分3分，得2.80分，得分率为93.33%，指标的目标值、业绩值及得分见表4-7：</w:t>
      </w:r>
    </w:p>
    <w:p w14:paraId="575566E4">
      <w:pPr>
        <w:ind w:firstLine="0" w:firstLineChars="0"/>
        <w:jc w:val="center"/>
        <w:rPr>
          <w:rFonts w:ascii="黑体" w:hAnsi="黑体" w:eastAsia="黑体"/>
          <w:sz w:val="21"/>
          <w:szCs w:val="21"/>
        </w:rPr>
      </w:pPr>
      <w:r>
        <w:rPr>
          <w:rFonts w:hint="eastAsia" w:ascii="黑体" w:hAnsi="黑体" w:eastAsia="黑体"/>
          <w:sz w:val="21"/>
          <w:szCs w:val="21"/>
        </w:rPr>
        <w:t>表4-7  资产管理指标业绩值及分值</w:t>
      </w:r>
    </w:p>
    <w:tbl>
      <w:tblPr>
        <w:tblStyle w:val="1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10"/>
        <w:gridCol w:w="1543"/>
        <w:gridCol w:w="1543"/>
        <w:gridCol w:w="1033"/>
      </w:tblGrid>
      <w:tr w14:paraId="372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1BCE8CCE">
            <w:pPr>
              <w:autoSpaceDE w:val="0"/>
              <w:spacing w:line="240" w:lineRule="auto"/>
              <w:ind w:firstLine="0" w:firstLineChars="0"/>
              <w:jc w:val="center"/>
              <w:rPr>
                <w:rFonts w:cs="仿宋"/>
                <w:b/>
                <w:bCs/>
                <w:sz w:val="21"/>
                <w:szCs w:val="21"/>
              </w:rPr>
            </w:pPr>
            <w:r>
              <w:rPr>
                <w:rFonts w:hint="eastAsia" w:cs="仿宋"/>
                <w:b/>
                <w:bCs/>
                <w:sz w:val="21"/>
                <w:szCs w:val="21"/>
              </w:rPr>
              <w:t>指标</w:t>
            </w:r>
            <w:r>
              <w:rPr>
                <w:rFonts w:hint="eastAsia" w:cs="仿宋"/>
                <w:b/>
                <w:bCs/>
                <w:spacing w:val="0"/>
                <w:sz w:val="21"/>
                <w:szCs w:val="21"/>
              </w:rPr>
              <w:t>名称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108A96F">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48E1387">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59C33F66">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6597A138">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63D6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36D300A0">
            <w:pPr>
              <w:autoSpaceDE w:val="0"/>
              <w:spacing w:line="240" w:lineRule="auto"/>
              <w:ind w:firstLine="0" w:firstLineChars="0"/>
              <w:jc w:val="center"/>
              <w:rPr>
                <w:rFonts w:cs="仿宋"/>
                <w:b/>
                <w:bCs/>
                <w:sz w:val="21"/>
                <w:szCs w:val="21"/>
              </w:rPr>
            </w:pPr>
            <w:r>
              <w:rPr>
                <w:rFonts w:hint="eastAsia" w:cs="仿宋"/>
                <w:b/>
                <w:bCs/>
                <w:sz w:val="21"/>
                <w:szCs w:val="21"/>
              </w:rPr>
              <w:t>合计</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1745D60">
            <w:pPr>
              <w:autoSpaceDE w:val="0"/>
              <w:spacing w:line="240" w:lineRule="auto"/>
              <w:ind w:firstLine="0" w:firstLineChars="0"/>
              <w:jc w:val="center"/>
              <w:rPr>
                <w:rFonts w:cs="仿宋"/>
                <w:b/>
                <w:bCs/>
                <w:sz w:val="21"/>
                <w:szCs w:val="21"/>
              </w:rPr>
            </w:pPr>
            <w:r>
              <w:rPr>
                <w:rFonts w:hint="eastAsia" w:cs="仿宋"/>
                <w:b/>
                <w:bCs/>
                <w:sz w:val="21"/>
                <w:szCs w:val="21"/>
              </w:rPr>
              <w:t>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63DBE84">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EDDA36F">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1227E355">
            <w:pPr>
              <w:autoSpaceDE w:val="0"/>
              <w:spacing w:line="240" w:lineRule="auto"/>
              <w:ind w:firstLine="0" w:firstLineChars="0"/>
              <w:jc w:val="center"/>
              <w:rPr>
                <w:rFonts w:cs="仿宋"/>
                <w:b/>
                <w:bCs/>
                <w:sz w:val="21"/>
                <w:szCs w:val="21"/>
              </w:rPr>
            </w:pPr>
            <w:r>
              <w:rPr>
                <w:rFonts w:hint="eastAsia" w:cs="仿宋"/>
                <w:b/>
                <w:bCs/>
                <w:sz w:val="21"/>
                <w:szCs w:val="21"/>
              </w:rPr>
              <w:t>2.80</w:t>
            </w:r>
          </w:p>
        </w:tc>
      </w:tr>
      <w:tr w14:paraId="246F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4092B4B">
            <w:pPr>
              <w:autoSpaceDE w:val="0"/>
              <w:spacing w:line="240" w:lineRule="auto"/>
              <w:ind w:firstLine="0" w:firstLineChars="0"/>
              <w:jc w:val="center"/>
              <w:rPr>
                <w:rFonts w:cs="仿宋"/>
                <w:sz w:val="21"/>
                <w:szCs w:val="21"/>
              </w:rPr>
            </w:pPr>
            <w:r>
              <w:rPr>
                <w:rFonts w:hint="eastAsia" w:cs="仿宋"/>
                <w:sz w:val="21"/>
                <w:szCs w:val="21"/>
              </w:rPr>
              <w:t>资产管理规范性</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0612962">
            <w:pPr>
              <w:autoSpaceDE w:val="0"/>
              <w:spacing w:line="240" w:lineRule="auto"/>
              <w:ind w:firstLine="0" w:firstLineChars="0"/>
              <w:jc w:val="center"/>
              <w:rPr>
                <w:rFonts w:cs="仿宋"/>
                <w:sz w:val="21"/>
                <w:szCs w:val="21"/>
              </w:rPr>
            </w:pPr>
            <w:r>
              <w:rPr>
                <w:rFonts w:hint="eastAsia" w:cs="仿宋"/>
                <w:sz w:val="21"/>
                <w:szCs w:val="21"/>
              </w:rPr>
              <w:t>2</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322615B5">
            <w:pPr>
              <w:autoSpaceDE w:val="0"/>
              <w:spacing w:line="240" w:lineRule="auto"/>
              <w:ind w:firstLine="0" w:firstLineChars="0"/>
              <w:jc w:val="center"/>
              <w:rPr>
                <w:rFonts w:cs="仿宋"/>
                <w:sz w:val="21"/>
                <w:szCs w:val="21"/>
              </w:rPr>
            </w:pPr>
            <w:r>
              <w:rPr>
                <w:rFonts w:hint="eastAsia" w:cs="仿宋"/>
                <w:sz w:val="21"/>
                <w:szCs w:val="21"/>
              </w:rPr>
              <w:t>规范</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40F1E648">
            <w:pPr>
              <w:autoSpaceDE w:val="0"/>
              <w:spacing w:line="240" w:lineRule="auto"/>
              <w:ind w:firstLine="0" w:firstLineChars="0"/>
              <w:jc w:val="center"/>
              <w:rPr>
                <w:rFonts w:cs="仿宋"/>
                <w:sz w:val="21"/>
                <w:szCs w:val="21"/>
              </w:rPr>
            </w:pPr>
            <w:r>
              <w:rPr>
                <w:rFonts w:hint="eastAsia" w:cs="仿宋"/>
                <w:sz w:val="21"/>
                <w:szCs w:val="21"/>
              </w:rPr>
              <w:t>较规范</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058CE57D">
            <w:pPr>
              <w:autoSpaceDE w:val="0"/>
              <w:spacing w:line="240" w:lineRule="auto"/>
              <w:ind w:firstLine="0" w:firstLineChars="0"/>
              <w:jc w:val="center"/>
              <w:rPr>
                <w:rFonts w:cs="仿宋"/>
                <w:sz w:val="21"/>
                <w:szCs w:val="21"/>
              </w:rPr>
            </w:pPr>
            <w:r>
              <w:rPr>
                <w:rFonts w:hint="eastAsia" w:cs="仿宋"/>
                <w:sz w:val="21"/>
                <w:szCs w:val="21"/>
              </w:rPr>
              <w:t>1.80</w:t>
            </w:r>
          </w:p>
        </w:tc>
      </w:tr>
      <w:tr w14:paraId="7E8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45BF3425">
            <w:pPr>
              <w:autoSpaceDE w:val="0"/>
              <w:spacing w:line="240" w:lineRule="auto"/>
              <w:ind w:firstLine="0" w:firstLineChars="0"/>
              <w:jc w:val="center"/>
              <w:rPr>
                <w:rFonts w:cs="仿宋"/>
                <w:sz w:val="21"/>
                <w:szCs w:val="21"/>
              </w:rPr>
            </w:pPr>
            <w:r>
              <w:rPr>
                <w:rFonts w:hint="eastAsia" w:cs="仿宋"/>
                <w:sz w:val="21"/>
                <w:szCs w:val="21"/>
              </w:rPr>
              <w:t>固定资产利用率</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37A5E06">
            <w:pPr>
              <w:autoSpaceDE w:val="0"/>
              <w:spacing w:line="240" w:lineRule="auto"/>
              <w:ind w:firstLine="0" w:firstLineChars="0"/>
              <w:jc w:val="center"/>
              <w:rPr>
                <w:rFonts w:cs="仿宋"/>
                <w:sz w:val="21"/>
                <w:szCs w:val="21"/>
              </w:rPr>
            </w:pPr>
            <w:r>
              <w:rPr>
                <w:rFonts w:hint="eastAsia" w:cs="仿宋"/>
                <w:sz w:val="21"/>
                <w:szCs w:val="21"/>
              </w:rPr>
              <w:t>1</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1F93DB7">
            <w:pPr>
              <w:autoSpaceDE w:val="0"/>
              <w:spacing w:line="240" w:lineRule="auto"/>
              <w:ind w:firstLine="0" w:firstLineChars="0"/>
              <w:jc w:val="center"/>
              <w:rPr>
                <w:rFonts w:cs="仿宋"/>
                <w:sz w:val="21"/>
                <w:szCs w:val="21"/>
              </w:rPr>
            </w:pPr>
            <w:r>
              <w:rPr>
                <w:rFonts w:hint="eastAsia" w:cs="仿宋"/>
                <w:sz w:val="21"/>
                <w:szCs w:val="21"/>
              </w:rPr>
              <w:t>100%</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65C435F6">
            <w:pPr>
              <w:autoSpaceDE w:val="0"/>
              <w:spacing w:line="240" w:lineRule="auto"/>
              <w:ind w:firstLine="0" w:firstLineChars="0"/>
              <w:jc w:val="center"/>
              <w:rPr>
                <w:rFonts w:cs="仿宋"/>
                <w:sz w:val="21"/>
                <w:szCs w:val="21"/>
              </w:rPr>
            </w:pPr>
            <w:r>
              <w:rPr>
                <w:rFonts w:hint="eastAsia" w:cs="仿宋"/>
                <w:sz w:val="21"/>
                <w:szCs w:val="21"/>
              </w:rPr>
              <w:t>100%</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64E5CC93">
            <w:pPr>
              <w:autoSpaceDE w:val="0"/>
              <w:spacing w:line="240" w:lineRule="auto"/>
              <w:ind w:firstLine="0" w:firstLineChars="0"/>
              <w:jc w:val="center"/>
              <w:rPr>
                <w:rFonts w:cs="仿宋"/>
                <w:sz w:val="21"/>
                <w:szCs w:val="21"/>
              </w:rPr>
            </w:pPr>
            <w:r>
              <w:rPr>
                <w:rFonts w:hint="eastAsia" w:cs="仿宋"/>
                <w:sz w:val="21"/>
                <w:szCs w:val="21"/>
              </w:rPr>
              <w:t>1</w:t>
            </w:r>
          </w:p>
        </w:tc>
      </w:tr>
    </w:tbl>
    <w:p w14:paraId="49650EEA">
      <w:pPr>
        <w:adjustRightInd/>
        <w:snapToGrid/>
        <w:ind w:firstLine="664"/>
        <w:contextualSpacing/>
        <w:rPr>
          <w:bCs/>
          <w:sz w:val="32"/>
          <w:szCs w:val="32"/>
        </w:rPr>
      </w:pPr>
      <w:r>
        <w:rPr>
          <w:rFonts w:hint="eastAsia"/>
          <w:bCs/>
          <w:sz w:val="32"/>
          <w:szCs w:val="32"/>
        </w:rPr>
        <w:t>（1）资产管理规范性</w:t>
      </w:r>
    </w:p>
    <w:p w14:paraId="349F8DB8">
      <w:pPr>
        <w:adjustRightInd/>
        <w:snapToGrid/>
        <w:ind w:firstLine="664"/>
        <w:contextualSpacing/>
        <w:rPr>
          <w:sz w:val="32"/>
          <w:szCs w:val="32"/>
        </w:rPr>
      </w:pPr>
      <w:r>
        <w:rPr>
          <w:rFonts w:hint="eastAsia"/>
          <w:sz w:val="32"/>
          <w:szCs w:val="32"/>
        </w:rPr>
        <w:t>浮梁县市监局根据《江西省行政事业单位国有资产管理办法》《行政事业单位内部控制规范（试行）》等法律法规和制度规定，结合单位实际，制定了</w:t>
      </w:r>
      <w:r>
        <w:rPr>
          <w:rFonts w:hint="eastAsia"/>
          <w:bCs/>
          <w:sz w:val="32"/>
          <w:szCs w:val="32"/>
        </w:rPr>
        <w:t>《浮梁县市场监督管理局资产业务内部控制制度（试行）》</w:t>
      </w:r>
      <w:r>
        <w:rPr>
          <w:rFonts w:hint="eastAsia"/>
          <w:sz w:val="32"/>
          <w:szCs w:val="32"/>
        </w:rPr>
        <w:t>。2023年，新增固定资产</w:t>
      </w:r>
      <w:r>
        <w:rPr>
          <w:sz w:val="32"/>
          <w:szCs w:val="32"/>
        </w:rPr>
        <w:t>82.69万</w:t>
      </w:r>
      <w:r>
        <w:rPr>
          <w:rFonts w:hint="eastAsia"/>
          <w:sz w:val="32"/>
          <w:szCs w:val="32"/>
        </w:rPr>
        <w:t>元，未发现存在超标准配置固定资产、未经批准擅自出租资产等不规范行为。截至当年年底，浮梁县市监局未发生资产对外投资行为，但浮梁县检验检测认证中心存在部分上级拨付固定资产未入账的问题。因此，依据评分标准，该项指标得1.80分。</w:t>
      </w:r>
    </w:p>
    <w:p w14:paraId="40208F41">
      <w:pPr>
        <w:adjustRightInd/>
        <w:snapToGrid/>
        <w:ind w:firstLine="664"/>
        <w:contextualSpacing/>
        <w:rPr>
          <w:bCs/>
          <w:sz w:val="32"/>
          <w:szCs w:val="32"/>
        </w:rPr>
      </w:pPr>
      <w:r>
        <w:rPr>
          <w:rFonts w:hint="eastAsia"/>
          <w:bCs/>
          <w:sz w:val="32"/>
          <w:szCs w:val="32"/>
        </w:rPr>
        <w:t>（2）固定资产利用率</w:t>
      </w:r>
    </w:p>
    <w:p w14:paraId="09B2585A">
      <w:pPr>
        <w:adjustRightInd/>
        <w:snapToGrid/>
        <w:ind w:firstLine="664"/>
        <w:contextualSpacing/>
        <w:rPr>
          <w:rFonts w:cs="Times New Roman"/>
          <w:sz w:val="32"/>
          <w:szCs w:val="32"/>
        </w:rPr>
      </w:pPr>
      <w:r>
        <w:rPr>
          <w:rFonts w:hint="eastAsia"/>
          <w:sz w:val="32"/>
          <w:szCs w:val="32"/>
        </w:rPr>
        <w:t>2023年，浮梁县市监局固定资产总额</w:t>
      </w:r>
      <w:r>
        <w:rPr>
          <w:sz w:val="32"/>
          <w:szCs w:val="32"/>
        </w:rPr>
        <w:t>1,531.72万元，</w:t>
      </w:r>
      <w:r>
        <w:rPr>
          <w:rFonts w:hint="eastAsia"/>
          <w:sz w:val="32"/>
          <w:szCs w:val="32"/>
        </w:rPr>
        <w:t>全部在用，</w:t>
      </w:r>
      <w:r>
        <w:rPr>
          <w:rFonts w:hint="eastAsia" w:cs="Times New Roman"/>
          <w:sz w:val="32"/>
          <w:szCs w:val="32"/>
        </w:rPr>
        <w:t>固定资产利用率为100%。因此，依据评分标准，该项指标得1分。</w:t>
      </w:r>
    </w:p>
    <w:p w14:paraId="62830D4B">
      <w:pPr>
        <w:adjustRightInd/>
        <w:snapToGrid/>
        <w:ind w:firstLine="667"/>
        <w:contextualSpacing/>
        <w:rPr>
          <w:b/>
          <w:sz w:val="32"/>
          <w:szCs w:val="32"/>
        </w:rPr>
      </w:pPr>
      <w:r>
        <w:rPr>
          <w:rFonts w:hint="eastAsia"/>
          <w:b/>
          <w:sz w:val="32"/>
          <w:szCs w:val="32"/>
        </w:rPr>
        <w:t>5.</w:t>
      </w:r>
      <w:r>
        <w:rPr>
          <w:b/>
          <w:sz w:val="32"/>
          <w:szCs w:val="32"/>
        </w:rPr>
        <w:t>组织实施情况分析</w:t>
      </w:r>
    </w:p>
    <w:p w14:paraId="44D92305">
      <w:pPr>
        <w:adjustRightInd/>
        <w:snapToGrid/>
        <w:ind w:firstLine="664"/>
        <w:contextualSpacing/>
        <w:rPr>
          <w:sz w:val="32"/>
          <w:szCs w:val="32"/>
        </w:rPr>
      </w:pPr>
      <w:r>
        <w:rPr>
          <w:rFonts w:hint="eastAsia"/>
          <w:sz w:val="32"/>
          <w:szCs w:val="32"/>
        </w:rPr>
        <w:t>组织实施情况主要评价业务制度健全有效性。该部分满分3分，得3分，得分率为100%，指标的目标值、业绩值及得分见表4-8：</w:t>
      </w:r>
    </w:p>
    <w:p w14:paraId="6D9B3450">
      <w:pPr>
        <w:ind w:firstLine="0" w:firstLineChars="0"/>
        <w:jc w:val="center"/>
        <w:rPr>
          <w:rFonts w:ascii="黑体" w:hAnsi="黑体" w:eastAsia="黑体"/>
          <w:sz w:val="21"/>
          <w:szCs w:val="21"/>
        </w:rPr>
      </w:pPr>
      <w:r>
        <w:rPr>
          <w:rFonts w:hint="eastAsia" w:ascii="黑体" w:hAnsi="黑体" w:eastAsia="黑体"/>
          <w:sz w:val="21"/>
          <w:szCs w:val="21"/>
        </w:rPr>
        <w:t>表4-8  组织实施指标业绩值及分值</w:t>
      </w:r>
    </w:p>
    <w:tbl>
      <w:tblPr>
        <w:tblStyle w:val="12"/>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4"/>
        <w:gridCol w:w="810"/>
        <w:gridCol w:w="1543"/>
        <w:gridCol w:w="1543"/>
        <w:gridCol w:w="1033"/>
      </w:tblGrid>
      <w:tr w14:paraId="7EAC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2C7ED4A4">
            <w:pPr>
              <w:autoSpaceDE w:val="0"/>
              <w:spacing w:line="240" w:lineRule="auto"/>
              <w:ind w:firstLine="0" w:firstLineChars="0"/>
              <w:jc w:val="center"/>
              <w:rPr>
                <w:rFonts w:cs="仿宋"/>
                <w:b/>
                <w:bCs/>
                <w:sz w:val="21"/>
                <w:szCs w:val="21"/>
              </w:rPr>
            </w:pPr>
            <w:r>
              <w:rPr>
                <w:rFonts w:hint="eastAsia" w:cs="仿宋"/>
                <w:b/>
                <w:bCs/>
                <w:sz w:val="21"/>
                <w:szCs w:val="21"/>
              </w:rPr>
              <w:t>指标名称</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8439D51">
            <w:pPr>
              <w:autoSpaceDE w:val="0"/>
              <w:spacing w:line="240" w:lineRule="auto"/>
              <w:ind w:firstLine="0" w:firstLineChars="0"/>
              <w:jc w:val="center"/>
              <w:rPr>
                <w:rFonts w:cs="仿宋"/>
                <w:b/>
                <w:bCs/>
                <w:sz w:val="21"/>
                <w:szCs w:val="21"/>
              </w:rPr>
            </w:pPr>
            <w:r>
              <w:rPr>
                <w:rFonts w:hint="eastAsia" w:cs="仿宋"/>
                <w:b/>
                <w:bCs/>
                <w:sz w:val="21"/>
                <w:szCs w:val="21"/>
              </w:rPr>
              <w:t>分值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795E8C1">
            <w:pPr>
              <w:autoSpaceDE w:val="0"/>
              <w:spacing w:line="240" w:lineRule="auto"/>
              <w:ind w:firstLine="0" w:firstLineChars="0"/>
              <w:jc w:val="center"/>
              <w:rPr>
                <w:rFonts w:cs="仿宋"/>
                <w:b/>
                <w:bCs/>
                <w:sz w:val="21"/>
                <w:szCs w:val="21"/>
              </w:rPr>
            </w:pPr>
            <w:r>
              <w:rPr>
                <w:rFonts w:hint="eastAsia" w:cs="仿宋"/>
                <w:b/>
                <w:bCs/>
                <w:spacing w:val="0"/>
                <w:sz w:val="21"/>
                <w:szCs w:val="21"/>
              </w:rPr>
              <w:t>目标值</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30E01A9">
            <w:pPr>
              <w:autoSpaceDE w:val="0"/>
              <w:spacing w:line="240" w:lineRule="auto"/>
              <w:ind w:firstLine="0" w:firstLineChars="0"/>
              <w:jc w:val="center"/>
              <w:rPr>
                <w:rFonts w:cs="仿宋"/>
                <w:b/>
                <w:bCs/>
                <w:sz w:val="21"/>
                <w:szCs w:val="21"/>
              </w:rPr>
            </w:pPr>
            <w:r>
              <w:rPr>
                <w:rFonts w:hint="eastAsia" w:cs="仿宋"/>
                <w:b/>
                <w:bCs/>
                <w:sz w:val="21"/>
                <w:szCs w:val="21"/>
              </w:rPr>
              <w:t>业绩值</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316C25CB">
            <w:pPr>
              <w:autoSpaceDE w:val="0"/>
              <w:spacing w:line="240" w:lineRule="auto"/>
              <w:ind w:firstLine="0" w:firstLineChars="0"/>
              <w:jc w:val="center"/>
              <w:rPr>
                <w:rFonts w:cs="仿宋"/>
                <w:b/>
                <w:bCs/>
                <w:sz w:val="21"/>
                <w:szCs w:val="21"/>
              </w:rPr>
            </w:pPr>
            <w:r>
              <w:rPr>
                <w:rFonts w:hint="eastAsia" w:cs="仿宋"/>
                <w:b/>
                <w:bCs/>
                <w:sz w:val="21"/>
                <w:szCs w:val="21"/>
              </w:rPr>
              <w:t>得分</w:t>
            </w:r>
          </w:p>
        </w:tc>
      </w:tr>
      <w:tr w14:paraId="6732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7FF96AB6">
            <w:pPr>
              <w:autoSpaceDE w:val="0"/>
              <w:spacing w:line="240" w:lineRule="auto"/>
              <w:ind w:firstLine="0" w:firstLineChars="0"/>
              <w:jc w:val="center"/>
              <w:rPr>
                <w:rFonts w:cs="仿宋"/>
                <w:b/>
                <w:bCs/>
                <w:sz w:val="21"/>
                <w:szCs w:val="21"/>
              </w:rPr>
            </w:pPr>
            <w:r>
              <w:rPr>
                <w:rFonts w:hint="eastAsia" w:cs="仿宋"/>
                <w:b/>
                <w:bCs/>
                <w:sz w:val="21"/>
                <w:szCs w:val="21"/>
              </w:rPr>
              <w:t>合计</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8442144">
            <w:pPr>
              <w:autoSpaceDE w:val="0"/>
              <w:spacing w:line="240" w:lineRule="auto"/>
              <w:ind w:firstLine="0" w:firstLineChars="0"/>
              <w:jc w:val="center"/>
              <w:rPr>
                <w:rFonts w:cs="仿宋"/>
                <w:b/>
                <w:bCs/>
                <w:sz w:val="21"/>
                <w:szCs w:val="21"/>
              </w:rPr>
            </w:pPr>
            <w:r>
              <w:rPr>
                <w:rFonts w:hint="eastAsia" w:cs="仿宋"/>
                <w:b/>
                <w:bCs/>
                <w:sz w:val="21"/>
                <w:szCs w:val="21"/>
              </w:rPr>
              <w:t>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0145083D">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43D4F89">
            <w:pPr>
              <w:autoSpaceDE w:val="0"/>
              <w:spacing w:line="240" w:lineRule="auto"/>
              <w:ind w:firstLine="0" w:firstLineChars="0"/>
              <w:jc w:val="center"/>
              <w:rPr>
                <w:rFonts w:cs="仿宋"/>
                <w:b/>
                <w:bCs/>
                <w:sz w:val="21"/>
                <w:szCs w:val="21"/>
              </w:rPr>
            </w:pPr>
            <w:r>
              <w:rPr>
                <w:rFonts w:hint="eastAsia" w:cs="仿宋"/>
                <w:b/>
                <w:bCs/>
                <w:sz w:val="21"/>
                <w:szCs w:val="21"/>
              </w:rPr>
              <w:t>——</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77EB39F6">
            <w:pPr>
              <w:autoSpaceDE w:val="0"/>
              <w:spacing w:line="240" w:lineRule="auto"/>
              <w:ind w:firstLine="0" w:firstLineChars="0"/>
              <w:jc w:val="center"/>
              <w:rPr>
                <w:rFonts w:cs="仿宋"/>
                <w:b/>
                <w:bCs/>
                <w:sz w:val="21"/>
                <w:szCs w:val="21"/>
              </w:rPr>
            </w:pPr>
            <w:r>
              <w:rPr>
                <w:rFonts w:hint="eastAsia" w:cs="仿宋"/>
                <w:b/>
                <w:bCs/>
                <w:sz w:val="21"/>
                <w:szCs w:val="21"/>
              </w:rPr>
              <w:t>3</w:t>
            </w:r>
          </w:p>
        </w:tc>
      </w:tr>
      <w:tr w14:paraId="281B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4" w:type="dxa"/>
            <w:tcBorders>
              <w:top w:val="single" w:color="auto" w:sz="4" w:space="0"/>
              <w:left w:val="single" w:color="auto" w:sz="4" w:space="0"/>
              <w:bottom w:val="single" w:color="auto" w:sz="4" w:space="0"/>
              <w:right w:val="single" w:color="auto" w:sz="4" w:space="0"/>
            </w:tcBorders>
            <w:shd w:val="clear" w:color="auto" w:fill="FFFFFF"/>
            <w:vAlign w:val="center"/>
          </w:tcPr>
          <w:p w14:paraId="0A6D774B">
            <w:pPr>
              <w:autoSpaceDE w:val="0"/>
              <w:spacing w:line="240" w:lineRule="auto"/>
              <w:ind w:firstLine="0" w:firstLineChars="0"/>
              <w:jc w:val="center"/>
              <w:rPr>
                <w:rFonts w:cs="仿宋"/>
                <w:sz w:val="21"/>
                <w:szCs w:val="21"/>
              </w:rPr>
            </w:pPr>
            <w:r>
              <w:rPr>
                <w:rFonts w:hint="eastAsia" w:cs="仿宋"/>
                <w:sz w:val="21"/>
                <w:szCs w:val="21"/>
              </w:rPr>
              <w:t>业务制度健全性</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5CCE25D">
            <w:pPr>
              <w:autoSpaceDE w:val="0"/>
              <w:spacing w:line="240" w:lineRule="auto"/>
              <w:ind w:firstLine="0" w:firstLineChars="0"/>
              <w:jc w:val="center"/>
              <w:rPr>
                <w:rFonts w:cs="仿宋"/>
                <w:sz w:val="21"/>
                <w:szCs w:val="21"/>
              </w:rPr>
            </w:pPr>
            <w:r>
              <w:rPr>
                <w:rFonts w:hint="eastAsia" w:cs="仿宋"/>
                <w:sz w:val="21"/>
                <w:szCs w:val="21"/>
              </w:rPr>
              <w:t>3</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1059E9B5">
            <w:pPr>
              <w:autoSpaceDE w:val="0"/>
              <w:spacing w:line="240" w:lineRule="auto"/>
              <w:ind w:firstLine="0" w:firstLineChars="0"/>
              <w:jc w:val="center"/>
              <w:rPr>
                <w:rFonts w:cs="仿宋"/>
                <w:sz w:val="21"/>
                <w:szCs w:val="21"/>
              </w:rPr>
            </w:pPr>
            <w:r>
              <w:rPr>
                <w:rFonts w:hint="eastAsia" w:cs="仿宋"/>
                <w:sz w:val="21"/>
                <w:szCs w:val="21"/>
              </w:rPr>
              <w:t>健全</w:t>
            </w:r>
          </w:p>
        </w:tc>
        <w:tc>
          <w:tcPr>
            <w:tcW w:w="1543" w:type="dxa"/>
            <w:tcBorders>
              <w:top w:val="single" w:color="auto" w:sz="4" w:space="0"/>
              <w:left w:val="single" w:color="auto" w:sz="4" w:space="0"/>
              <w:bottom w:val="single" w:color="auto" w:sz="4" w:space="0"/>
              <w:right w:val="single" w:color="auto" w:sz="4" w:space="0"/>
            </w:tcBorders>
            <w:shd w:val="clear" w:color="auto" w:fill="FFFFFF"/>
            <w:vAlign w:val="center"/>
          </w:tcPr>
          <w:p w14:paraId="7981ADFA">
            <w:pPr>
              <w:autoSpaceDE w:val="0"/>
              <w:spacing w:line="240" w:lineRule="auto"/>
              <w:ind w:firstLine="0" w:firstLineChars="0"/>
              <w:jc w:val="center"/>
              <w:rPr>
                <w:rFonts w:cs="仿宋"/>
                <w:sz w:val="21"/>
                <w:szCs w:val="21"/>
              </w:rPr>
            </w:pPr>
            <w:r>
              <w:rPr>
                <w:rFonts w:hint="eastAsia" w:cs="仿宋"/>
                <w:sz w:val="21"/>
                <w:szCs w:val="21"/>
              </w:rPr>
              <w:t>较健全</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14:paraId="117B45AC">
            <w:pPr>
              <w:autoSpaceDE w:val="0"/>
              <w:spacing w:line="240" w:lineRule="auto"/>
              <w:ind w:firstLine="0" w:firstLineChars="0"/>
              <w:jc w:val="center"/>
              <w:rPr>
                <w:rFonts w:cs="仿宋"/>
                <w:sz w:val="21"/>
                <w:szCs w:val="21"/>
              </w:rPr>
            </w:pPr>
            <w:r>
              <w:rPr>
                <w:rFonts w:hint="eastAsia" w:cs="仿宋"/>
                <w:sz w:val="21"/>
                <w:szCs w:val="21"/>
              </w:rPr>
              <w:t>3</w:t>
            </w:r>
          </w:p>
        </w:tc>
      </w:tr>
    </w:tbl>
    <w:p w14:paraId="4E1AA74A">
      <w:pPr>
        <w:adjustRightInd/>
        <w:snapToGrid/>
        <w:ind w:firstLine="664"/>
        <w:contextualSpacing/>
        <w:rPr>
          <w:bCs/>
          <w:sz w:val="32"/>
          <w:szCs w:val="32"/>
        </w:rPr>
      </w:pPr>
      <w:r>
        <w:rPr>
          <w:rFonts w:hint="eastAsia"/>
          <w:bCs/>
          <w:sz w:val="32"/>
          <w:szCs w:val="32"/>
        </w:rPr>
        <w:t>为规范公平竞争审查工作，浮梁县市监局根据《公平竞争审查制度实施细则（暂行）》建立了《公平竞争审查制度内部工作程序》。此外，为推行行政执法公示等制度，印发了《浮梁县市场监督管理局全面推行行政执法公示制度、执法全过程记录制度、重大执法决定法制审核制度实施方案》和《行政执法记录信息调阅监督制度》，业务制度健全。</w:t>
      </w:r>
      <w:r>
        <w:rPr>
          <w:rFonts w:hint="eastAsia"/>
          <w:sz w:val="32"/>
          <w:szCs w:val="32"/>
        </w:rPr>
        <w:t>因此，依据评分标准，该项指标得3分。</w:t>
      </w:r>
    </w:p>
    <w:p w14:paraId="71DF276E">
      <w:pPr>
        <w:pStyle w:val="3"/>
        <w:adjustRightInd/>
        <w:snapToGrid/>
        <w:spacing w:before="0" w:after="0"/>
        <w:ind w:firstLine="667"/>
        <w:contextualSpacing/>
        <w:rPr>
          <w:rFonts w:ascii="楷体_GB2312" w:eastAsia="楷体_GB2312"/>
        </w:rPr>
      </w:pPr>
      <w:bookmarkStart w:id="31" w:name="_Toc146027909"/>
      <w:bookmarkStart w:id="32" w:name="_Toc167874829"/>
      <w:bookmarkStart w:id="33" w:name="_Toc146476233"/>
      <w:r>
        <w:rPr>
          <w:rFonts w:hint="eastAsia" w:ascii="楷体_GB2312" w:eastAsia="楷体_GB2312"/>
        </w:rPr>
        <w:t>（三）部门产出情况分析</w:t>
      </w:r>
      <w:bookmarkEnd w:id="31"/>
      <w:bookmarkEnd w:id="32"/>
      <w:bookmarkEnd w:id="33"/>
    </w:p>
    <w:p w14:paraId="3A91720F">
      <w:pPr>
        <w:adjustRightInd/>
        <w:snapToGrid/>
        <w:ind w:firstLine="664"/>
        <w:contextualSpacing/>
        <w:rPr>
          <w:sz w:val="32"/>
          <w:szCs w:val="32"/>
        </w:rPr>
      </w:pPr>
      <w:r>
        <w:rPr>
          <w:rFonts w:hint="eastAsia"/>
          <w:sz w:val="32"/>
          <w:szCs w:val="32"/>
        </w:rPr>
        <w:t>产出指标主要评价部门“产出数量”“产出质量”“产出时效”和“产出成本”四方面。该部分指标满分30分，得分29.65分，得分率98.93%。</w:t>
      </w:r>
    </w:p>
    <w:p w14:paraId="21D8857E">
      <w:pPr>
        <w:adjustRightInd/>
        <w:snapToGrid/>
        <w:ind w:firstLine="667"/>
        <w:contextualSpacing/>
        <w:rPr>
          <w:b/>
          <w:sz w:val="32"/>
          <w:szCs w:val="32"/>
        </w:rPr>
      </w:pPr>
      <w:r>
        <w:rPr>
          <w:rFonts w:hint="eastAsia"/>
          <w:b/>
          <w:sz w:val="32"/>
          <w:szCs w:val="32"/>
        </w:rPr>
        <w:t>1.</w:t>
      </w:r>
      <w:r>
        <w:rPr>
          <w:b/>
          <w:sz w:val="32"/>
          <w:szCs w:val="32"/>
        </w:rPr>
        <w:t>产出数量情况分析</w:t>
      </w:r>
    </w:p>
    <w:p w14:paraId="1B19CDC0">
      <w:pPr>
        <w:adjustRightInd/>
        <w:snapToGrid/>
        <w:ind w:firstLine="664"/>
        <w:contextualSpacing/>
        <w:rPr>
          <w:rFonts w:cs="Times New Roman"/>
          <w:sz w:val="32"/>
          <w:szCs w:val="32"/>
        </w:rPr>
      </w:pPr>
      <w:r>
        <w:rPr>
          <w:rFonts w:hint="eastAsia"/>
          <w:sz w:val="32"/>
          <w:szCs w:val="32"/>
        </w:rPr>
        <w:t>产出数量情况主要评价部门产出数量的完成情况。该部分满分12分，得分12分，得分率为100%。</w:t>
      </w:r>
      <w:r>
        <w:rPr>
          <w:rFonts w:hint="eastAsia" w:cs="Times New Roman"/>
          <w:sz w:val="32"/>
          <w:szCs w:val="32"/>
        </w:rPr>
        <w:t>指标的业绩值和绩效分值见表4-9：</w:t>
      </w:r>
    </w:p>
    <w:p w14:paraId="3E08E909">
      <w:pPr>
        <w:ind w:firstLine="0" w:firstLineChars="0"/>
        <w:jc w:val="center"/>
        <w:rPr>
          <w:rFonts w:ascii="黑体" w:hAnsi="黑体" w:eastAsia="黑体" w:cs="Times New Roman"/>
          <w:sz w:val="21"/>
          <w:szCs w:val="24"/>
        </w:rPr>
      </w:pPr>
      <w:r>
        <w:rPr>
          <w:rFonts w:hint="eastAsia" w:ascii="黑体" w:hAnsi="黑体" w:eastAsia="黑体" w:cs="Times New Roman"/>
          <w:sz w:val="21"/>
          <w:szCs w:val="24"/>
        </w:rPr>
        <w:t>表4-9  产出数量情况业绩值及分值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993"/>
        <w:gridCol w:w="1523"/>
        <w:gridCol w:w="1134"/>
        <w:gridCol w:w="1122"/>
      </w:tblGrid>
      <w:tr w14:paraId="76E7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70" w:type="dxa"/>
            <w:tcBorders>
              <w:top w:val="single" w:color="auto" w:sz="4" w:space="0"/>
              <w:left w:val="single" w:color="auto" w:sz="4" w:space="0"/>
              <w:bottom w:val="single" w:color="auto" w:sz="4" w:space="0"/>
              <w:right w:val="single" w:color="auto" w:sz="4" w:space="0"/>
            </w:tcBorders>
            <w:vAlign w:val="center"/>
          </w:tcPr>
          <w:p w14:paraId="5057250E">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993" w:type="dxa"/>
            <w:tcBorders>
              <w:top w:val="single" w:color="auto" w:sz="4" w:space="0"/>
              <w:left w:val="single" w:color="auto" w:sz="4" w:space="0"/>
              <w:bottom w:val="single" w:color="auto" w:sz="4" w:space="0"/>
              <w:right w:val="single" w:color="auto" w:sz="4" w:space="0"/>
            </w:tcBorders>
            <w:vAlign w:val="center"/>
          </w:tcPr>
          <w:p w14:paraId="63AEC72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523" w:type="dxa"/>
            <w:tcBorders>
              <w:top w:val="single" w:color="auto" w:sz="4" w:space="0"/>
              <w:left w:val="single" w:color="auto" w:sz="4" w:space="0"/>
              <w:bottom w:val="single" w:color="auto" w:sz="4" w:space="0"/>
              <w:right w:val="single" w:color="auto" w:sz="4" w:space="0"/>
            </w:tcBorders>
            <w:vAlign w:val="center"/>
          </w:tcPr>
          <w:p w14:paraId="41F20739">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134" w:type="dxa"/>
            <w:tcBorders>
              <w:top w:val="single" w:color="auto" w:sz="4" w:space="0"/>
              <w:left w:val="single" w:color="auto" w:sz="4" w:space="0"/>
              <w:bottom w:val="single" w:color="auto" w:sz="4" w:space="0"/>
              <w:right w:val="single" w:color="auto" w:sz="4" w:space="0"/>
            </w:tcBorders>
            <w:vAlign w:val="center"/>
          </w:tcPr>
          <w:p w14:paraId="0AEE2BFE">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122" w:type="dxa"/>
            <w:tcBorders>
              <w:top w:val="single" w:color="auto" w:sz="4" w:space="0"/>
              <w:left w:val="single" w:color="auto" w:sz="4" w:space="0"/>
              <w:bottom w:val="single" w:color="auto" w:sz="4" w:space="0"/>
              <w:right w:val="single" w:color="auto" w:sz="4" w:space="0"/>
            </w:tcBorders>
            <w:vAlign w:val="center"/>
          </w:tcPr>
          <w:p w14:paraId="7B1F750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7DFE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6AB68986">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993" w:type="dxa"/>
            <w:tcBorders>
              <w:top w:val="single" w:color="auto" w:sz="4" w:space="0"/>
              <w:left w:val="single" w:color="auto" w:sz="4" w:space="0"/>
              <w:bottom w:val="single" w:color="auto" w:sz="4" w:space="0"/>
              <w:right w:val="single" w:color="auto" w:sz="4" w:space="0"/>
            </w:tcBorders>
            <w:vAlign w:val="center"/>
          </w:tcPr>
          <w:p w14:paraId="189F3DAC">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12</w:t>
            </w:r>
          </w:p>
        </w:tc>
        <w:tc>
          <w:tcPr>
            <w:tcW w:w="1523" w:type="dxa"/>
            <w:tcBorders>
              <w:top w:val="single" w:color="auto" w:sz="4" w:space="0"/>
              <w:left w:val="single" w:color="auto" w:sz="4" w:space="0"/>
              <w:bottom w:val="single" w:color="auto" w:sz="4" w:space="0"/>
              <w:right w:val="single" w:color="auto" w:sz="4" w:space="0"/>
            </w:tcBorders>
            <w:vAlign w:val="center"/>
          </w:tcPr>
          <w:p w14:paraId="098FEF9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7E706F90">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122" w:type="dxa"/>
            <w:tcBorders>
              <w:top w:val="single" w:color="auto" w:sz="4" w:space="0"/>
              <w:left w:val="single" w:color="auto" w:sz="4" w:space="0"/>
              <w:bottom w:val="single" w:color="auto" w:sz="4" w:space="0"/>
              <w:right w:val="single" w:color="auto" w:sz="4" w:space="0"/>
            </w:tcBorders>
            <w:vAlign w:val="center"/>
          </w:tcPr>
          <w:p w14:paraId="5C13384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12</w:t>
            </w:r>
          </w:p>
        </w:tc>
      </w:tr>
      <w:tr w14:paraId="200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71A76757">
            <w:pPr>
              <w:autoSpaceDE w:val="0"/>
              <w:spacing w:line="240" w:lineRule="auto"/>
              <w:ind w:firstLine="0" w:firstLineChars="0"/>
              <w:jc w:val="center"/>
              <w:rPr>
                <w:rFonts w:cs="仿宋"/>
                <w:spacing w:val="0"/>
                <w:sz w:val="21"/>
                <w:szCs w:val="21"/>
              </w:rPr>
            </w:pPr>
            <w:r>
              <w:rPr>
                <w:rFonts w:hint="eastAsia" w:cs="仿宋"/>
                <w:spacing w:val="0"/>
                <w:sz w:val="21"/>
                <w:szCs w:val="21"/>
              </w:rPr>
              <w:t>食品安全快检批次</w:t>
            </w:r>
          </w:p>
        </w:tc>
        <w:tc>
          <w:tcPr>
            <w:tcW w:w="993" w:type="dxa"/>
            <w:tcBorders>
              <w:top w:val="single" w:color="auto" w:sz="4" w:space="0"/>
              <w:left w:val="single" w:color="auto" w:sz="4" w:space="0"/>
              <w:bottom w:val="single" w:color="auto" w:sz="4" w:space="0"/>
              <w:right w:val="single" w:color="auto" w:sz="4" w:space="0"/>
            </w:tcBorders>
            <w:vAlign w:val="center"/>
          </w:tcPr>
          <w:p w14:paraId="3B3A3EFF">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c>
          <w:tcPr>
            <w:tcW w:w="1523" w:type="dxa"/>
            <w:tcBorders>
              <w:top w:val="single" w:color="auto" w:sz="4" w:space="0"/>
              <w:left w:val="single" w:color="auto" w:sz="4" w:space="0"/>
              <w:bottom w:val="single" w:color="auto" w:sz="4" w:space="0"/>
              <w:right w:val="single" w:color="auto" w:sz="4" w:space="0"/>
            </w:tcBorders>
            <w:vAlign w:val="center"/>
          </w:tcPr>
          <w:p w14:paraId="61C10EAB">
            <w:pPr>
              <w:autoSpaceDE w:val="0"/>
              <w:spacing w:line="240" w:lineRule="auto"/>
              <w:ind w:firstLine="0" w:firstLineChars="0"/>
              <w:jc w:val="center"/>
              <w:rPr>
                <w:rFonts w:cs="仿宋"/>
                <w:spacing w:val="0"/>
                <w:sz w:val="21"/>
                <w:szCs w:val="21"/>
              </w:rPr>
            </w:pPr>
            <w:r>
              <w:rPr>
                <w:rFonts w:hint="eastAsia"/>
                <w:kern w:val="0"/>
                <w:sz w:val="21"/>
                <w:szCs w:val="21"/>
              </w:rPr>
              <w:t>≥2449批次</w:t>
            </w:r>
          </w:p>
        </w:tc>
        <w:tc>
          <w:tcPr>
            <w:tcW w:w="1134" w:type="dxa"/>
            <w:tcBorders>
              <w:top w:val="single" w:color="auto" w:sz="4" w:space="0"/>
              <w:left w:val="single" w:color="auto" w:sz="4" w:space="0"/>
              <w:bottom w:val="single" w:color="auto" w:sz="4" w:space="0"/>
              <w:right w:val="single" w:color="auto" w:sz="4" w:space="0"/>
            </w:tcBorders>
            <w:vAlign w:val="center"/>
          </w:tcPr>
          <w:p w14:paraId="79B1A72B">
            <w:pPr>
              <w:autoSpaceDE w:val="0"/>
              <w:spacing w:line="240" w:lineRule="auto"/>
              <w:ind w:firstLine="0" w:firstLineChars="0"/>
              <w:jc w:val="center"/>
              <w:rPr>
                <w:rFonts w:cs="仿宋"/>
                <w:spacing w:val="0"/>
                <w:sz w:val="21"/>
                <w:szCs w:val="21"/>
              </w:rPr>
            </w:pPr>
            <w:r>
              <w:rPr>
                <w:rFonts w:hint="eastAsia" w:cs="仿宋"/>
                <w:spacing w:val="0"/>
                <w:sz w:val="21"/>
                <w:szCs w:val="21"/>
              </w:rPr>
              <w:t>2555批次</w:t>
            </w:r>
          </w:p>
        </w:tc>
        <w:tc>
          <w:tcPr>
            <w:tcW w:w="1122" w:type="dxa"/>
            <w:tcBorders>
              <w:top w:val="single" w:color="auto" w:sz="4" w:space="0"/>
              <w:left w:val="single" w:color="auto" w:sz="4" w:space="0"/>
              <w:bottom w:val="single" w:color="auto" w:sz="4" w:space="0"/>
              <w:right w:val="single" w:color="auto" w:sz="4" w:space="0"/>
            </w:tcBorders>
            <w:vAlign w:val="center"/>
          </w:tcPr>
          <w:p w14:paraId="6AAF263F">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r>
      <w:tr w14:paraId="441C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60A035FA">
            <w:pPr>
              <w:autoSpaceDE w:val="0"/>
              <w:spacing w:line="240" w:lineRule="auto"/>
              <w:ind w:firstLine="0" w:firstLineChars="0"/>
              <w:jc w:val="center"/>
              <w:rPr>
                <w:rFonts w:cs="仿宋"/>
                <w:spacing w:val="0"/>
                <w:sz w:val="21"/>
                <w:szCs w:val="21"/>
              </w:rPr>
            </w:pPr>
            <w:r>
              <w:rPr>
                <w:rFonts w:hint="eastAsia" w:cs="仿宋"/>
                <w:spacing w:val="0"/>
                <w:sz w:val="21"/>
                <w:szCs w:val="21"/>
              </w:rPr>
              <w:t>食品安全抽检批次</w:t>
            </w:r>
          </w:p>
        </w:tc>
        <w:tc>
          <w:tcPr>
            <w:tcW w:w="993" w:type="dxa"/>
            <w:tcBorders>
              <w:top w:val="single" w:color="auto" w:sz="4" w:space="0"/>
              <w:left w:val="single" w:color="auto" w:sz="4" w:space="0"/>
              <w:bottom w:val="single" w:color="auto" w:sz="4" w:space="0"/>
              <w:right w:val="single" w:color="auto" w:sz="4" w:space="0"/>
            </w:tcBorders>
            <w:vAlign w:val="center"/>
          </w:tcPr>
          <w:p w14:paraId="2BFC9DB0">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523" w:type="dxa"/>
            <w:tcBorders>
              <w:top w:val="single" w:color="auto" w:sz="4" w:space="0"/>
              <w:left w:val="single" w:color="auto" w:sz="4" w:space="0"/>
              <w:bottom w:val="single" w:color="auto" w:sz="4" w:space="0"/>
              <w:right w:val="single" w:color="auto" w:sz="4" w:space="0"/>
            </w:tcBorders>
            <w:vAlign w:val="center"/>
          </w:tcPr>
          <w:p w14:paraId="7355750C">
            <w:pPr>
              <w:autoSpaceDE w:val="0"/>
              <w:spacing w:line="240" w:lineRule="auto"/>
              <w:ind w:firstLine="0" w:firstLineChars="0"/>
              <w:jc w:val="center"/>
              <w:rPr>
                <w:rFonts w:cs="仿宋"/>
                <w:spacing w:val="0"/>
                <w:sz w:val="21"/>
                <w:szCs w:val="21"/>
              </w:rPr>
            </w:pPr>
            <w:r>
              <w:rPr>
                <w:rFonts w:hint="eastAsia"/>
                <w:kern w:val="0"/>
                <w:sz w:val="21"/>
                <w:szCs w:val="21"/>
              </w:rPr>
              <w:t>≥437批次</w:t>
            </w:r>
          </w:p>
        </w:tc>
        <w:tc>
          <w:tcPr>
            <w:tcW w:w="1134" w:type="dxa"/>
            <w:tcBorders>
              <w:top w:val="single" w:color="auto" w:sz="4" w:space="0"/>
              <w:left w:val="single" w:color="auto" w:sz="4" w:space="0"/>
              <w:bottom w:val="single" w:color="auto" w:sz="4" w:space="0"/>
              <w:right w:val="single" w:color="auto" w:sz="4" w:space="0"/>
            </w:tcBorders>
            <w:vAlign w:val="center"/>
          </w:tcPr>
          <w:p w14:paraId="3DDF74BE">
            <w:pPr>
              <w:autoSpaceDE w:val="0"/>
              <w:spacing w:line="240" w:lineRule="auto"/>
              <w:ind w:firstLine="0" w:firstLineChars="0"/>
              <w:jc w:val="center"/>
              <w:rPr>
                <w:rFonts w:cs="仿宋"/>
                <w:spacing w:val="0"/>
                <w:sz w:val="21"/>
                <w:szCs w:val="21"/>
              </w:rPr>
            </w:pPr>
            <w:r>
              <w:rPr>
                <w:rFonts w:hint="eastAsia" w:cs="仿宋"/>
                <w:spacing w:val="0"/>
                <w:sz w:val="21"/>
                <w:szCs w:val="21"/>
              </w:rPr>
              <w:t>440批次</w:t>
            </w:r>
          </w:p>
        </w:tc>
        <w:tc>
          <w:tcPr>
            <w:tcW w:w="1122" w:type="dxa"/>
            <w:tcBorders>
              <w:top w:val="single" w:color="auto" w:sz="4" w:space="0"/>
              <w:left w:val="single" w:color="auto" w:sz="4" w:space="0"/>
              <w:bottom w:val="single" w:color="auto" w:sz="4" w:space="0"/>
              <w:right w:val="single" w:color="auto" w:sz="4" w:space="0"/>
            </w:tcBorders>
            <w:vAlign w:val="center"/>
          </w:tcPr>
          <w:p w14:paraId="6C4EDB2A">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r w14:paraId="36AF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67EA3393">
            <w:pPr>
              <w:autoSpaceDE w:val="0"/>
              <w:spacing w:line="240" w:lineRule="auto"/>
              <w:ind w:firstLine="0" w:firstLineChars="0"/>
              <w:jc w:val="center"/>
              <w:rPr>
                <w:rFonts w:cs="仿宋"/>
                <w:spacing w:val="0"/>
                <w:sz w:val="21"/>
                <w:szCs w:val="21"/>
              </w:rPr>
            </w:pPr>
            <w:r>
              <w:rPr>
                <w:rFonts w:hint="eastAsia" w:cs="仿宋"/>
                <w:spacing w:val="0"/>
                <w:sz w:val="21"/>
                <w:szCs w:val="21"/>
              </w:rPr>
              <w:t>工业产品抽检批次</w:t>
            </w:r>
          </w:p>
        </w:tc>
        <w:tc>
          <w:tcPr>
            <w:tcW w:w="993" w:type="dxa"/>
            <w:tcBorders>
              <w:top w:val="single" w:color="auto" w:sz="4" w:space="0"/>
              <w:left w:val="single" w:color="auto" w:sz="4" w:space="0"/>
              <w:bottom w:val="single" w:color="auto" w:sz="4" w:space="0"/>
              <w:right w:val="single" w:color="auto" w:sz="4" w:space="0"/>
            </w:tcBorders>
            <w:vAlign w:val="center"/>
          </w:tcPr>
          <w:p w14:paraId="549485A3">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523" w:type="dxa"/>
            <w:tcBorders>
              <w:top w:val="single" w:color="auto" w:sz="4" w:space="0"/>
              <w:left w:val="single" w:color="auto" w:sz="4" w:space="0"/>
              <w:bottom w:val="single" w:color="auto" w:sz="4" w:space="0"/>
              <w:right w:val="single" w:color="auto" w:sz="4" w:space="0"/>
            </w:tcBorders>
            <w:vAlign w:val="center"/>
          </w:tcPr>
          <w:p w14:paraId="0CE2C9A4">
            <w:pPr>
              <w:autoSpaceDE w:val="0"/>
              <w:spacing w:line="240" w:lineRule="auto"/>
              <w:ind w:firstLine="0" w:firstLineChars="0"/>
              <w:jc w:val="center"/>
              <w:rPr>
                <w:rFonts w:cs="仿宋"/>
                <w:spacing w:val="0"/>
                <w:sz w:val="21"/>
                <w:szCs w:val="21"/>
              </w:rPr>
            </w:pPr>
            <w:r>
              <w:rPr>
                <w:rFonts w:hint="eastAsia"/>
                <w:kern w:val="0"/>
                <w:sz w:val="21"/>
                <w:szCs w:val="21"/>
              </w:rPr>
              <w:t>≥40批次</w:t>
            </w:r>
          </w:p>
        </w:tc>
        <w:tc>
          <w:tcPr>
            <w:tcW w:w="1134" w:type="dxa"/>
            <w:tcBorders>
              <w:top w:val="single" w:color="auto" w:sz="4" w:space="0"/>
              <w:left w:val="single" w:color="auto" w:sz="4" w:space="0"/>
              <w:bottom w:val="single" w:color="auto" w:sz="4" w:space="0"/>
              <w:right w:val="single" w:color="auto" w:sz="4" w:space="0"/>
            </w:tcBorders>
            <w:vAlign w:val="center"/>
          </w:tcPr>
          <w:p w14:paraId="7F377D75">
            <w:pPr>
              <w:autoSpaceDE w:val="0"/>
              <w:spacing w:line="240" w:lineRule="auto"/>
              <w:ind w:firstLine="0" w:firstLineChars="0"/>
              <w:jc w:val="center"/>
              <w:rPr>
                <w:rFonts w:cs="仿宋"/>
                <w:spacing w:val="0"/>
                <w:sz w:val="21"/>
                <w:szCs w:val="21"/>
              </w:rPr>
            </w:pPr>
            <w:r>
              <w:rPr>
                <w:rFonts w:hint="eastAsia" w:cs="仿宋"/>
                <w:spacing w:val="0"/>
                <w:sz w:val="21"/>
                <w:szCs w:val="21"/>
              </w:rPr>
              <w:t>40批次</w:t>
            </w:r>
          </w:p>
        </w:tc>
        <w:tc>
          <w:tcPr>
            <w:tcW w:w="1122" w:type="dxa"/>
            <w:tcBorders>
              <w:top w:val="single" w:color="auto" w:sz="4" w:space="0"/>
              <w:left w:val="single" w:color="auto" w:sz="4" w:space="0"/>
              <w:bottom w:val="single" w:color="auto" w:sz="4" w:space="0"/>
              <w:right w:val="single" w:color="auto" w:sz="4" w:space="0"/>
            </w:tcBorders>
            <w:vAlign w:val="center"/>
          </w:tcPr>
          <w:p w14:paraId="524B14E0">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r w14:paraId="20FB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3D277571">
            <w:pPr>
              <w:autoSpaceDE w:val="0"/>
              <w:spacing w:line="240" w:lineRule="auto"/>
              <w:ind w:firstLine="0" w:firstLineChars="0"/>
              <w:jc w:val="center"/>
              <w:rPr>
                <w:rFonts w:cs="仿宋"/>
                <w:spacing w:val="0"/>
                <w:sz w:val="21"/>
                <w:szCs w:val="21"/>
              </w:rPr>
            </w:pPr>
            <w:r>
              <w:rPr>
                <w:rFonts w:hint="eastAsia" w:cs="仿宋"/>
                <w:spacing w:val="0"/>
                <w:sz w:val="21"/>
                <w:szCs w:val="21"/>
              </w:rPr>
              <w:t>药品抽检批次</w:t>
            </w:r>
          </w:p>
        </w:tc>
        <w:tc>
          <w:tcPr>
            <w:tcW w:w="993" w:type="dxa"/>
            <w:tcBorders>
              <w:top w:val="single" w:color="auto" w:sz="4" w:space="0"/>
              <w:left w:val="single" w:color="auto" w:sz="4" w:space="0"/>
              <w:bottom w:val="single" w:color="auto" w:sz="4" w:space="0"/>
              <w:right w:val="single" w:color="auto" w:sz="4" w:space="0"/>
            </w:tcBorders>
            <w:vAlign w:val="center"/>
          </w:tcPr>
          <w:p w14:paraId="6E98718B">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523" w:type="dxa"/>
            <w:tcBorders>
              <w:top w:val="single" w:color="auto" w:sz="4" w:space="0"/>
              <w:left w:val="single" w:color="auto" w:sz="4" w:space="0"/>
              <w:bottom w:val="single" w:color="auto" w:sz="4" w:space="0"/>
              <w:right w:val="single" w:color="auto" w:sz="4" w:space="0"/>
            </w:tcBorders>
            <w:vAlign w:val="center"/>
          </w:tcPr>
          <w:p w14:paraId="12F2C051">
            <w:pPr>
              <w:autoSpaceDE w:val="0"/>
              <w:spacing w:line="240" w:lineRule="auto"/>
              <w:ind w:firstLine="0" w:firstLineChars="0"/>
              <w:jc w:val="center"/>
              <w:rPr>
                <w:rFonts w:cs="仿宋"/>
                <w:spacing w:val="0"/>
                <w:sz w:val="21"/>
                <w:szCs w:val="21"/>
              </w:rPr>
            </w:pPr>
            <w:r>
              <w:rPr>
                <w:rFonts w:hint="eastAsia"/>
                <w:kern w:val="0"/>
                <w:sz w:val="21"/>
                <w:szCs w:val="21"/>
              </w:rPr>
              <w:t>≥20批次</w:t>
            </w:r>
          </w:p>
        </w:tc>
        <w:tc>
          <w:tcPr>
            <w:tcW w:w="1134" w:type="dxa"/>
            <w:tcBorders>
              <w:top w:val="single" w:color="auto" w:sz="4" w:space="0"/>
              <w:left w:val="single" w:color="auto" w:sz="4" w:space="0"/>
              <w:bottom w:val="single" w:color="auto" w:sz="4" w:space="0"/>
              <w:right w:val="single" w:color="auto" w:sz="4" w:space="0"/>
            </w:tcBorders>
            <w:vAlign w:val="center"/>
          </w:tcPr>
          <w:p w14:paraId="06A1D435">
            <w:pPr>
              <w:autoSpaceDE w:val="0"/>
              <w:spacing w:line="240" w:lineRule="auto"/>
              <w:ind w:firstLine="0" w:firstLineChars="0"/>
              <w:jc w:val="center"/>
              <w:rPr>
                <w:rFonts w:cs="仿宋"/>
                <w:spacing w:val="0"/>
                <w:sz w:val="21"/>
                <w:szCs w:val="21"/>
              </w:rPr>
            </w:pPr>
            <w:r>
              <w:rPr>
                <w:rFonts w:hint="eastAsia" w:cs="仿宋"/>
                <w:spacing w:val="0"/>
                <w:sz w:val="21"/>
                <w:szCs w:val="21"/>
              </w:rPr>
              <w:t>20批次</w:t>
            </w:r>
          </w:p>
        </w:tc>
        <w:tc>
          <w:tcPr>
            <w:tcW w:w="1122" w:type="dxa"/>
            <w:tcBorders>
              <w:top w:val="single" w:color="auto" w:sz="4" w:space="0"/>
              <w:left w:val="single" w:color="auto" w:sz="4" w:space="0"/>
              <w:bottom w:val="single" w:color="auto" w:sz="4" w:space="0"/>
              <w:right w:val="single" w:color="auto" w:sz="4" w:space="0"/>
            </w:tcBorders>
            <w:vAlign w:val="center"/>
          </w:tcPr>
          <w:p w14:paraId="7D1107CE">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r w14:paraId="6987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13A93A55">
            <w:pPr>
              <w:autoSpaceDE w:val="0"/>
              <w:spacing w:line="240" w:lineRule="auto"/>
              <w:ind w:firstLine="0" w:firstLineChars="0"/>
              <w:jc w:val="center"/>
              <w:rPr>
                <w:rFonts w:cs="仿宋"/>
                <w:spacing w:val="0"/>
                <w:sz w:val="21"/>
                <w:szCs w:val="21"/>
                <w:highlight w:val="yellow"/>
              </w:rPr>
            </w:pPr>
            <w:r>
              <w:rPr>
                <w:rFonts w:hint="eastAsia" w:cs="仿宋"/>
                <w:spacing w:val="0"/>
                <w:sz w:val="21"/>
                <w:szCs w:val="21"/>
              </w:rPr>
              <w:t>“双随机”监管清单数</w:t>
            </w:r>
          </w:p>
        </w:tc>
        <w:tc>
          <w:tcPr>
            <w:tcW w:w="993" w:type="dxa"/>
            <w:tcBorders>
              <w:top w:val="single" w:color="auto" w:sz="4" w:space="0"/>
              <w:left w:val="single" w:color="auto" w:sz="4" w:space="0"/>
              <w:bottom w:val="single" w:color="auto" w:sz="4" w:space="0"/>
              <w:right w:val="single" w:color="auto" w:sz="4" w:space="0"/>
            </w:tcBorders>
            <w:vAlign w:val="center"/>
          </w:tcPr>
          <w:p w14:paraId="4266D23F">
            <w:pPr>
              <w:autoSpaceDE w:val="0"/>
              <w:spacing w:line="240" w:lineRule="auto"/>
              <w:ind w:firstLine="0" w:firstLineChars="0"/>
              <w:jc w:val="center"/>
              <w:rPr>
                <w:rFonts w:cs="仿宋"/>
                <w:spacing w:val="0"/>
                <w:sz w:val="21"/>
                <w:szCs w:val="21"/>
              </w:rPr>
            </w:pPr>
            <w:r>
              <w:rPr>
                <w:rFonts w:hint="eastAsia" w:cs="仿宋"/>
                <w:spacing w:val="0"/>
                <w:sz w:val="21"/>
                <w:szCs w:val="21"/>
              </w:rPr>
              <w:t>3</w:t>
            </w:r>
          </w:p>
        </w:tc>
        <w:tc>
          <w:tcPr>
            <w:tcW w:w="1523" w:type="dxa"/>
            <w:tcBorders>
              <w:top w:val="single" w:color="auto" w:sz="4" w:space="0"/>
              <w:left w:val="single" w:color="auto" w:sz="4" w:space="0"/>
              <w:bottom w:val="single" w:color="auto" w:sz="4" w:space="0"/>
              <w:right w:val="single" w:color="auto" w:sz="4" w:space="0"/>
            </w:tcBorders>
            <w:vAlign w:val="center"/>
          </w:tcPr>
          <w:p w14:paraId="3C411B05">
            <w:pPr>
              <w:autoSpaceDE w:val="0"/>
              <w:spacing w:line="240" w:lineRule="auto"/>
              <w:ind w:firstLine="0" w:firstLineChars="0"/>
              <w:jc w:val="center"/>
              <w:rPr>
                <w:kern w:val="0"/>
                <w:sz w:val="21"/>
                <w:szCs w:val="21"/>
              </w:rPr>
            </w:pPr>
            <w:r>
              <w:rPr>
                <w:rFonts w:hint="eastAsia"/>
                <w:kern w:val="0"/>
                <w:sz w:val="21"/>
                <w:szCs w:val="21"/>
              </w:rPr>
              <w:t>≥440项</w:t>
            </w:r>
          </w:p>
        </w:tc>
        <w:tc>
          <w:tcPr>
            <w:tcW w:w="1134" w:type="dxa"/>
            <w:tcBorders>
              <w:top w:val="single" w:color="auto" w:sz="4" w:space="0"/>
              <w:left w:val="single" w:color="auto" w:sz="4" w:space="0"/>
              <w:bottom w:val="single" w:color="auto" w:sz="4" w:space="0"/>
              <w:right w:val="single" w:color="auto" w:sz="4" w:space="0"/>
            </w:tcBorders>
            <w:vAlign w:val="center"/>
          </w:tcPr>
          <w:p w14:paraId="46B280B0">
            <w:pPr>
              <w:autoSpaceDE w:val="0"/>
              <w:spacing w:line="240" w:lineRule="auto"/>
              <w:ind w:firstLine="0" w:firstLineChars="0"/>
              <w:jc w:val="center"/>
              <w:rPr>
                <w:kern w:val="0"/>
                <w:sz w:val="21"/>
                <w:szCs w:val="21"/>
              </w:rPr>
            </w:pPr>
            <w:r>
              <w:rPr>
                <w:rFonts w:hint="eastAsia"/>
                <w:kern w:val="0"/>
                <w:sz w:val="21"/>
                <w:szCs w:val="21"/>
              </w:rPr>
              <w:t>440项</w:t>
            </w:r>
          </w:p>
        </w:tc>
        <w:tc>
          <w:tcPr>
            <w:tcW w:w="1122" w:type="dxa"/>
            <w:tcBorders>
              <w:top w:val="single" w:color="auto" w:sz="4" w:space="0"/>
              <w:left w:val="single" w:color="auto" w:sz="4" w:space="0"/>
              <w:bottom w:val="single" w:color="auto" w:sz="4" w:space="0"/>
              <w:right w:val="single" w:color="auto" w:sz="4" w:space="0"/>
            </w:tcBorders>
            <w:vAlign w:val="center"/>
          </w:tcPr>
          <w:p w14:paraId="244D851D">
            <w:pPr>
              <w:autoSpaceDE w:val="0"/>
              <w:spacing w:line="240" w:lineRule="auto"/>
              <w:ind w:firstLine="0" w:firstLineChars="0"/>
              <w:jc w:val="center"/>
              <w:rPr>
                <w:rFonts w:cs="仿宋"/>
                <w:spacing w:val="0"/>
                <w:sz w:val="21"/>
                <w:szCs w:val="21"/>
              </w:rPr>
            </w:pPr>
            <w:r>
              <w:rPr>
                <w:rFonts w:hint="eastAsia" w:cs="仿宋"/>
                <w:spacing w:val="0"/>
                <w:sz w:val="21"/>
                <w:szCs w:val="21"/>
              </w:rPr>
              <w:t>3</w:t>
            </w:r>
          </w:p>
        </w:tc>
      </w:tr>
      <w:tr w14:paraId="3262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4F0FA9CD">
            <w:pPr>
              <w:autoSpaceDE w:val="0"/>
              <w:spacing w:line="240" w:lineRule="auto"/>
              <w:ind w:firstLine="0" w:firstLineChars="0"/>
              <w:jc w:val="center"/>
              <w:rPr>
                <w:rFonts w:cs="仿宋"/>
                <w:spacing w:val="0"/>
                <w:sz w:val="21"/>
                <w:szCs w:val="21"/>
                <w:highlight w:val="yellow"/>
              </w:rPr>
            </w:pPr>
            <w:r>
              <w:rPr>
                <w:rFonts w:hint="eastAsia" w:cs="仿宋"/>
                <w:spacing w:val="0"/>
                <w:sz w:val="21"/>
                <w:szCs w:val="21"/>
              </w:rPr>
              <w:t>重点监管清单数</w:t>
            </w:r>
          </w:p>
        </w:tc>
        <w:tc>
          <w:tcPr>
            <w:tcW w:w="993" w:type="dxa"/>
            <w:tcBorders>
              <w:top w:val="single" w:color="auto" w:sz="4" w:space="0"/>
              <w:left w:val="single" w:color="auto" w:sz="4" w:space="0"/>
              <w:bottom w:val="single" w:color="auto" w:sz="4" w:space="0"/>
              <w:right w:val="single" w:color="auto" w:sz="4" w:space="0"/>
            </w:tcBorders>
            <w:vAlign w:val="center"/>
          </w:tcPr>
          <w:p w14:paraId="36B3CCA2">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523" w:type="dxa"/>
            <w:tcBorders>
              <w:top w:val="single" w:color="auto" w:sz="4" w:space="0"/>
              <w:left w:val="single" w:color="auto" w:sz="4" w:space="0"/>
              <w:bottom w:val="single" w:color="auto" w:sz="4" w:space="0"/>
              <w:right w:val="single" w:color="auto" w:sz="4" w:space="0"/>
            </w:tcBorders>
            <w:vAlign w:val="center"/>
          </w:tcPr>
          <w:p w14:paraId="3FAFB527">
            <w:pPr>
              <w:autoSpaceDE w:val="0"/>
              <w:spacing w:line="240" w:lineRule="auto"/>
              <w:ind w:firstLine="0" w:firstLineChars="0"/>
              <w:jc w:val="center"/>
              <w:rPr>
                <w:rFonts w:cs="仿宋"/>
                <w:spacing w:val="0"/>
                <w:sz w:val="21"/>
                <w:szCs w:val="21"/>
              </w:rPr>
            </w:pPr>
            <w:r>
              <w:rPr>
                <w:rFonts w:hint="eastAsia"/>
                <w:kern w:val="0"/>
                <w:sz w:val="21"/>
                <w:szCs w:val="21"/>
              </w:rPr>
              <w:t>≥27项</w:t>
            </w:r>
          </w:p>
        </w:tc>
        <w:tc>
          <w:tcPr>
            <w:tcW w:w="1134" w:type="dxa"/>
            <w:tcBorders>
              <w:top w:val="single" w:color="auto" w:sz="4" w:space="0"/>
              <w:left w:val="single" w:color="auto" w:sz="4" w:space="0"/>
              <w:bottom w:val="single" w:color="auto" w:sz="4" w:space="0"/>
              <w:right w:val="single" w:color="auto" w:sz="4" w:space="0"/>
            </w:tcBorders>
            <w:vAlign w:val="center"/>
          </w:tcPr>
          <w:p w14:paraId="6BBDF0EF">
            <w:pPr>
              <w:autoSpaceDE w:val="0"/>
              <w:spacing w:line="240" w:lineRule="auto"/>
              <w:ind w:firstLine="0" w:firstLineChars="0"/>
              <w:jc w:val="center"/>
              <w:rPr>
                <w:rFonts w:cs="仿宋"/>
                <w:spacing w:val="0"/>
                <w:sz w:val="21"/>
                <w:szCs w:val="21"/>
              </w:rPr>
            </w:pPr>
            <w:r>
              <w:rPr>
                <w:rFonts w:hint="eastAsia" w:cs="仿宋"/>
                <w:spacing w:val="0"/>
                <w:sz w:val="21"/>
                <w:szCs w:val="21"/>
              </w:rPr>
              <w:t>27项</w:t>
            </w:r>
          </w:p>
        </w:tc>
        <w:tc>
          <w:tcPr>
            <w:tcW w:w="1122" w:type="dxa"/>
            <w:tcBorders>
              <w:top w:val="single" w:color="auto" w:sz="4" w:space="0"/>
              <w:left w:val="single" w:color="auto" w:sz="4" w:space="0"/>
              <w:bottom w:val="single" w:color="auto" w:sz="4" w:space="0"/>
              <w:right w:val="single" w:color="auto" w:sz="4" w:space="0"/>
            </w:tcBorders>
            <w:vAlign w:val="center"/>
          </w:tcPr>
          <w:p w14:paraId="38737C77">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bl>
    <w:p w14:paraId="01F57F26">
      <w:pPr>
        <w:adjustRightInd/>
        <w:snapToGrid/>
        <w:ind w:firstLine="664"/>
        <w:contextualSpacing/>
        <w:rPr>
          <w:bCs/>
          <w:sz w:val="32"/>
          <w:szCs w:val="32"/>
        </w:rPr>
      </w:pPr>
      <w:r>
        <w:rPr>
          <w:rFonts w:hint="eastAsia"/>
          <w:bCs/>
          <w:sz w:val="32"/>
          <w:szCs w:val="32"/>
        </w:rPr>
        <w:t>（1）食品安全快检批次</w:t>
      </w:r>
    </w:p>
    <w:p w14:paraId="1AE25EED">
      <w:pPr>
        <w:adjustRightInd/>
        <w:snapToGrid/>
        <w:ind w:firstLine="664"/>
        <w:contextualSpacing/>
        <w:rPr>
          <w:bCs/>
          <w:sz w:val="32"/>
          <w:szCs w:val="32"/>
        </w:rPr>
      </w:pPr>
      <w:r>
        <w:rPr>
          <w:rFonts w:hint="eastAsia"/>
          <w:bCs/>
          <w:sz w:val="32"/>
          <w:szCs w:val="32"/>
        </w:rPr>
        <w:t>2023年，浮梁县市监局计划完成食品安全快检2449</w:t>
      </w:r>
      <w:r>
        <w:rPr>
          <w:bCs/>
          <w:sz w:val="32"/>
          <w:szCs w:val="32"/>
        </w:rPr>
        <w:t>批次，实际完成</w:t>
      </w:r>
      <w:r>
        <w:rPr>
          <w:rFonts w:hint="eastAsia"/>
          <w:bCs/>
          <w:sz w:val="32"/>
          <w:szCs w:val="32"/>
        </w:rPr>
        <w:t>2555批次，达到年度目标值</w:t>
      </w:r>
      <w:r>
        <w:rPr>
          <w:rFonts w:hint="eastAsia"/>
          <w:sz w:val="32"/>
          <w:szCs w:val="32"/>
        </w:rPr>
        <w:t>。因此，依据评分标准，该项指标得2分。</w:t>
      </w:r>
    </w:p>
    <w:p w14:paraId="7827C1D7">
      <w:pPr>
        <w:adjustRightInd/>
        <w:snapToGrid/>
        <w:ind w:firstLine="664"/>
        <w:contextualSpacing/>
        <w:rPr>
          <w:bCs/>
          <w:sz w:val="32"/>
          <w:szCs w:val="32"/>
        </w:rPr>
      </w:pPr>
      <w:r>
        <w:rPr>
          <w:rFonts w:hint="eastAsia"/>
          <w:bCs/>
          <w:sz w:val="32"/>
          <w:szCs w:val="32"/>
        </w:rPr>
        <w:t>（2）食品安全抽检批次</w:t>
      </w:r>
    </w:p>
    <w:p w14:paraId="2AB0434F">
      <w:pPr>
        <w:adjustRightInd/>
        <w:snapToGrid/>
        <w:ind w:firstLine="664"/>
        <w:contextualSpacing/>
        <w:rPr>
          <w:bCs/>
          <w:sz w:val="32"/>
          <w:szCs w:val="32"/>
        </w:rPr>
      </w:pPr>
      <w:r>
        <w:rPr>
          <w:bCs/>
          <w:sz w:val="32"/>
          <w:szCs w:val="32"/>
        </w:rPr>
        <w:t>根据《</w:t>
      </w:r>
      <w:r>
        <w:rPr>
          <w:rFonts w:hint="eastAsia"/>
          <w:bCs/>
          <w:sz w:val="32"/>
          <w:szCs w:val="32"/>
        </w:rPr>
        <w:t>2023年景德镇市食品安全抽检监测计划</w:t>
      </w:r>
      <w:r>
        <w:rPr>
          <w:bCs/>
          <w:sz w:val="32"/>
          <w:szCs w:val="32"/>
        </w:rPr>
        <w:t>》，2023年，浮梁县市监局应完成食品安全抽检</w:t>
      </w:r>
      <w:r>
        <w:rPr>
          <w:rFonts w:hint="eastAsia"/>
          <w:bCs/>
          <w:sz w:val="32"/>
          <w:szCs w:val="32"/>
        </w:rPr>
        <w:t>437批次，截至当年年底，已</w:t>
      </w:r>
      <w:r>
        <w:rPr>
          <w:bCs/>
          <w:sz w:val="32"/>
          <w:szCs w:val="32"/>
        </w:rPr>
        <w:t>对</w:t>
      </w:r>
      <w:r>
        <w:rPr>
          <w:rFonts w:hint="eastAsia"/>
          <w:bCs/>
          <w:sz w:val="32"/>
          <w:szCs w:val="32"/>
        </w:rPr>
        <w:t>浮梁县景北里餐饮有限公司、浮梁县蛟潭中学、浮梁县隆客利鲜生超市等92家单位进行了</w:t>
      </w:r>
      <w:r>
        <w:rPr>
          <w:bCs/>
          <w:sz w:val="32"/>
          <w:szCs w:val="32"/>
        </w:rPr>
        <w:t>食品安全抽检，合计4</w:t>
      </w:r>
      <w:r>
        <w:rPr>
          <w:rFonts w:hint="eastAsia"/>
          <w:bCs/>
          <w:sz w:val="32"/>
          <w:szCs w:val="32"/>
        </w:rPr>
        <w:t>40</w:t>
      </w:r>
      <w:r>
        <w:rPr>
          <w:bCs/>
          <w:sz w:val="32"/>
          <w:szCs w:val="32"/>
        </w:rPr>
        <w:t>批次，达到年度目标值</w:t>
      </w:r>
      <w:r>
        <w:rPr>
          <w:rFonts w:hint="eastAsia"/>
          <w:bCs/>
          <w:sz w:val="32"/>
          <w:szCs w:val="32"/>
        </w:rPr>
        <w:t>。</w:t>
      </w:r>
      <w:r>
        <w:rPr>
          <w:rFonts w:hint="eastAsia"/>
          <w:sz w:val="32"/>
          <w:szCs w:val="32"/>
        </w:rPr>
        <w:t>因此，依据评分标准，该项指标得3分。</w:t>
      </w:r>
    </w:p>
    <w:p w14:paraId="20B5F8C0">
      <w:pPr>
        <w:adjustRightInd/>
        <w:snapToGrid/>
        <w:ind w:firstLine="664"/>
        <w:contextualSpacing/>
        <w:rPr>
          <w:bCs/>
          <w:sz w:val="32"/>
          <w:szCs w:val="32"/>
        </w:rPr>
      </w:pPr>
      <w:r>
        <w:rPr>
          <w:rFonts w:hint="eastAsia"/>
          <w:bCs/>
          <w:sz w:val="32"/>
          <w:szCs w:val="32"/>
        </w:rPr>
        <w:t>（3）工业产品抽检批次</w:t>
      </w:r>
    </w:p>
    <w:p w14:paraId="20CCF04C">
      <w:pPr>
        <w:adjustRightInd/>
        <w:snapToGrid/>
        <w:ind w:firstLine="664"/>
        <w:contextualSpacing/>
        <w:rPr>
          <w:sz w:val="32"/>
          <w:szCs w:val="32"/>
        </w:rPr>
      </w:pPr>
      <w:r>
        <w:rPr>
          <w:rFonts w:hint="eastAsia"/>
          <w:bCs/>
          <w:sz w:val="32"/>
          <w:szCs w:val="32"/>
        </w:rPr>
        <w:t>截至2023年底，浮梁县市监局对浮梁县吉祥烟花爆竹有限公司、浮梁县经公桥五金家电商场、景德镇辰闰物资贸易有限公司等49家企业进行了工业产品抽检，总计40批次，达到年度目标值。</w:t>
      </w:r>
      <w:r>
        <w:rPr>
          <w:rFonts w:hint="eastAsia"/>
          <w:sz w:val="32"/>
          <w:szCs w:val="32"/>
        </w:rPr>
        <w:t>因此，依据评分标准，该项指标得2分。</w:t>
      </w:r>
    </w:p>
    <w:p w14:paraId="6520D7BD">
      <w:pPr>
        <w:adjustRightInd/>
        <w:snapToGrid/>
        <w:ind w:firstLine="664"/>
        <w:contextualSpacing/>
        <w:rPr>
          <w:sz w:val="32"/>
          <w:szCs w:val="32"/>
        </w:rPr>
      </w:pPr>
      <w:r>
        <w:rPr>
          <w:rFonts w:hint="eastAsia"/>
          <w:sz w:val="32"/>
          <w:szCs w:val="32"/>
        </w:rPr>
        <w:t>（4）药品抽检批次</w:t>
      </w:r>
    </w:p>
    <w:p w14:paraId="6FEFCE9A">
      <w:pPr>
        <w:adjustRightInd/>
        <w:snapToGrid/>
        <w:ind w:firstLine="664"/>
        <w:contextualSpacing/>
        <w:rPr>
          <w:sz w:val="32"/>
          <w:szCs w:val="32"/>
        </w:rPr>
      </w:pPr>
      <w:r>
        <w:rPr>
          <w:rFonts w:hint="eastAsia"/>
          <w:sz w:val="32"/>
          <w:szCs w:val="32"/>
        </w:rPr>
        <w:t>2023年6月至7月，</w:t>
      </w:r>
      <w:r>
        <w:rPr>
          <w:rFonts w:hint="eastAsia"/>
          <w:bCs/>
          <w:sz w:val="32"/>
          <w:szCs w:val="32"/>
        </w:rPr>
        <w:t>浮梁县市监局对浮梁县鹅湖人民医院、浮梁县湘湖付裕大药房、浮梁县湘湖镇中心卫生院等6家单位进行了</w:t>
      </w:r>
      <w:r>
        <w:rPr>
          <w:rFonts w:hint="eastAsia"/>
          <w:sz w:val="32"/>
          <w:szCs w:val="32"/>
        </w:rPr>
        <w:t>药品抽检</w:t>
      </w:r>
      <w:r>
        <w:rPr>
          <w:rFonts w:hint="eastAsia"/>
          <w:bCs/>
          <w:sz w:val="32"/>
          <w:szCs w:val="32"/>
        </w:rPr>
        <w:t>工作，合计20批次，达到年度目标值</w:t>
      </w:r>
      <w:r>
        <w:rPr>
          <w:rFonts w:hint="eastAsia"/>
          <w:sz w:val="32"/>
          <w:szCs w:val="32"/>
        </w:rPr>
        <w:t>。因此，依据评分标准，该项指标得2分。</w:t>
      </w:r>
    </w:p>
    <w:p w14:paraId="3085377F">
      <w:pPr>
        <w:adjustRightInd/>
        <w:snapToGrid/>
        <w:ind w:firstLine="664"/>
        <w:contextualSpacing/>
        <w:rPr>
          <w:sz w:val="32"/>
          <w:szCs w:val="32"/>
        </w:rPr>
      </w:pPr>
      <w:r>
        <w:rPr>
          <w:rFonts w:hint="eastAsia"/>
          <w:sz w:val="32"/>
          <w:szCs w:val="32"/>
        </w:rPr>
        <w:t>（5） “双随机”监管清单数</w:t>
      </w:r>
    </w:p>
    <w:p w14:paraId="53BE7696">
      <w:pPr>
        <w:adjustRightInd/>
        <w:snapToGrid/>
        <w:ind w:firstLine="664"/>
        <w:contextualSpacing/>
        <w:rPr>
          <w:sz w:val="32"/>
          <w:szCs w:val="32"/>
        </w:rPr>
      </w:pPr>
      <w:r>
        <w:rPr>
          <w:rFonts w:hint="eastAsia"/>
          <w:sz w:val="32"/>
          <w:szCs w:val="32"/>
        </w:rPr>
        <w:t>2023年，</w:t>
      </w:r>
      <w:r>
        <w:rPr>
          <w:rFonts w:hint="eastAsia"/>
          <w:bCs/>
          <w:sz w:val="32"/>
          <w:szCs w:val="32"/>
        </w:rPr>
        <w:t>浮梁县市监局“双随机”监管清单中列有440项，即需对440家被抽查单位进行抽样检查，截至当年年底，该任务已全部完成。</w:t>
      </w:r>
      <w:r>
        <w:rPr>
          <w:rFonts w:hint="eastAsia"/>
          <w:sz w:val="32"/>
          <w:szCs w:val="32"/>
        </w:rPr>
        <w:t>因此，依据评分标准，该项指标得2分。</w:t>
      </w:r>
    </w:p>
    <w:p w14:paraId="599DF22F">
      <w:pPr>
        <w:adjustRightInd/>
        <w:snapToGrid/>
        <w:ind w:firstLine="664"/>
        <w:contextualSpacing/>
        <w:rPr>
          <w:sz w:val="32"/>
          <w:szCs w:val="32"/>
        </w:rPr>
      </w:pPr>
      <w:r>
        <w:rPr>
          <w:rFonts w:hint="eastAsia"/>
          <w:sz w:val="32"/>
          <w:szCs w:val="32"/>
        </w:rPr>
        <w:t>（6）重点监管清单数</w:t>
      </w:r>
    </w:p>
    <w:p w14:paraId="3495FFD6">
      <w:pPr>
        <w:adjustRightInd/>
        <w:snapToGrid/>
        <w:ind w:firstLine="664"/>
        <w:contextualSpacing/>
        <w:rPr>
          <w:sz w:val="32"/>
          <w:szCs w:val="32"/>
        </w:rPr>
      </w:pPr>
      <w:r>
        <w:rPr>
          <w:rFonts w:hint="eastAsia"/>
          <w:sz w:val="32"/>
          <w:szCs w:val="32"/>
        </w:rPr>
        <w:t>2023年，</w:t>
      </w:r>
      <w:r>
        <w:rPr>
          <w:rFonts w:hint="eastAsia"/>
          <w:bCs/>
          <w:sz w:val="32"/>
          <w:szCs w:val="32"/>
        </w:rPr>
        <w:t>浮梁县市监局重点监管清单涉及27个子项。</w:t>
      </w:r>
      <w:r>
        <w:rPr>
          <w:bCs/>
          <w:sz w:val="32"/>
          <w:szCs w:val="32"/>
        </w:rPr>
        <w:t>截至当年年底，浮梁县市监局已完成了</w:t>
      </w:r>
      <w:r>
        <w:rPr>
          <w:rFonts w:hint="eastAsia"/>
          <w:bCs/>
          <w:sz w:val="32"/>
          <w:szCs w:val="32"/>
        </w:rPr>
        <w:t>对保健食品生产企业、发生食品安全事故风险较高的餐饮服务经营者、特种设备作业人员等27个年度重点监管子项的行政检查工作</w:t>
      </w:r>
      <w:r>
        <w:rPr>
          <w:bCs/>
          <w:sz w:val="32"/>
          <w:szCs w:val="32"/>
        </w:rPr>
        <w:t>。</w:t>
      </w:r>
      <w:r>
        <w:rPr>
          <w:rFonts w:hint="eastAsia"/>
          <w:sz w:val="32"/>
          <w:szCs w:val="32"/>
        </w:rPr>
        <w:t>因此，依据评分标准，该项指标得2分。</w:t>
      </w:r>
    </w:p>
    <w:p w14:paraId="58D38054">
      <w:pPr>
        <w:adjustRightInd/>
        <w:snapToGrid/>
        <w:ind w:firstLine="667"/>
        <w:contextualSpacing/>
        <w:rPr>
          <w:b/>
          <w:sz w:val="32"/>
          <w:szCs w:val="32"/>
        </w:rPr>
      </w:pPr>
      <w:r>
        <w:rPr>
          <w:rFonts w:hint="eastAsia"/>
          <w:b/>
          <w:sz w:val="32"/>
          <w:szCs w:val="32"/>
        </w:rPr>
        <w:t>2.</w:t>
      </w:r>
      <w:r>
        <w:rPr>
          <w:b/>
          <w:sz w:val="32"/>
          <w:szCs w:val="32"/>
        </w:rPr>
        <w:t>产出</w:t>
      </w:r>
      <w:r>
        <w:rPr>
          <w:rFonts w:hint="eastAsia"/>
          <w:b/>
          <w:sz w:val="32"/>
          <w:szCs w:val="32"/>
        </w:rPr>
        <w:t>质量</w:t>
      </w:r>
      <w:r>
        <w:rPr>
          <w:b/>
          <w:sz w:val="32"/>
          <w:szCs w:val="32"/>
        </w:rPr>
        <w:t>情况分析</w:t>
      </w:r>
    </w:p>
    <w:p w14:paraId="3C63B130">
      <w:pPr>
        <w:adjustRightInd/>
        <w:snapToGrid/>
        <w:ind w:firstLine="664"/>
        <w:contextualSpacing/>
        <w:rPr>
          <w:rFonts w:cs="Times New Roman"/>
          <w:sz w:val="32"/>
          <w:szCs w:val="32"/>
        </w:rPr>
      </w:pPr>
      <w:r>
        <w:rPr>
          <w:rFonts w:hint="eastAsia"/>
          <w:sz w:val="32"/>
          <w:szCs w:val="32"/>
        </w:rPr>
        <w:t>产出质量情况主要评价部门产出的质量达标情况。该部分满分9分，得分8.65分，得分率为96.11%。</w:t>
      </w:r>
      <w:r>
        <w:rPr>
          <w:rFonts w:hint="eastAsia" w:cs="Times New Roman"/>
          <w:sz w:val="32"/>
          <w:szCs w:val="32"/>
        </w:rPr>
        <w:t>和绩效分值见表4-10：</w:t>
      </w:r>
    </w:p>
    <w:p w14:paraId="0D569400">
      <w:pPr>
        <w:ind w:firstLine="0" w:firstLineChars="0"/>
        <w:jc w:val="center"/>
        <w:rPr>
          <w:rFonts w:ascii="黑体" w:hAnsi="黑体" w:eastAsia="黑体" w:cs="Times New Roman"/>
          <w:sz w:val="21"/>
          <w:szCs w:val="24"/>
        </w:rPr>
      </w:pPr>
      <w:r>
        <w:rPr>
          <w:rFonts w:hint="eastAsia" w:ascii="黑体" w:hAnsi="黑体" w:eastAsia="黑体" w:cs="Times New Roman"/>
          <w:sz w:val="21"/>
          <w:szCs w:val="24"/>
        </w:rPr>
        <w:t>表4-10  产出质量情况业绩值及分值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993"/>
        <w:gridCol w:w="1275"/>
        <w:gridCol w:w="1276"/>
        <w:gridCol w:w="1228"/>
      </w:tblGrid>
      <w:tr w14:paraId="2466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70" w:type="dxa"/>
            <w:tcBorders>
              <w:top w:val="single" w:color="auto" w:sz="4" w:space="0"/>
              <w:left w:val="single" w:color="auto" w:sz="4" w:space="0"/>
              <w:bottom w:val="single" w:color="auto" w:sz="4" w:space="0"/>
              <w:right w:val="single" w:color="auto" w:sz="4" w:space="0"/>
            </w:tcBorders>
            <w:vAlign w:val="center"/>
          </w:tcPr>
          <w:p w14:paraId="67287BDE">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993" w:type="dxa"/>
            <w:tcBorders>
              <w:top w:val="single" w:color="auto" w:sz="4" w:space="0"/>
              <w:left w:val="single" w:color="auto" w:sz="4" w:space="0"/>
              <w:bottom w:val="single" w:color="auto" w:sz="4" w:space="0"/>
              <w:right w:val="single" w:color="auto" w:sz="4" w:space="0"/>
            </w:tcBorders>
            <w:vAlign w:val="center"/>
          </w:tcPr>
          <w:p w14:paraId="11EAD81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275" w:type="dxa"/>
            <w:tcBorders>
              <w:top w:val="single" w:color="auto" w:sz="4" w:space="0"/>
              <w:left w:val="single" w:color="auto" w:sz="4" w:space="0"/>
              <w:bottom w:val="single" w:color="auto" w:sz="4" w:space="0"/>
              <w:right w:val="single" w:color="auto" w:sz="4" w:space="0"/>
            </w:tcBorders>
            <w:vAlign w:val="center"/>
          </w:tcPr>
          <w:p w14:paraId="1D5A031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276" w:type="dxa"/>
            <w:tcBorders>
              <w:top w:val="single" w:color="auto" w:sz="4" w:space="0"/>
              <w:left w:val="single" w:color="auto" w:sz="4" w:space="0"/>
              <w:bottom w:val="single" w:color="auto" w:sz="4" w:space="0"/>
              <w:right w:val="single" w:color="auto" w:sz="4" w:space="0"/>
            </w:tcBorders>
            <w:vAlign w:val="center"/>
          </w:tcPr>
          <w:p w14:paraId="780595AB">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228" w:type="dxa"/>
            <w:tcBorders>
              <w:top w:val="single" w:color="auto" w:sz="4" w:space="0"/>
              <w:left w:val="single" w:color="auto" w:sz="4" w:space="0"/>
              <w:bottom w:val="single" w:color="auto" w:sz="4" w:space="0"/>
              <w:right w:val="single" w:color="auto" w:sz="4" w:space="0"/>
            </w:tcBorders>
            <w:vAlign w:val="center"/>
          </w:tcPr>
          <w:p w14:paraId="2627DA03">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506E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2BF95CED">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993" w:type="dxa"/>
            <w:tcBorders>
              <w:top w:val="single" w:color="auto" w:sz="4" w:space="0"/>
              <w:left w:val="single" w:color="auto" w:sz="4" w:space="0"/>
              <w:bottom w:val="single" w:color="auto" w:sz="4" w:space="0"/>
              <w:right w:val="single" w:color="auto" w:sz="4" w:space="0"/>
            </w:tcBorders>
            <w:vAlign w:val="center"/>
          </w:tcPr>
          <w:p w14:paraId="6157B40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9</w:t>
            </w:r>
          </w:p>
        </w:tc>
        <w:tc>
          <w:tcPr>
            <w:tcW w:w="1275" w:type="dxa"/>
            <w:tcBorders>
              <w:top w:val="single" w:color="auto" w:sz="4" w:space="0"/>
              <w:left w:val="single" w:color="auto" w:sz="4" w:space="0"/>
              <w:bottom w:val="single" w:color="auto" w:sz="4" w:space="0"/>
              <w:right w:val="single" w:color="auto" w:sz="4" w:space="0"/>
            </w:tcBorders>
            <w:vAlign w:val="center"/>
          </w:tcPr>
          <w:p w14:paraId="5A79D639">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27B6315A">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014DE8C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8.65</w:t>
            </w:r>
          </w:p>
        </w:tc>
      </w:tr>
      <w:tr w14:paraId="20B9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427B49BE">
            <w:pPr>
              <w:autoSpaceDE w:val="0"/>
              <w:spacing w:line="240" w:lineRule="auto"/>
              <w:ind w:firstLine="0" w:firstLineChars="0"/>
              <w:jc w:val="center"/>
              <w:rPr>
                <w:rFonts w:cs="仿宋"/>
                <w:spacing w:val="0"/>
                <w:sz w:val="21"/>
                <w:szCs w:val="21"/>
              </w:rPr>
            </w:pPr>
            <w:r>
              <w:rPr>
                <w:rFonts w:hint="eastAsia" w:cs="仿宋"/>
                <w:spacing w:val="0"/>
                <w:sz w:val="21"/>
                <w:szCs w:val="21"/>
              </w:rPr>
              <w:t>食品安全抽检合格率</w:t>
            </w:r>
          </w:p>
        </w:tc>
        <w:tc>
          <w:tcPr>
            <w:tcW w:w="993" w:type="dxa"/>
            <w:tcBorders>
              <w:top w:val="single" w:color="auto" w:sz="4" w:space="0"/>
              <w:left w:val="single" w:color="auto" w:sz="4" w:space="0"/>
              <w:bottom w:val="single" w:color="auto" w:sz="4" w:space="0"/>
              <w:right w:val="single" w:color="auto" w:sz="4" w:space="0"/>
            </w:tcBorders>
            <w:vAlign w:val="center"/>
          </w:tcPr>
          <w:p w14:paraId="48DD6A20">
            <w:pPr>
              <w:autoSpaceDE w:val="0"/>
              <w:spacing w:line="240" w:lineRule="auto"/>
              <w:ind w:firstLine="0" w:firstLineChars="0"/>
              <w:jc w:val="center"/>
              <w:rPr>
                <w:rFonts w:cs="仿宋"/>
                <w:bCs/>
                <w:spacing w:val="0"/>
                <w:sz w:val="21"/>
                <w:szCs w:val="21"/>
              </w:rPr>
            </w:pPr>
            <w:r>
              <w:rPr>
                <w:rFonts w:hint="eastAsia" w:cs="仿宋"/>
                <w:bCs/>
                <w:spacing w:val="0"/>
                <w:sz w:val="21"/>
                <w:szCs w:val="21"/>
              </w:rPr>
              <w:t>2</w:t>
            </w:r>
          </w:p>
        </w:tc>
        <w:tc>
          <w:tcPr>
            <w:tcW w:w="1275" w:type="dxa"/>
            <w:tcBorders>
              <w:top w:val="single" w:color="auto" w:sz="4" w:space="0"/>
              <w:left w:val="single" w:color="auto" w:sz="4" w:space="0"/>
              <w:bottom w:val="single" w:color="auto" w:sz="4" w:space="0"/>
              <w:right w:val="single" w:color="auto" w:sz="4" w:space="0"/>
            </w:tcBorders>
            <w:vAlign w:val="center"/>
          </w:tcPr>
          <w:p w14:paraId="53D61E78">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4525D433">
            <w:pPr>
              <w:autoSpaceDE w:val="0"/>
              <w:spacing w:line="240" w:lineRule="auto"/>
              <w:ind w:firstLine="0" w:firstLineChars="0"/>
              <w:jc w:val="center"/>
              <w:rPr>
                <w:rFonts w:cs="仿宋"/>
                <w:spacing w:val="0"/>
                <w:sz w:val="21"/>
                <w:szCs w:val="21"/>
              </w:rPr>
            </w:pPr>
            <w:r>
              <w:rPr>
                <w:rFonts w:cs="仿宋"/>
                <w:spacing w:val="0"/>
                <w:sz w:val="21"/>
                <w:szCs w:val="21"/>
              </w:rPr>
              <w:t>97.95%</w:t>
            </w:r>
          </w:p>
        </w:tc>
        <w:tc>
          <w:tcPr>
            <w:tcW w:w="1228" w:type="dxa"/>
            <w:tcBorders>
              <w:top w:val="single" w:color="auto" w:sz="4" w:space="0"/>
              <w:left w:val="single" w:color="auto" w:sz="4" w:space="0"/>
              <w:bottom w:val="single" w:color="auto" w:sz="4" w:space="0"/>
              <w:right w:val="single" w:color="auto" w:sz="4" w:space="0"/>
            </w:tcBorders>
            <w:vAlign w:val="center"/>
          </w:tcPr>
          <w:p w14:paraId="3C93BDA0">
            <w:pPr>
              <w:autoSpaceDE w:val="0"/>
              <w:spacing w:line="240" w:lineRule="auto"/>
              <w:ind w:firstLine="0" w:firstLineChars="0"/>
              <w:jc w:val="center"/>
              <w:rPr>
                <w:rFonts w:cs="仿宋"/>
                <w:bCs/>
                <w:spacing w:val="0"/>
                <w:sz w:val="21"/>
                <w:szCs w:val="21"/>
              </w:rPr>
            </w:pPr>
            <w:r>
              <w:rPr>
                <w:rFonts w:hint="eastAsia" w:cs="仿宋"/>
                <w:bCs/>
                <w:spacing w:val="0"/>
                <w:sz w:val="21"/>
                <w:szCs w:val="21"/>
              </w:rPr>
              <w:t>1.90</w:t>
            </w:r>
          </w:p>
        </w:tc>
      </w:tr>
      <w:tr w14:paraId="2C6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3DB629B9">
            <w:pPr>
              <w:autoSpaceDE w:val="0"/>
              <w:spacing w:line="240" w:lineRule="auto"/>
              <w:ind w:firstLine="0" w:firstLineChars="0"/>
              <w:jc w:val="center"/>
              <w:rPr>
                <w:rFonts w:cs="仿宋"/>
                <w:spacing w:val="0"/>
                <w:sz w:val="21"/>
                <w:szCs w:val="21"/>
              </w:rPr>
            </w:pPr>
            <w:r>
              <w:rPr>
                <w:rFonts w:hint="eastAsia" w:cs="仿宋"/>
                <w:spacing w:val="0"/>
                <w:sz w:val="21"/>
                <w:szCs w:val="21"/>
              </w:rPr>
              <w:t>工业产品抽检合格率</w:t>
            </w:r>
          </w:p>
        </w:tc>
        <w:tc>
          <w:tcPr>
            <w:tcW w:w="993" w:type="dxa"/>
            <w:tcBorders>
              <w:top w:val="single" w:color="auto" w:sz="4" w:space="0"/>
              <w:left w:val="single" w:color="auto" w:sz="4" w:space="0"/>
              <w:bottom w:val="single" w:color="auto" w:sz="4" w:space="0"/>
              <w:right w:val="single" w:color="auto" w:sz="4" w:space="0"/>
            </w:tcBorders>
            <w:vAlign w:val="center"/>
          </w:tcPr>
          <w:p w14:paraId="42216B2D">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4EC0DF24">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7EB4A626">
            <w:pPr>
              <w:autoSpaceDE w:val="0"/>
              <w:spacing w:line="240" w:lineRule="auto"/>
              <w:ind w:firstLine="0" w:firstLineChars="0"/>
              <w:jc w:val="center"/>
              <w:rPr>
                <w:rFonts w:cs="仿宋"/>
                <w:spacing w:val="0"/>
                <w:sz w:val="21"/>
                <w:szCs w:val="21"/>
              </w:rPr>
            </w:pPr>
            <w:r>
              <w:rPr>
                <w:rFonts w:cs="仿宋"/>
                <w:spacing w:val="0"/>
                <w:sz w:val="21"/>
                <w:szCs w:val="21"/>
              </w:rPr>
              <w:t>90%</w:t>
            </w:r>
          </w:p>
        </w:tc>
        <w:tc>
          <w:tcPr>
            <w:tcW w:w="1228" w:type="dxa"/>
            <w:tcBorders>
              <w:top w:val="single" w:color="auto" w:sz="4" w:space="0"/>
              <w:left w:val="single" w:color="auto" w:sz="4" w:space="0"/>
              <w:bottom w:val="single" w:color="auto" w:sz="4" w:space="0"/>
              <w:right w:val="single" w:color="auto" w:sz="4" w:space="0"/>
            </w:tcBorders>
            <w:vAlign w:val="center"/>
          </w:tcPr>
          <w:p w14:paraId="4BA66D53">
            <w:pPr>
              <w:autoSpaceDE w:val="0"/>
              <w:spacing w:line="240" w:lineRule="auto"/>
              <w:ind w:firstLine="0" w:firstLineChars="0"/>
              <w:jc w:val="center"/>
              <w:rPr>
                <w:rFonts w:cs="仿宋"/>
                <w:bCs/>
                <w:spacing w:val="0"/>
                <w:sz w:val="21"/>
                <w:szCs w:val="21"/>
              </w:rPr>
            </w:pPr>
            <w:r>
              <w:rPr>
                <w:rFonts w:hint="eastAsia" w:cs="仿宋"/>
                <w:bCs/>
                <w:spacing w:val="0"/>
                <w:sz w:val="21"/>
                <w:szCs w:val="21"/>
              </w:rPr>
              <w:t>0.75</w:t>
            </w:r>
          </w:p>
        </w:tc>
      </w:tr>
      <w:tr w14:paraId="6FB0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7D0EFB96">
            <w:pPr>
              <w:autoSpaceDE w:val="0"/>
              <w:spacing w:line="240" w:lineRule="auto"/>
              <w:ind w:firstLine="0" w:firstLineChars="0"/>
              <w:jc w:val="center"/>
              <w:rPr>
                <w:rFonts w:cs="仿宋"/>
                <w:spacing w:val="0"/>
                <w:sz w:val="21"/>
                <w:szCs w:val="21"/>
              </w:rPr>
            </w:pPr>
            <w:r>
              <w:rPr>
                <w:rFonts w:hint="eastAsia" w:cs="仿宋"/>
                <w:spacing w:val="0"/>
                <w:sz w:val="21"/>
                <w:szCs w:val="21"/>
              </w:rPr>
              <w:t>药品抽检合格率</w:t>
            </w:r>
          </w:p>
        </w:tc>
        <w:tc>
          <w:tcPr>
            <w:tcW w:w="993" w:type="dxa"/>
            <w:tcBorders>
              <w:top w:val="single" w:color="auto" w:sz="4" w:space="0"/>
              <w:left w:val="single" w:color="auto" w:sz="4" w:space="0"/>
              <w:bottom w:val="single" w:color="auto" w:sz="4" w:space="0"/>
              <w:right w:val="single" w:color="auto" w:sz="4" w:space="0"/>
            </w:tcBorders>
            <w:vAlign w:val="center"/>
          </w:tcPr>
          <w:p w14:paraId="5F2B702C">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6C575F09">
            <w:pPr>
              <w:autoSpaceDE w:val="0"/>
              <w:spacing w:line="240" w:lineRule="auto"/>
              <w:ind w:firstLine="0" w:firstLineChars="0"/>
              <w:jc w:val="center"/>
              <w:rPr>
                <w:kern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5B2CC23F">
            <w:pPr>
              <w:autoSpaceDE w:val="0"/>
              <w:spacing w:line="240" w:lineRule="auto"/>
              <w:ind w:firstLine="0" w:firstLineChars="0"/>
              <w:jc w:val="center"/>
              <w:rPr>
                <w:kern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29E8ECBB">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r w14:paraId="1E24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7AB5D312">
            <w:pPr>
              <w:autoSpaceDE w:val="0"/>
              <w:spacing w:line="240" w:lineRule="auto"/>
              <w:ind w:firstLine="0" w:firstLineChars="0"/>
              <w:jc w:val="center"/>
              <w:rPr>
                <w:rFonts w:cs="仿宋"/>
                <w:spacing w:val="0"/>
                <w:sz w:val="21"/>
                <w:szCs w:val="21"/>
              </w:rPr>
            </w:pPr>
            <w:r>
              <w:rPr>
                <w:rFonts w:hint="eastAsia" w:cs="仿宋"/>
                <w:spacing w:val="0"/>
                <w:sz w:val="21"/>
                <w:szCs w:val="21"/>
              </w:rPr>
              <w:t>行政处罚公示情况合格率</w:t>
            </w:r>
          </w:p>
        </w:tc>
        <w:tc>
          <w:tcPr>
            <w:tcW w:w="993" w:type="dxa"/>
            <w:tcBorders>
              <w:top w:val="single" w:color="auto" w:sz="4" w:space="0"/>
              <w:left w:val="single" w:color="auto" w:sz="4" w:space="0"/>
              <w:bottom w:val="single" w:color="auto" w:sz="4" w:space="0"/>
              <w:right w:val="single" w:color="auto" w:sz="4" w:space="0"/>
            </w:tcBorders>
            <w:vAlign w:val="center"/>
          </w:tcPr>
          <w:p w14:paraId="7EE385B1">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7AB7CECB">
            <w:pPr>
              <w:autoSpaceDE w:val="0"/>
              <w:spacing w:line="240" w:lineRule="auto"/>
              <w:ind w:firstLine="0" w:firstLineChars="0"/>
              <w:jc w:val="center"/>
              <w:rPr>
                <w:kern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1A65904B">
            <w:pPr>
              <w:autoSpaceDE w:val="0"/>
              <w:spacing w:line="240" w:lineRule="auto"/>
              <w:ind w:firstLine="0" w:firstLineChars="0"/>
              <w:jc w:val="center"/>
              <w:rPr>
                <w:kern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78C01AE1">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r w14:paraId="6C06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6484DFA5">
            <w:pPr>
              <w:autoSpaceDE w:val="0"/>
              <w:spacing w:line="240" w:lineRule="auto"/>
              <w:ind w:firstLine="0" w:firstLineChars="0"/>
              <w:jc w:val="center"/>
              <w:rPr>
                <w:rFonts w:cs="仿宋"/>
                <w:spacing w:val="0"/>
                <w:sz w:val="21"/>
                <w:szCs w:val="21"/>
              </w:rPr>
            </w:pPr>
            <w:r>
              <w:rPr>
                <w:rFonts w:hint="eastAsia" w:cs="仿宋"/>
                <w:spacing w:val="0"/>
                <w:sz w:val="21"/>
                <w:szCs w:val="21"/>
              </w:rPr>
              <w:t>食品安全检查流程合规率</w:t>
            </w:r>
          </w:p>
        </w:tc>
        <w:tc>
          <w:tcPr>
            <w:tcW w:w="993" w:type="dxa"/>
            <w:tcBorders>
              <w:top w:val="single" w:color="auto" w:sz="4" w:space="0"/>
              <w:left w:val="single" w:color="auto" w:sz="4" w:space="0"/>
              <w:bottom w:val="single" w:color="auto" w:sz="4" w:space="0"/>
              <w:right w:val="single" w:color="auto" w:sz="4" w:space="0"/>
            </w:tcBorders>
            <w:vAlign w:val="center"/>
          </w:tcPr>
          <w:p w14:paraId="56BA5E7A">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2C351453">
            <w:pPr>
              <w:autoSpaceDE w:val="0"/>
              <w:spacing w:line="240" w:lineRule="auto"/>
              <w:ind w:firstLine="0" w:firstLineChars="0"/>
              <w:jc w:val="center"/>
              <w:rPr>
                <w:kern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17034D8E">
            <w:pPr>
              <w:autoSpaceDE w:val="0"/>
              <w:spacing w:line="240" w:lineRule="auto"/>
              <w:ind w:firstLine="0" w:firstLineChars="0"/>
              <w:jc w:val="center"/>
              <w:rPr>
                <w:kern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4246B687">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r w14:paraId="589E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756AE610">
            <w:pPr>
              <w:autoSpaceDE w:val="0"/>
              <w:spacing w:line="240" w:lineRule="auto"/>
              <w:ind w:firstLine="0" w:firstLineChars="0"/>
              <w:jc w:val="center"/>
              <w:rPr>
                <w:rFonts w:cs="仿宋"/>
                <w:spacing w:val="0"/>
                <w:sz w:val="21"/>
                <w:szCs w:val="21"/>
              </w:rPr>
            </w:pPr>
            <w:r>
              <w:rPr>
                <w:rFonts w:hint="eastAsia" w:cs="仿宋"/>
                <w:spacing w:val="0"/>
                <w:sz w:val="21"/>
                <w:szCs w:val="21"/>
              </w:rPr>
              <w:t>“双随机，一公开”</w:t>
            </w:r>
          </w:p>
          <w:p w14:paraId="2559C015">
            <w:pPr>
              <w:autoSpaceDE w:val="0"/>
              <w:spacing w:line="240" w:lineRule="auto"/>
              <w:ind w:firstLine="0" w:firstLineChars="0"/>
              <w:jc w:val="center"/>
              <w:rPr>
                <w:rFonts w:cs="仿宋"/>
                <w:spacing w:val="0"/>
                <w:sz w:val="21"/>
                <w:szCs w:val="21"/>
              </w:rPr>
            </w:pPr>
            <w:r>
              <w:rPr>
                <w:rFonts w:hint="eastAsia" w:cs="仿宋"/>
                <w:spacing w:val="0"/>
                <w:sz w:val="21"/>
                <w:szCs w:val="21"/>
              </w:rPr>
              <w:t>监督检查结果通报率</w:t>
            </w:r>
          </w:p>
        </w:tc>
        <w:tc>
          <w:tcPr>
            <w:tcW w:w="993" w:type="dxa"/>
            <w:tcBorders>
              <w:top w:val="single" w:color="auto" w:sz="4" w:space="0"/>
              <w:left w:val="single" w:color="auto" w:sz="4" w:space="0"/>
              <w:bottom w:val="single" w:color="auto" w:sz="4" w:space="0"/>
              <w:right w:val="single" w:color="auto" w:sz="4" w:space="0"/>
            </w:tcBorders>
            <w:vAlign w:val="center"/>
          </w:tcPr>
          <w:p w14:paraId="09FDDC08">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0E11CFA0">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65243E29">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72384F8E">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r w14:paraId="3821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0B3B4E66">
            <w:pPr>
              <w:autoSpaceDE w:val="0"/>
              <w:spacing w:line="240" w:lineRule="auto"/>
              <w:ind w:firstLine="0" w:firstLineChars="0"/>
              <w:jc w:val="center"/>
              <w:rPr>
                <w:rFonts w:cs="仿宋"/>
                <w:spacing w:val="0"/>
                <w:sz w:val="21"/>
                <w:szCs w:val="21"/>
              </w:rPr>
            </w:pPr>
            <w:r>
              <w:rPr>
                <w:rFonts w:hint="eastAsia" w:cs="仿宋"/>
                <w:spacing w:val="0"/>
                <w:sz w:val="21"/>
                <w:szCs w:val="21"/>
              </w:rPr>
              <w:t>不合格产品处置率</w:t>
            </w:r>
          </w:p>
        </w:tc>
        <w:tc>
          <w:tcPr>
            <w:tcW w:w="993" w:type="dxa"/>
            <w:tcBorders>
              <w:top w:val="single" w:color="auto" w:sz="4" w:space="0"/>
              <w:left w:val="single" w:color="auto" w:sz="4" w:space="0"/>
              <w:bottom w:val="single" w:color="auto" w:sz="4" w:space="0"/>
              <w:right w:val="single" w:color="auto" w:sz="4" w:space="0"/>
            </w:tcBorders>
            <w:vAlign w:val="center"/>
          </w:tcPr>
          <w:p w14:paraId="38FED05C">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5683E94E">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4FD40E8E">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36B3C2B6">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r w14:paraId="7513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5FC3C90B">
            <w:pPr>
              <w:autoSpaceDE w:val="0"/>
              <w:spacing w:line="240" w:lineRule="auto"/>
              <w:ind w:firstLine="0" w:firstLineChars="0"/>
              <w:jc w:val="center"/>
              <w:rPr>
                <w:rFonts w:cs="仿宋"/>
                <w:spacing w:val="0"/>
                <w:sz w:val="21"/>
                <w:szCs w:val="21"/>
              </w:rPr>
            </w:pPr>
            <w:r>
              <w:rPr>
                <w:rFonts w:hint="eastAsia" w:cs="仿宋"/>
                <w:spacing w:val="0"/>
                <w:sz w:val="21"/>
                <w:szCs w:val="21"/>
              </w:rPr>
              <w:t>抽检记录完整性</w:t>
            </w:r>
          </w:p>
        </w:tc>
        <w:tc>
          <w:tcPr>
            <w:tcW w:w="993" w:type="dxa"/>
            <w:tcBorders>
              <w:top w:val="single" w:color="auto" w:sz="4" w:space="0"/>
              <w:left w:val="single" w:color="auto" w:sz="4" w:space="0"/>
              <w:bottom w:val="single" w:color="auto" w:sz="4" w:space="0"/>
              <w:right w:val="single" w:color="auto" w:sz="4" w:space="0"/>
            </w:tcBorders>
            <w:vAlign w:val="center"/>
          </w:tcPr>
          <w:p w14:paraId="4D8AB9A2">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6BDABA07">
            <w:pPr>
              <w:autoSpaceDE w:val="0"/>
              <w:spacing w:line="240" w:lineRule="auto"/>
              <w:ind w:firstLine="0" w:firstLineChars="0"/>
              <w:jc w:val="center"/>
              <w:rPr>
                <w:rFonts w:cs="仿宋"/>
                <w:spacing w:val="0"/>
                <w:sz w:val="21"/>
                <w:szCs w:val="21"/>
              </w:rPr>
            </w:pPr>
            <w:r>
              <w:rPr>
                <w:rFonts w:hint="eastAsia" w:cs="仿宋"/>
                <w:spacing w:val="0"/>
                <w:sz w:val="21"/>
                <w:szCs w:val="21"/>
              </w:rPr>
              <w:t>完整</w:t>
            </w:r>
          </w:p>
        </w:tc>
        <w:tc>
          <w:tcPr>
            <w:tcW w:w="1276" w:type="dxa"/>
            <w:tcBorders>
              <w:top w:val="single" w:color="auto" w:sz="4" w:space="0"/>
              <w:left w:val="single" w:color="auto" w:sz="4" w:space="0"/>
              <w:bottom w:val="single" w:color="auto" w:sz="4" w:space="0"/>
              <w:right w:val="single" w:color="auto" w:sz="4" w:space="0"/>
            </w:tcBorders>
            <w:vAlign w:val="center"/>
          </w:tcPr>
          <w:p w14:paraId="24A2ECB4">
            <w:pPr>
              <w:autoSpaceDE w:val="0"/>
              <w:spacing w:line="240" w:lineRule="auto"/>
              <w:ind w:firstLine="0" w:firstLineChars="0"/>
              <w:jc w:val="center"/>
              <w:rPr>
                <w:rFonts w:cs="仿宋"/>
                <w:spacing w:val="0"/>
                <w:sz w:val="21"/>
                <w:szCs w:val="21"/>
              </w:rPr>
            </w:pPr>
            <w:r>
              <w:rPr>
                <w:rFonts w:hint="eastAsia" w:cs="仿宋"/>
                <w:spacing w:val="0"/>
                <w:sz w:val="21"/>
                <w:szCs w:val="21"/>
              </w:rPr>
              <w:t>完整</w:t>
            </w:r>
          </w:p>
        </w:tc>
        <w:tc>
          <w:tcPr>
            <w:tcW w:w="1228" w:type="dxa"/>
            <w:tcBorders>
              <w:top w:val="single" w:color="auto" w:sz="4" w:space="0"/>
              <w:left w:val="single" w:color="auto" w:sz="4" w:space="0"/>
              <w:bottom w:val="single" w:color="auto" w:sz="4" w:space="0"/>
              <w:right w:val="single" w:color="auto" w:sz="4" w:space="0"/>
            </w:tcBorders>
            <w:vAlign w:val="center"/>
          </w:tcPr>
          <w:p w14:paraId="73439EB4">
            <w:pPr>
              <w:autoSpaceDE w:val="0"/>
              <w:spacing w:line="240" w:lineRule="auto"/>
              <w:ind w:firstLine="0" w:firstLineChars="0"/>
              <w:jc w:val="center"/>
              <w:rPr>
                <w:rFonts w:cs="仿宋"/>
                <w:bCs/>
                <w:spacing w:val="0"/>
                <w:sz w:val="21"/>
                <w:szCs w:val="21"/>
              </w:rPr>
            </w:pPr>
            <w:r>
              <w:rPr>
                <w:rFonts w:hint="eastAsia" w:cs="仿宋"/>
                <w:bCs/>
                <w:spacing w:val="0"/>
                <w:sz w:val="21"/>
                <w:szCs w:val="21"/>
              </w:rPr>
              <w:t>1</w:t>
            </w:r>
          </w:p>
        </w:tc>
      </w:tr>
    </w:tbl>
    <w:p w14:paraId="267C857A">
      <w:pPr>
        <w:adjustRightInd/>
        <w:snapToGrid/>
        <w:ind w:firstLine="664"/>
        <w:contextualSpacing/>
        <w:rPr>
          <w:sz w:val="32"/>
          <w:szCs w:val="32"/>
        </w:rPr>
      </w:pPr>
      <w:r>
        <w:rPr>
          <w:rFonts w:hint="eastAsia"/>
          <w:sz w:val="32"/>
          <w:szCs w:val="32"/>
        </w:rPr>
        <w:t>（1）食品安全抽检合格率</w:t>
      </w:r>
    </w:p>
    <w:p w14:paraId="35B6AF0B">
      <w:pPr>
        <w:adjustRightInd/>
        <w:snapToGrid/>
        <w:ind w:firstLine="664"/>
        <w:contextualSpacing/>
        <w:rPr>
          <w:sz w:val="32"/>
          <w:szCs w:val="32"/>
        </w:rPr>
      </w:pPr>
      <w:r>
        <w:rPr>
          <w:rFonts w:hint="eastAsia"/>
          <w:sz w:val="32"/>
          <w:szCs w:val="32"/>
        </w:rPr>
        <w:t>2023年，浮梁县市监局共进行食品安全抽检440批次，其中不合格产品9批次，食品安全抽检合格率97.95%。因此，依据评分标准，该项指标得1分。</w:t>
      </w:r>
    </w:p>
    <w:p w14:paraId="60B2A587">
      <w:pPr>
        <w:adjustRightInd/>
        <w:snapToGrid/>
        <w:ind w:firstLine="664"/>
        <w:contextualSpacing/>
        <w:rPr>
          <w:sz w:val="32"/>
          <w:szCs w:val="32"/>
        </w:rPr>
      </w:pPr>
      <w:r>
        <w:rPr>
          <w:rFonts w:hint="eastAsia"/>
          <w:sz w:val="32"/>
          <w:szCs w:val="32"/>
        </w:rPr>
        <w:t>（2）工业产品抽检合格率</w:t>
      </w:r>
    </w:p>
    <w:p w14:paraId="1D453417">
      <w:pPr>
        <w:adjustRightInd/>
        <w:snapToGrid/>
        <w:ind w:firstLine="664"/>
        <w:contextualSpacing/>
        <w:rPr>
          <w:sz w:val="32"/>
          <w:szCs w:val="32"/>
        </w:rPr>
      </w:pPr>
      <w:r>
        <w:rPr>
          <w:rFonts w:hint="eastAsia"/>
          <w:sz w:val="32"/>
          <w:szCs w:val="32"/>
        </w:rPr>
        <w:t>2023年，浮梁县市监局对工业产品进行抽检40批次，其中不合格产品4批次，工业产品抽检合格率90%。因此，依据评分标准，该项指标得0.75分。</w:t>
      </w:r>
    </w:p>
    <w:p w14:paraId="2132079A">
      <w:pPr>
        <w:adjustRightInd/>
        <w:snapToGrid/>
        <w:ind w:firstLine="664"/>
        <w:contextualSpacing/>
        <w:rPr>
          <w:sz w:val="32"/>
          <w:szCs w:val="32"/>
        </w:rPr>
      </w:pPr>
      <w:r>
        <w:rPr>
          <w:rFonts w:hint="eastAsia"/>
          <w:sz w:val="32"/>
          <w:szCs w:val="32"/>
        </w:rPr>
        <w:t>（3）药品抽检合格率</w:t>
      </w:r>
    </w:p>
    <w:p w14:paraId="3AB54E09">
      <w:pPr>
        <w:adjustRightInd/>
        <w:snapToGrid/>
        <w:ind w:firstLine="664"/>
        <w:contextualSpacing/>
        <w:rPr>
          <w:sz w:val="32"/>
          <w:szCs w:val="32"/>
        </w:rPr>
      </w:pPr>
      <w:r>
        <w:rPr>
          <w:rFonts w:hint="eastAsia"/>
          <w:sz w:val="32"/>
          <w:szCs w:val="32"/>
        </w:rPr>
        <w:t>2023年，浮梁县市监局进行药品抽检40批次，未检测出不合格产品，药品抽检合格率100%。因此，依据评分标准，该项指标得1分。</w:t>
      </w:r>
    </w:p>
    <w:p w14:paraId="0985F562">
      <w:pPr>
        <w:adjustRightInd/>
        <w:snapToGrid/>
        <w:ind w:firstLine="664"/>
        <w:contextualSpacing/>
        <w:rPr>
          <w:sz w:val="32"/>
          <w:szCs w:val="32"/>
        </w:rPr>
      </w:pPr>
      <w:r>
        <w:rPr>
          <w:rFonts w:hint="eastAsia"/>
          <w:sz w:val="32"/>
          <w:szCs w:val="32"/>
        </w:rPr>
        <w:t>（4）行政处罚公示情况合格率</w:t>
      </w:r>
    </w:p>
    <w:p w14:paraId="7D19B4D5">
      <w:pPr>
        <w:adjustRightInd/>
        <w:snapToGrid/>
        <w:ind w:firstLine="664"/>
        <w:contextualSpacing/>
        <w:rPr>
          <w:sz w:val="32"/>
          <w:szCs w:val="32"/>
        </w:rPr>
      </w:pPr>
      <w:r>
        <w:rPr>
          <w:rFonts w:hint="eastAsia"/>
          <w:sz w:val="32"/>
          <w:szCs w:val="32"/>
        </w:rPr>
        <w:t>截至2023年底，浮梁县市监局共受理行政执法案件61件，其中作出行政处罚59件，均按要求在江西省市场监督管理行政处罚案件管理系统进行了公示，行政处罚公示情况合格率100%。因此，依据评分标准，该项指标得1分。</w:t>
      </w:r>
    </w:p>
    <w:p w14:paraId="62DF0363">
      <w:pPr>
        <w:adjustRightInd/>
        <w:snapToGrid/>
        <w:ind w:firstLine="664"/>
        <w:contextualSpacing/>
        <w:rPr>
          <w:sz w:val="32"/>
          <w:szCs w:val="32"/>
        </w:rPr>
      </w:pPr>
      <w:r>
        <w:rPr>
          <w:rFonts w:hint="eastAsia"/>
          <w:sz w:val="32"/>
          <w:szCs w:val="32"/>
        </w:rPr>
        <w:t>（5）食品安全检查流程合规率</w:t>
      </w:r>
    </w:p>
    <w:p w14:paraId="5C8E782E">
      <w:pPr>
        <w:adjustRightInd/>
        <w:snapToGrid/>
        <w:ind w:firstLine="664"/>
        <w:contextualSpacing/>
        <w:rPr>
          <w:sz w:val="32"/>
          <w:szCs w:val="32"/>
        </w:rPr>
      </w:pPr>
      <w:r>
        <w:rPr>
          <w:rFonts w:hint="eastAsia"/>
          <w:sz w:val="32"/>
          <w:szCs w:val="32"/>
        </w:rPr>
        <w:t>为规范产品质量监督抽查工作，保护消费者的合法权益，浮梁县市监局食品安全检查遵循的是《产品质量监督抽查管理暂行办法》，当年不存在因检查流程不符合相关规定导致重新检查的情况，食品安全检查流程合规率100%</w:t>
      </w:r>
      <w:r>
        <w:rPr>
          <w:rFonts w:hint="eastAsia"/>
          <w:bCs/>
          <w:sz w:val="32"/>
          <w:szCs w:val="32"/>
        </w:rPr>
        <w:t>。</w:t>
      </w:r>
      <w:r>
        <w:rPr>
          <w:rFonts w:hint="eastAsia"/>
          <w:sz w:val="32"/>
          <w:szCs w:val="32"/>
        </w:rPr>
        <w:t>因此，依据评分标准，该项指标得1分。</w:t>
      </w:r>
    </w:p>
    <w:p w14:paraId="20CD554C">
      <w:pPr>
        <w:adjustRightInd/>
        <w:snapToGrid/>
        <w:ind w:firstLine="664"/>
        <w:contextualSpacing/>
        <w:rPr>
          <w:sz w:val="32"/>
          <w:szCs w:val="32"/>
        </w:rPr>
      </w:pPr>
      <w:r>
        <w:rPr>
          <w:rFonts w:hint="eastAsia"/>
          <w:sz w:val="32"/>
          <w:szCs w:val="32"/>
        </w:rPr>
        <w:t>（6）“双随机，一公开”监督检查结果通报率</w:t>
      </w:r>
    </w:p>
    <w:p w14:paraId="2362E72A">
      <w:pPr>
        <w:adjustRightInd/>
        <w:snapToGrid/>
        <w:ind w:firstLine="664"/>
        <w:contextualSpacing/>
        <w:rPr>
          <w:sz w:val="32"/>
          <w:szCs w:val="32"/>
        </w:rPr>
      </w:pPr>
      <w:r>
        <w:rPr>
          <w:rFonts w:hint="eastAsia"/>
          <w:sz w:val="32"/>
          <w:szCs w:val="32"/>
        </w:rPr>
        <w:t>2023年，浮梁县市监局共对440家开展了抽样检查工作，抽查检查结果在国家企业信用信息公示系统（“双随机，一公开”平台-江西）进行了公示通报，“双随机，一公开”监督检查结果通报率100%。因此，依据评分标准，该项指标得1分。</w:t>
      </w:r>
    </w:p>
    <w:p w14:paraId="56DCC5FF">
      <w:pPr>
        <w:adjustRightInd/>
        <w:snapToGrid/>
        <w:ind w:firstLine="664"/>
        <w:contextualSpacing/>
        <w:rPr>
          <w:sz w:val="32"/>
          <w:szCs w:val="32"/>
        </w:rPr>
      </w:pPr>
      <w:r>
        <w:rPr>
          <w:rFonts w:hint="eastAsia"/>
          <w:sz w:val="32"/>
          <w:szCs w:val="32"/>
        </w:rPr>
        <w:t>（7）不合格产品处置率</w:t>
      </w:r>
    </w:p>
    <w:p w14:paraId="644FBB69">
      <w:pPr>
        <w:adjustRightInd/>
        <w:snapToGrid/>
        <w:ind w:firstLine="664"/>
        <w:contextualSpacing/>
        <w:rPr>
          <w:sz w:val="32"/>
          <w:szCs w:val="32"/>
        </w:rPr>
      </w:pPr>
      <w:r>
        <w:rPr>
          <w:rFonts w:hint="eastAsia"/>
          <w:sz w:val="32"/>
          <w:szCs w:val="32"/>
        </w:rPr>
        <w:t>2023年，浮梁县市监局共检测出不合格产品13批次，其中：食品9批次，工业产品4批次，并对不合格产品所属相关单位按照《市场监督管理行政处罚程序规定》进行了处理，不合格产品处置率100%。因此，依据评分标准，该项指标得1分。</w:t>
      </w:r>
    </w:p>
    <w:p w14:paraId="4334D0BC">
      <w:pPr>
        <w:adjustRightInd/>
        <w:snapToGrid/>
        <w:ind w:firstLine="664"/>
        <w:contextualSpacing/>
        <w:rPr>
          <w:sz w:val="32"/>
          <w:szCs w:val="32"/>
        </w:rPr>
      </w:pPr>
      <w:r>
        <w:rPr>
          <w:sz w:val="32"/>
          <w:szCs w:val="32"/>
        </w:rPr>
        <w:t>（</w:t>
      </w:r>
      <w:r>
        <w:rPr>
          <w:rFonts w:hint="eastAsia"/>
          <w:sz w:val="32"/>
          <w:szCs w:val="32"/>
        </w:rPr>
        <w:t>8</w:t>
      </w:r>
      <w:r>
        <w:rPr>
          <w:sz w:val="32"/>
          <w:szCs w:val="32"/>
        </w:rPr>
        <w:t>）</w:t>
      </w:r>
      <w:r>
        <w:rPr>
          <w:rFonts w:hint="eastAsia"/>
          <w:sz w:val="32"/>
          <w:szCs w:val="32"/>
        </w:rPr>
        <w:t>抽检记录完整性</w:t>
      </w:r>
    </w:p>
    <w:p w14:paraId="6AF29C62">
      <w:pPr>
        <w:adjustRightInd/>
        <w:snapToGrid/>
        <w:ind w:firstLine="664"/>
        <w:contextualSpacing/>
        <w:rPr>
          <w:sz w:val="32"/>
          <w:szCs w:val="32"/>
        </w:rPr>
      </w:pPr>
      <w:r>
        <w:rPr>
          <w:rFonts w:hint="eastAsia"/>
          <w:sz w:val="32"/>
          <w:szCs w:val="32"/>
        </w:rPr>
        <w:t>按照《产品质量监督抽查管理暂行办法》相关要求，浮梁县市监局委托第三方抽样进行抽样时，现场抽样前，抽样单位需前往县市监局领取抽样检验抽样单，抽样单上会注明样品名称、样品批号、生产者名称等关键信息，最后连同检测报告交至市场监管部门，抽样记录完整</w:t>
      </w:r>
      <w:r>
        <w:rPr>
          <w:sz w:val="32"/>
          <w:szCs w:val="32"/>
        </w:rPr>
        <w:t>。</w:t>
      </w:r>
      <w:r>
        <w:rPr>
          <w:rFonts w:hint="eastAsia"/>
          <w:sz w:val="32"/>
          <w:szCs w:val="32"/>
        </w:rPr>
        <w:t>因此，依据评分标准，该项指标得1分。</w:t>
      </w:r>
    </w:p>
    <w:p w14:paraId="295C7BB4">
      <w:pPr>
        <w:adjustRightInd/>
        <w:snapToGrid/>
        <w:ind w:firstLine="667"/>
        <w:contextualSpacing/>
        <w:rPr>
          <w:b/>
          <w:sz w:val="32"/>
          <w:szCs w:val="32"/>
        </w:rPr>
      </w:pPr>
      <w:r>
        <w:rPr>
          <w:rFonts w:hint="eastAsia"/>
          <w:b/>
          <w:sz w:val="32"/>
          <w:szCs w:val="32"/>
        </w:rPr>
        <w:t>3.</w:t>
      </w:r>
      <w:r>
        <w:rPr>
          <w:b/>
          <w:sz w:val="32"/>
          <w:szCs w:val="32"/>
        </w:rPr>
        <w:t>产出</w:t>
      </w:r>
      <w:r>
        <w:rPr>
          <w:rFonts w:hint="eastAsia"/>
          <w:b/>
          <w:sz w:val="32"/>
          <w:szCs w:val="32"/>
        </w:rPr>
        <w:t>时效</w:t>
      </w:r>
      <w:r>
        <w:rPr>
          <w:b/>
          <w:sz w:val="32"/>
          <w:szCs w:val="32"/>
        </w:rPr>
        <w:t>情况分析</w:t>
      </w:r>
    </w:p>
    <w:p w14:paraId="4F181F59">
      <w:pPr>
        <w:adjustRightInd/>
        <w:snapToGrid/>
        <w:ind w:firstLine="664"/>
        <w:contextualSpacing/>
        <w:rPr>
          <w:rFonts w:cs="Times New Roman"/>
          <w:sz w:val="32"/>
          <w:szCs w:val="32"/>
        </w:rPr>
      </w:pPr>
      <w:r>
        <w:rPr>
          <w:rFonts w:hint="eastAsia"/>
          <w:sz w:val="32"/>
          <w:szCs w:val="32"/>
        </w:rPr>
        <w:t>产出时效情况主要评价部门产出的时效性。该部分满分3分，得分3分，得分率为100%。</w:t>
      </w:r>
      <w:r>
        <w:rPr>
          <w:rFonts w:hint="eastAsia" w:cs="Times New Roman"/>
          <w:sz w:val="32"/>
          <w:szCs w:val="32"/>
        </w:rPr>
        <w:t>指标的业绩值和绩效分值见表4-11：</w:t>
      </w:r>
    </w:p>
    <w:p w14:paraId="29277186">
      <w:pPr>
        <w:ind w:firstLine="0" w:firstLineChars="0"/>
        <w:jc w:val="center"/>
        <w:rPr>
          <w:rFonts w:ascii="黑体" w:hAnsi="黑体" w:eastAsia="黑体" w:cs="Times New Roman"/>
          <w:sz w:val="21"/>
          <w:szCs w:val="24"/>
        </w:rPr>
      </w:pPr>
      <w:r>
        <w:rPr>
          <w:rFonts w:hint="eastAsia" w:ascii="黑体" w:hAnsi="黑体" w:eastAsia="黑体" w:cs="Times New Roman"/>
          <w:sz w:val="21"/>
          <w:szCs w:val="24"/>
        </w:rPr>
        <w:t>表4-11  产出时效情况业绩值及分值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993"/>
        <w:gridCol w:w="1275"/>
        <w:gridCol w:w="1276"/>
        <w:gridCol w:w="1228"/>
      </w:tblGrid>
      <w:tr w14:paraId="2E76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70" w:type="dxa"/>
            <w:tcBorders>
              <w:top w:val="single" w:color="auto" w:sz="4" w:space="0"/>
              <w:left w:val="single" w:color="auto" w:sz="4" w:space="0"/>
              <w:bottom w:val="single" w:color="auto" w:sz="4" w:space="0"/>
              <w:right w:val="single" w:color="auto" w:sz="4" w:space="0"/>
            </w:tcBorders>
            <w:vAlign w:val="center"/>
          </w:tcPr>
          <w:p w14:paraId="4DA3C710">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993" w:type="dxa"/>
            <w:tcBorders>
              <w:top w:val="single" w:color="auto" w:sz="4" w:space="0"/>
              <w:left w:val="single" w:color="auto" w:sz="4" w:space="0"/>
              <w:bottom w:val="single" w:color="auto" w:sz="4" w:space="0"/>
              <w:right w:val="single" w:color="auto" w:sz="4" w:space="0"/>
            </w:tcBorders>
            <w:vAlign w:val="center"/>
          </w:tcPr>
          <w:p w14:paraId="192F101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275" w:type="dxa"/>
            <w:tcBorders>
              <w:top w:val="single" w:color="auto" w:sz="4" w:space="0"/>
              <w:left w:val="single" w:color="auto" w:sz="4" w:space="0"/>
              <w:bottom w:val="single" w:color="auto" w:sz="4" w:space="0"/>
              <w:right w:val="single" w:color="auto" w:sz="4" w:space="0"/>
            </w:tcBorders>
            <w:vAlign w:val="center"/>
          </w:tcPr>
          <w:p w14:paraId="4FB87B4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276" w:type="dxa"/>
            <w:tcBorders>
              <w:top w:val="single" w:color="auto" w:sz="4" w:space="0"/>
              <w:left w:val="single" w:color="auto" w:sz="4" w:space="0"/>
              <w:bottom w:val="single" w:color="auto" w:sz="4" w:space="0"/>
              <w:right w:val="single" w:color="auto" w:sz="4" w:space="0"/>
            </w:tcBorders>
            <w:vAlign w:val="center"/>
          </w:tcPr>
          <w:p w14:paraId="56A7E5E2">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228" w:type="dxa"/>
            <w:tcBorders>
              <w:top w:val="single" w:color="auto" w:sz="4" w:space="0"/>
              <w:left w:val="single" w:color="auto" w:sz="4" w:space="0"/>
              <w:bottom w:val="single" w:color="auto" w:sz="4" w:space="0"/>
              <w:right w:val="single" w:color="auto" w:sz="4" w:space="0"/>
            </w:tcBorders>
            <w:vAlign w:val="center"/>
          </w:tcPr>
          <w:p w14:paraId="22B9BF5B">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1528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5D9A31C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993" w:type="dxa"/>
            <w:tcBorders>
              <w:top w:val="single" w:color="auto" w:sz="4" w:space="0"/>
              <w:left w:val="single" w:color="auto" w:sz="4" w:space="0"/>
              <w:bottom w:val="single" w:color="auto" w:sz="4" w:space="0"/>
              <w:right w:val="single" w:color="auto" w:sz="4" w:space="0"/>
            </w:tcBorders>
            <w:vAlign w:val="center"/>
          </w:tcPr>
          <w:p w14:paraId="032606AB">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3</w:t>
            </w:r>
          </w:p>
        </w:tc>
        <w:tc>
          <w:tcPr>
            <w:tcW w:w="1275" w:type="dxa"/>
            <w:tcBorders>
              <w:top w:val="single" w:color="auto" w:sz="4" w:space="0"/>
              <w:left w:val="single" w:color="auto" w:sz="4" w:space="0"/>
              <w:bottom w:val="single" w:color="auto" w:sz="4" w:space="0"/>
              <w:right w:val="single" w:color="auto" w:sz="4" w:space="0"/>
            </w:tcBorders>
            <w:vAlign w:val="center"/>
          </w:tcPr>
          <w:p w14:paraId="79C27F3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72122C54">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172965D2">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3</w:t>
            </w:r>
          </w:p>
        </w:tc>
      </w:tr>
      <w:tr w14:paraId="08B0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40064C71">
            <w:pPr>
              <w:autoSpaceDE w:val="0"/>
              <w:spacing w:line="240" w:lineRule="auto"/>
              <w:ind w:firstLine="0" w:firstLineChars="0"/>
              <w:jc w:val="center"/>
              <w:rPr>
                <w:rFonts w:cs="仿宋"/>
                <w:spacing w:val="0"/>
                <w:sz w:val="21"/>
                <w:szCs w:val="21"/>
              </w:rPr>
            </w:pPr>
            <w:r>
              <w:rPr>
                <w:rFonts w:hint="eastAsia" w:cs="仿宋"/>
                <w:spacing w:val="0"/>
                <w:sz w:val="21"/>
                <w:szCs w:val="21"/>
              </w:rPr>
              <w:t>重点工作完成及时率</w:t>
            </w:r>
          </w:p>
        </w:tc>
        <w:tc>
          <w:tcPr>
            <w:tcW w:w="993" w:type="dxa"/>
            <w:tcBorders>
              <w:top w:val="single" w:color="auto" w:sz="4" w:space="0"/>
              <w:left w:val="single" w:color="auto" w:sz="4" w:space="0"/>
              <w:bottom w:val="single" w:color="auto" w:sz="4" w:space="0"/>
              <w:right w:val="single" w:color="auto" w:sz="4" w:space="0"/>
            </w:tcBorders>
            <w:vAlign w:val="center"/>
          </w:tcPr>
          <w:p w14:paraId="0BD5D651">
            <w:pPr>
              <w:autoSpaceDE w:val="0"/>
              <w:spacing w:line="240" w:lineRule="auto"/>
              <w:ind w:firstLine="0" w:firstLineChars="0"/>
              <w:jc w:val="center"/>
              <w:rPr>
                <w:rFonts w:cs="仿宋"/>
                <w:spacing w:val="0"/>
                <w:sz w:val="21"/>
                <w:szCs w:val="21"/>
              </w:rPr>
            </w:pPr>
            <w:r>
              <w:rPr>
                <w:rFonts w:hint="eastAsia" w:cs="仿宋"/>
                <w:spacing w:val="0"/>
                <w:sz w:val="21"/>
                <w:szCs w:val="21"/>
              </w:rPr>
              <w:t>3</w:t>
            </w:r>
          </w:p>
        </w:tc>
        <w:tc>
          <w:tcPr>
            <w:tcW w:w="1275" w:type="dxa"/>
            <w:tcBorders>
              <w:top w:val="single" w:color="auto" w:sz="4" w:space="0"/>
              <w:left w:val="single" w:color="auto" w:sz="4" w:space="0"/>
              <w:bottom w:val="single" w:color="auto" w:sz="4" w:space="0"/>
              <w:right w:val="single" w:color="auto" w:sz="4" w:space="0"/>
            </w:tcBorders>
            <w:vAlign w:val="center"/>
          </w:tcPr>
          <w:p w14:paraId="69A1AD9E">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53B681A8">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26E1A1A8">
            <w:pPr>
              <w:autoSpaceDE w:val="0"/>
              <w:spacing w:line="240" w:lineRule="auto"/>
              <w:ind w:firstLine="0" w:firstLineChars="0"/>
              <w:jc w:val="center"/>
              <w:rPr>
                <w:rFonts w:cs="仿宋"/>
                <w:spacing w:val="0"/>
                <w:sz w:val="21"/>
                <w:szCs w:val="21"/>
              </w:rPr>
            </w:pPr>
            <w:r>
              <w:rPr>
                <w:rFonts w:hint="eastAsia" w:cs="仿宋"/>
                <w:spacing w:val="0"/>
                <w:sz w:val="21"/>
                <w:szCs w:val="21"/>
              </w:rPr>
              <w:t>3</w:t>
            </w:r>
          </w:p>
        </w:tc>
      </w:tr>
    </w:tbl>
    <w:p w14:paraId="02F9BA0B">
      <w:pPr>
        <w:adjustRightInd/>
        <w:snapToGrid/>
        <w:ind w:firstLine="664"/>
        <w:contextualSpacing/>
        <w:rPr>
          <w:bCs/>
          <w:sz w:val="32"/>
          <w:szCs w:val="32"/>
        </w:rPr>
      </w:pPr>
      <w:r>
        <w:rPr>
          <w:rFonts w:hint="eastAsia"/>
          <w:bCs/>
          <w:sz w:val="32"/>
          <w:szCs w:val="32"/>
        </w:rPr>
        <w:t>2023年，浮梁县市监局要求年度内的重点工作（食品快检/抽检、工业产品抽检、药品抽检、江西绿色生态品牌认证等）均需在年底前完成。截至当年年底，各项任务均顺利完成，重点工作完成及时率100%。</w:t>
      </w:r>
      <w:r>
        <w:rPr>
          <w:rFonts w:hint="eastAsia"/>
          <w:sz w:val="32"/>
          <w:szCs w:val="32"/>
        </w:rPr>
        <w:t>因此，依据评分标准，该项指标得3分。</w:t>
      </w:r>
    </w:p>
    <w:p w14:paraId="76BC7742">
      <w:pPr>
        <w:adjustRightInd/>
        <w:snapToGrid/>
        <w:ind w:firstLine="667"/>
        <w:contextualSpacing/>
        <w:rPr>
          <w:b/>
          <w:sz w:val="32"/>
          <w:szCs w:val="32"/>
        </w:rPr>
      </w:pPr>
      <w:r>
        <w:rPr>
          <w:rFonts w:hint="eastAsia"/>
          <w:b/>
          <w:sz w:val="32"/>
          <w:szCs w:val="32"/>
        </w:rPr>
        <w:t>4.</w:t>
      </w:r>
      <w:r>
        <w:rPr>
          <w:b/>
          <w:sz w:val="32"/>
          <w:szCs w:val="32"/>
        </w:rPr>
        <w:t>产出</w:t>
      </w:r>
      <w:r>
        <w:rPr>
          <w:rFonts w:hint="eastAsia"/>
          <w:b/>
          <w:sz w:val="32"/>
          <w:szCs w:val="32"/>
        </w:rPr>
        <w:t>成本</w:t>
      </w:r>
      <w:r>
        <w:rPr>
          <w:b/>
          <w:sz w:val="32"/>
          <w:szCs w:val="32"/>
        </w:rPr>
        <w:t>情况分析</w:t>
      </w:r>
    </w:p>
    <w:p w14:paraId="20CBC4A8">
      <w:pPr>
        <w:adjustRightInd/>
        <w:snapToGrid/>
        <w:ind w:firstLine="664"/>
        <w:contextualSpacing/>
        <w:rPr>
          <w:rFonts w:cs="Times New Roman"/>
          <w:sz w:val="32"/>
          <w:szCs w:val="32"/>
        </w:rPr>
      </w:pPr>
      <w:r>
        <w:rPr>
          <w:rFonts w:hint="eastAsia"/>
          <w:sz w:val="32"/>
          <w:szCs w:val="32"/>
        </w:rPr>
        <w:t>产出成本情况主要评价部门产出的成本控制情况。该部分满分6分，得分6分，得分率为100%。</w:t>
      </w:r>
      <w:r>
        <w:rPr>
          <w:rFonts w:hint="eastAsia" w:cs="Times New Roman"/>
          <w:sz w:val="32"/>
          <w:szCs w:val="32"/>
        </w:rPr>
        <w:t>指标的业绩值和绩效分值见表4-12：</w:t>
      </w:r>
    </w:p>
    <w:p w14:paraId="1606E441">
      <w:pPr>
        <w:ind w:firstLine="0" w:firstLineChars="0"/>
        <w:jc w:val="center"/>
        <w:rPr>
          <w:rFonts w:ascii="黑体" w:hAnsi="黑体" w:eastAsia="黑体" w:cs="Times New Roman"/>
          <w:sz w:val="21"/>
          <w:szCs w:val="24"/>
        </w:rPr>
      </w:pPr>
      <w:r>
        <w:rPr>
          <w:rFonts w:hint="eastAsia" w:ascii="黑体" w:hAnsi="黑体" w:eastAsia="黑体" w:cs="Times New Roman"/>
          <w:sz w:val="21"/>
          <w:szCs w:val="24"/>
        </w:rPr>
        <w:t>表4-12  产出成本情况业绩值及分值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993"/>
        <w:gridCol w:w="1275"/>
        <w:gridCol w:w="1276"/>
        <w:gridCol w:w="1228"/>
      </w:tblGrid>
      <w:tr w14:paraId="17B3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70" w:type="dxa"/>
            <w:tcBorders>
              <w:top w:val="single" w:color="auto" w:sz="4" w:space="0"/>
              <w:left w:val="single" w:color="auto" w:sz="4" w:space="0"/>
              <w:bottom w:val="single" w:color="auto" w:sz="4" w:space="0"/>
              <w:right w:val="single" w:color="auto" w:sz="4" w:space="0"/>
            </w:tcBorders>
            <w:vAlign w:val="center"/>
          </w:tcPr>
          <w:p w14:paraId="0D1167F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993" w:type="dxa"/>
            <w:tcBorders>
              <w:top w:val="single" w:color="auto" w:sz="4" w:space="0"/>
              <w:left w:val="single" w:color="auto" w:sz="4" w:space="0"/>
              <w:bottom w:val="single" w:color="auto" w:sz="4" w:space="0"/>
              <w:right w:val="single" w:color="auto" w:sz="4" w:space="0"/>
            </w:tcBorders>
            <w:vAlign w:val="center"/>
          </w:tcPr>
          <w:p w14:paraId="52B44C9A">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275" w:type="dxa"/>
            <w:tcBorders>
              <w:top w:val="single" w:color="auto" w:sz="4" w:space="0"/>
              <w:left w:val="single" w:color="auto" w:sz="4" w:space="0"/>
              <w:bottom w:val="single" w:color="auto" w:sz="4" w:space="0"/>
              <w:right w:val="single" w:color="auto" w:sz="4" w:space="0"/>
            </w:tcBorders>
            <w:vAlign w:val="center"/>
          </w:tcPr>
          <w:p w14:paraId="21C482E2">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276" w:type="dxa"/>
            <w:tcBorders>
              <w:top w:val="single" w:color="auto" w:sz="4" w:space="0"/>
              <w:left w:val="single" w:color="auto" w:sz="4" w:space="0"/>
              <w:bottom w:val="single" w:color="auto" w:sz="4" w:space="0"/>
              <w:right w:val="single" w:color="auto" w:sz="4" w:space="0"/>
            </w:tcBorders>
            <w:vAlign w:val="center"/>
          </w:tcPr>
          <w:p w14:paraId="11BFCF5F">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228" w:type="dxa"/>
            <w:tcBorders>
              <w:top w:val="single" w:color="auto" w:sz="4" w:space="0"/>
              <w:left w:val="single" w:color="auto" w:sz="4" w:space="0"/>
              <w:bottom w:val="single" w:color="auto" w:sz="4" w:space="0"/>
              <w:right w:val="single" w:color="auto" w:sz="4" w:space="0"/>
            </w:tcBorders>
            <w:vAlign w:val="center"/>
          </w:tcPr>
          <w:p w14:paraId="58A5B12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29F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438A1034">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993" w:type="dxa"/>
            <w:tcBorders>
              <w:top w:val="single" w:color="auto" w:sz="4" w:space="0"/>
              <w:left w:val="single" w:color="auto" w:sz="4" w:space="0"/>
              <w:bottom w:val="single" w:color="auto" w:sz="4" w:space="0"/>
              <w:right w:val="single" w:color="auto" w:sz="4" w:space="0"/>
            </w:tcBorders>
            <w:vAlign w:val="center"/>
          </w:tcPr>
          <w:p w14:paraId="31E4C7EA">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6</w:t>
            </w:r>
          </w:p>
        </w:tc>
        <w:tc>
          <w:tcPr>
            <w:tcW w:w="1275" w:type="dxa"/>
            <w:tcBorders>
              <w:top w:val="single" w:color="auto" w:sz="4" w:space="0"/>
              <w:left w:val="single" w:color="auto" w:sz="4" w:space="0"/>
              <w:bottom w:val="single" w:color="auto" w:sz="4" w:space="0"/>
              <w:right w:val="single" w:color="auto" w:sz="4" w:space="0"/>
            </w:tcBorders>
            <w:vAlign w:val="center"/>
          </w:tcPr>
          <w:p w14:paraId="6013DB86">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2B815F5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11D7D27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6</w:t>
            </w:r>
          </w:p>
        </w:tc>
      </w:tr>
      <w:tr w14:paraId="1A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54AB8B59">
            <w:pPr>
              <w:autoSpaceDE w:val="0"/>
              <w:spacing w:line="240" w:lineRule="auto"/>
              <w:ind w:firstLine="0" w:firstLineChars="0"/>
              <w:jc w:val="center"/>
              <w:rPr>
                <w:rFonts w:cs="仿宋"/>
                <w:spacing w:val="0"/>
                <w:sz w:val="21"/>
                <w:szCs w:val="21"/>
              </w:rPr>
            </w:pPr>
            <w:r>
              <w:rPr>
                <w:rFonts w:hint="eastAsia" w:cs="仿宋"/>
                <w:spacing w:val="0"/>
                <w:sz w:val="21"/>
                <w:szCs w:val="21"/>
              </w:rPr>
              <w:t>在职人员控制率</w:t>
            </w:r>
          </w:p>
        </w:tc>
        <w:tc>
          <w:tcPr>
            <w:tcW w:w="993" w:type="dxa"/>
            <w:tcBorders>
              <w:top w:val="single" w:color="auto" w:sz="4" w:space="0"/>
              <w:left w:val="single" w:color="auto" w:sz="4" w:space="0"/>
              <w:bottom w:val="single" w:color="auto" w:sz="4" w:space="0"/>
              <w:right w:val="single" w:color="auto" w:sz="4" w:space="0"/>
            </w:tcBorders>
            <w:vAlign w:val="center"/>
          </w:tcPr>
          <w:p w14:paraId="291CE6A4">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2FD5E299">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79EC3DE2">
            <w:pPr>
              <w:autoSpaceDE w:val="0"/>
              <w:spacing w:line="240" w:lineRule="auto"/>
              <w:ind w:firstLine="0" w:firstLineChars="0"/>
              <w:jc w:val="center"/>
              <w:rPr>
                <w:rFonts w:cs="仿宋"/>
                <w:spacing w:val="0"/>
                <w:sz w:val="21"/>
                <w:szCs w:val="21"/>
              </w:rPr>
            </w:pPr>
            <w:r>
              <w:rPr>
                <w:rFonts w:hint="eastAsia" w:cs="仿宋"/>
                <w:spacing w:val="0"/>
                <w:sz w:val="21"/>
                <w:szCs w:val="21"/>
              </w:rPr>
              <w:t>96.19%</w:t>
            </w:r>
          </w:p>
        </w:tc>
        <w:tc>
          <w:tcPr>
            <w:tcW w:w="1228" w:type="dxa"/>
            <w:tcBorders>
              <w:top w:val="single" w:color="auto" w:sz="4" w:space="0"/>
              <w:left w:val="single" w:color="auto" w:sz="4" w:space="0"/>
              <w:bottom w:val="single" w:color="auto" w:sz="4" w:space="0"/>
              <w:right w:val="single" w:color="auto" w:sz="4" w:space="0"/>
            </w:tcBorders>
            <w:vAlign w:val="center"/>
          </w:tcPr>
          <w:p w14:paraId="59F5274F">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r>
      <w:tr w14:paraId="7BB5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024B8CD3">
            <w:pPr>
              <w:autoSpaceDE w:val="0"/>
              <w:spacing w:line="240" w:lineRule="auto"/>
              <w:ind w:firstLine="0" w:firstLineChars="0"/>
              <w:jc w:val="center"/>
              <w:rPr>
                <w:rFonts w:cs="仿宋"/>
                <w:spacing w:val="0"/>
                <w:sz w:val="21"/>
                <w:szCs w:val="21"/>
              </w:rPr>
            </w:pPr>
            <w:r>
              <w:rPr>
                <w:rFonts w:hint="eastAsia" w:cs="仿宋"/>
                <w:spacing w:val="0"/>
                <w:sz w:val="21"/>
                <w:szCs w:val="21"/>
              </w:rPr>
              <w:t>“三公经费”控制率</w:t>
            </w:r>
          </w:p>
        </w:tc>
        <w:tc>
          <w:tcPr>
            <w:tcW w:w="993" w:type="dxa"/>
            <w:tcBorders>
              <w:top w:val="single" w:color="auto" w:sz="4" w:space="0"/>
              <w:left w:val="single" w:color="auto" w:sz="4" w:space="0"/>
              <w:bottom w:val="single" w:color="auto" w:sz="4" w:space="0"/>
              <w:right w:val="single" w:color="auto" w:sz="4" w:space="0"/>
            </w:tcBorders>
            <w:vAlign w:val="center"/>
          </w:tcPr>
          <w:p w14:paraId="799DBAA4">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59F10C6B">
            <w:pPr>
              <w:autoSpaceDE w:val="0"/>
              <w:spacing w:line="240" w:lineRule="auto"/>
              <w:ind w:firstLine="0" w:firstLineChars="0"/>
              <w:jc w:val="center"/>
              <w:rPr>
                <w:rFonts w:cs="仿宋"/>
                <w:spacing w:val="0"/>
                <w:sz w:val="21"/>
                <w:szCs w:val="21"/>
              </w:rPr>
            </w:pPr>
            <w:r>
              <w:rPr>
                <w:rFonts w:hint="eastAsia" w:cs="仿宋"/>
                <w:spacing w:val="0"/>
                <w:sz w:val="21"/>
                <w:szCs w:val="21"/>
              </w:rPr>
              <w:t>≤90%</w:t>
            </w:r>
          </w:p>
        </w:tc>
        <w:tc>
          <w:tcPr>
            <w:tcW w:w="1276" w:type="dxa"/>
            <w:tcBorders>
              <w:top w:val="single" w:color="auto" w:sz="4" w:space="0"/>
              <w:left w:val="single" w:color="auto" w:sz="4" w:space="0"/>
              <w:bottom w:val="single" w:color="auto" w:sz="4" w:space="0"/>
              <w:right w:val="single" w:color="auto" w:sz="4" w:space="0"/>
            </w:tcBorders>
            <w:vAlign w:val="center"/>
          </w:tcPr>
          <w:p w14:paraId="0DC7965E">
            <w:pPr>
              <w:autoSpaceDE w:val="0"/>
              <w:spacing w:line="240" w:lineRule="auto"/>
              <w:ind w:firstLine="0" w:firstLineChars="0"/>
              <w:jc w:val="center"/>
              <w:rPr>
                <w:rFonts w:cs="仿宋"/>
                <w:spacing w:val="0"/>
                <w:sz w:val="21"/>
                <w:szCs w:val="21"/>
              </w:rPr>
            </w:pPr>
            <w:r>
              <w:rPr>
                <w:rFonts w:hint="eastAsia" w:cs="仿宋"/>
                <w:spacing w:val="0"/>
                <w:sz w:val="21"/>
                <w:szCs w:val="21"/>
              </w:rPr>
              <w:t>56.23%</w:t>
            </w:r>
          </w:p>
        </w:tc>
        <w:tc>
          <w:tcPr>
            <w:tcW w:w="1228" w:type="dxa"/>
            <w:tcBorders>
              <w:top w:val="single" w:color="auto" w:sz="4" w:space="0"/>
              <w:left w:val="single" w:color="auto" w:sz="4" w:space="0"/>
              <w:bottom w:val="single" w:color="auto" w:sz="4" w:space="0"/>
              <w:right w:val="single" w:color="auto" w:sz="4" w:space="0"/>
            </w:tcBorders>
            <w:vAlign w:val="center"/>
          </w:tcPr>
          <w:p w14:paraId="766B7F08">
            <w:pPr>
              <w:autoSpaceDE w:val="0"/>
              <w:spacing w:line="240" w:lineRule="auto"/>
              <w:ind w:firstLine="0" w:firstLineChars="0"/>
              <w:jc w:val="center"/>
              <w:rPr>
                <w:rFonts w:cs="仿宋"/>
                <w:spacing w:val="0"/>
                <w:sz w:val="21"/>
                <w:szCs w:val="21"/>
              </w:rPr>
            </w:pPr>
            <w:r>
              <w:rPr>
                <w:rFonts w:hint="eastAsia" w:cs="仿宋"/>
                <w:spacing w:val="0"/>
                <w:sz w:val="21"/>
                <w:szCs w:val="21"/>
              </w:rPr>
              <w:t>1</w:t>
            </w:r>
          </w:p>
        </w:tc>
      </w:tr>
      <w:tr w14:paraId="6800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7CAAAE5B">
            <w:pPr>
              <w:autoSpaceDE w:val="0"/>
              <w:spacing w:line="240" w:lineRule="auto"/>
              <w:ind w:firstLine="0" w:firstLineChars="0"/>
              <w:jc w:val="center"/>
              <w:rPr>
                <w:rFonts w:cs="仿宋"/>
                <w:spacing w:val="0"/>
                <w:sz w:val="21"/>
                <w:szCs w:val="21"/>
              </w:rPr>
            </w:pPr>
            <w:r>
              <w:rPr>
                <w:rFonts w:hint="eastAsia" w:cs="仿宋"/>
                <w:spacing w:val="0"/>
                <w:sz w:val="21"/>
                <w:szCs w:val="21"/>
              </w:rPr>
              <w:t>公用经费变动率</w:t>
            </w:r>
          </w:p>
        </w:tc>
        <w:tc>
          <w:tcPr>
            <w:tcW w:w="993" w:type="dxa"/>
            <w:tcBorders>
              <w:top w:val="single" w:color="auto" w:sz="4" w:space="0"/>
              <w:left w:val="single" w:color="auto" w:sz="4" w:space="0"/>
              <w:bottom w:val="single" w:color="auto" w:sz="4" w:space="0"/>
              <w:right w:val="single" w:color="auto" w:sz="4" w:space="0"/>
            </w:tcBorders>
            <w:vAlign w:val="center"/>
          </w:tcPr>
          <w:p w14:paraId="35D8F086">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275" w:type="dxa"/>
            <w:tcBorders>
              <w:top w:val="single" w:color="auto" w:sz="4" w:space="0"/>
              <w:left w:val="single" w:color="auto" w:sz="4" w:space="0"/>
              <w:bottom w:val="single" w:color="auto" w:sz="4" w:space="0"/>
              <w:right w:val="single" w:color="auto" w:sz="4" w:space="0"/>
            </w:tcBorders>
            <w:vAlign w:val="center"/>
          </w:tcPr>
          <w:p w14:paraId="168BD3C2">
            <w:pPr>
              <w:autoSpaceDE w:val="0"/>
              <w:spacing w:line="240" w:lineRule="auto"/>
              <w:ind w:firstLine="0" w:firstLineChars="0"/>
              <w:jc w:val="center"/>
              <w:rPr>
                <w:rFonts w:cs="仿宋"/>
                <w:spacing w:val="0"/>
                <w:sz w:val="21"/>
                <w:szCs w:val="21"/>
              </w:rPr>
            </w:pPr>
            <w:r>
              <w:rPr>
                <w:rFonts w:hint="eastAsia" w:cs="仿宋"/>
                <w:spacing w:val="0"/>
                <w:sz w:val="21"/>
                <w:szCs w:val="21"/>
              </w:rPr>
              <w:t>＜0%</w:t>
            </w:r>
          </w:p>
        </w:tc>
        <w:tc>
          <w:tcPr>
            <w:tcW w:w="1276" w:type="dxa"/>
            <w:tcBorders>
              <w:top w:val="single" w:color="auto" w:sz="4" w:space="0"/>
              <w:left w:val="single" w:color="auto" w:sz="4" w:space="0"/>
              <w:bottom w:val="single" w:color="auto" w:sz="4" w:space="0"/>
              <w:right w:val="single" w:color="auto" w:sz="4" w:space="0"/>
            </w:tcBorders>
            <w:vAlign w:val="center"/>
          </w:tcPr>
          <w:p w14:paraId="33BDBAC5">
            <w:pPr>
              <w:autoSpaceDE w:val="0"/>
              <w:spacing w:line="240" w:lineRule="auto"/>
              <w:ind w:firstLine="0" w:firstLineChars="0"/>
              <w:jc w:val="center"/>
              <w:rPr>
                <w:rFonts w:cs="仿宋"/>
                <w:spacing w:val="0"/>
                <w:sz w:val="21"/>
                <w:szCs w:val="21"/>
              </w:rPr>
            </w:pPr>
            <w:r>
              <w:rPr>
                <w:rFonts w:hint="eastAsia" w:cs="仿宋"/>
                <w:spacing w:val="0"/>
                <w:sz w:val="21"/>
                <w:szCs w:val="21"/>
              </w:rPr>
              <w:t>-7.45%</w:t>
            </w:r>
          </w:p>
        </w:tc>
        <w:tc>
          <w:tcPr>
            <w:tcW w:w="1228" w:type="dxa"/>
            <w:tcBorders>
              <w:top w:val="single" w:color="auto" w:sz="4" w:space="0"/>
              <w:left w:val="single" w:color="auto" w:sz="4" w:space="0"/>
              <w:bottom w:val="single" w:color="auto" w:sz="4" w:space="0"/>
              <w:right w:val="single" w:color="auto" w:sz="4" w:space="0"/>
            </w:tcBorders>
            <w:vAlign w:val="center"/>
          </w:tcPr>
          <w:p w14:paraId="5A5E406A">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r w14:paraId="710B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70" w:type="dxa"/>
            <w:tcBorders>
              <w:top w:val="single" w:color="auto" w:sz="4" w:space="0"/>
              <w:left w:val="single" w:color="auto" w:sz="4" w:space="0"/>
              <w:bottom w:val="single" w:color="auto" w:sz="4" w:space="0"/>
              <w:right w:val="single" w:color="auto" w:sz="4" w:space="0"/>
            </w:tcBorders>
            <w:vAlign w:val="center"/>
          </w:tcPr>
          <w:p w14:paraId="48DA8D70">
            <w:pPr>
              <w:autoSpaceDE w:val="0"/>
              <w:spacing w:line="240" w:lineRule="auto"/>
              <w:ind w:firstLine="0" w:firstLineChars="0"/>
              <w:jc w:val="center"/>
              <w:rPr>
                <w:rFonts w:cs="仿宋"/>
                <w:spacing w:val="0"/>
                <w:sz w:val="21"/>
                <w:szCs w:val="21"/>
              </w:rPr>
            </w:pPr>
            <w:r>
              <w:rPr>
                <w:rFonts w:hint="eastAsia" w:cs="仿宋"/>
                <w:spacing w:val="0"/>
                <w:sz w:val="21"/>
                <w:szCs w:val="21"/>
              </w:rPr>
              <w:t>预算支出标准执行率</w:t>
            </w:r>
          </w:p>
        </w:tc>
        <w:tc>
          <w:tcPr>
            <w:tcW w:w="993" w:type="dxa"/>
            <w:tcBorders>
              <w:top w:val="single" w:color="auto" w:sz="4" w:space="0"/>
              <w:left w:val="single" w:color="auto" w:sz="4" w:space="0"/>
              <w:bottom w:val="single" w:color="auto" w:sz="4" w:space="0"/>
              <w:right w:val="single" w:color="auto" w:sz="4" w:space="0"/>
            </w:tcBorders>
            <w:vAlign w:val="center"/>
          </w:tcPr>
          <w:p w14:paraId="028A474F">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c>
          <w:tcPr>
            <w:tcW w:w="1275" w:type="dxa"/>
            <w:tcBorders>
              <w:top w:val="single" w:color="auto" w:sz="4" w:space="0"/>
              <w:left w:val="single" w:color="auto" w:sz="4" w:space="0"/>
              <w:bottom w:val="single" w:color="auto" w:sz="4" w:space="0"/>
              <w:right w:val="single" w:color="auto" w:sz="4" w:space="0"/>
            </w:tcBorders>
            <w:vAlign w:val="center"/>
          </w:tcPr>
          <w:p w14:paraId="2FC6E792">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6" w:type="dxa"/>
            <w:tcBorders>
              <w:top w:val="single" w:color="auto" w:sz="4" w:space="0"/>
              <w:left w:val="single" w:color="auto" w:sz="4" w:space="0"/>
              <w:bottom w:val="single" w:color="auto" w:sz="4" w:space="0"/>
              <w:right w:val="single" w:color="auto" w:sz="4" w:space="0"/>
            </w:tcBorders>
            <w:vAlign w:val="center"/>
          </w:tcPr>
          <w:p w14:paraId="0BF35FFD">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28" w:type="dxa"/>
            <w:tcBorders>
              <w:top w:val="single" w:color="auto" w:sz="4" w:space="0"/>
              <w:left w:val="single" w:color="auto" w:sz="4" w:space="0"/>
              <w:bottom w:val="single" w:color="auto" w:sz="4" w:space="0"/>
              <w:right w:val="single" w:color="auto" w:sz="4" w:space="0"/>
            </w:tcBorders>
            <w:vAlign w:val="center"/>
          </w:tcPr>
          <w:p w14:paraId="4AC11F63">
            <w:pPr>
              <w:autoSpaceDE w:val="0"/>
              <w:spacing w:line="240" w:lineRule="auto"/>
              <w:ind w:firstLine="0" w:firstLineChars="0"/>
              <w:jc w:val="center"/>
              <w:rPr>
                <w:rFonts w:cs="仿宋"/>
                <w:spacing w:val="0"/>
                <w:sz w:val="21"/>
                <w:szCs w:val="21"/>
              </w:rPr>
            </w:pPr>
            <w:r>
              <w:rPr>
                <w:rFonts w:hint="eastAsia" w:cs="仿宋"/>
                <w:spacing w:val="0"/>
                <w:sz w:val="21"/>
                <w:szCs w:val="21"/>
              </w:rPr>
              <w:t>2</w:t>
            </w:r>
          </w:p>
        </w:tc>
      </w:tr>
    </w:tbl>
    <w:p w14:paraId="6CC5DFE4">
      <w:pPr>
        <w:adjustRightInd/>
        <w:snapToGrid/>
        <w:ind w:firstLine="664"/>
        <w:contextualSpacing/>
        <w:rPr>
          <w:bCs/>
          <w:sz w:val="32"/>
          <w:szCs w:val="32"/>
        </w:rPr>
      </w:pPr>
      <w:r>
        <w:rPr>
          <w:rFonts w:hint="eastAsia"/>
          <w:bCs/>
          <w:sz w:val="32"/>
          <w:szCs w:val="32"/>
        </w:rPr>
        <w:t>（1）在职人员控制率</w:t>
      </w:r>
    </w:p>
    <w:p w14:paraId="667F92CF">
      <w:pPr>
        <w:adjustRightInd/>
        <w:snapToGrid/>
        <w:ind w:firstLine="664"/>
        <w:contextualSpacing/>
        <w:rPr>
          <w:sz w:val="32"/>
          <w:szCs w:val="32"/>
        </w:rPr>
      </w:pPr>
      <w:r>
        <w:rPr>
          <w:bCs/>
          <w:sz w:val="32"/>
          <w:szCs w:val="32"/>
        </w:rPr>
        <w:t>202</w:t>
      </w:r>
      <w:r>
        <w:rPr>
          <w:rFonts w:hint="eastAsia"/>
          <w:bCs/>
          <w:sz w:val="32"/>
          <w:szCs w:val="32"/>
        </w:rPr>
        <w:t>3</w:t>
      </w:r>
      <w:r>
        <w:rPr>
          <w:bCs/>
          <w:sz w:val="32"/>
          <w:szCs w:val="32"/>
        </w:rPr>
        <w:t>年，</w:t>
      </w:r>
      <w:r>
        <w:rPr>
          <w:rFonts w:hint="eastAsia"/>
          <w:bCs/>
          <w:sz w:val="32"/>
          <w:szCs w:val="32"/>
        </w:rPr>
        <w:t>浮梁县市场监督管理局核定编制数共有</w:t>
      </w:r>
      <w:r>
        <w:rPr>
          <w:bCs/>
          <w:sz w:val="32"/>
          <w:szCs w:val="32"/>
        </w:rPr>
        <w:t>105个，其中公务员69个，全部补助事业编制36个。截至2023年底，实有人数在职人数88人，其中公务员54人，事业编34人，合同制员工13人。在职人员控制率为</w:t>
      </w:r>
      <w:r>
        <w:rPr>
          <w:rFonts w:hint="eastAsia"/>
          <w:bCs/>
          <w:sz w:val="32"/>
          <w:szCs w:val="32"/>
        </w:rPr>
        <w:t>96.19%。</w:t>
      </w:r>
      <w:r>
        <w:rPr>
          <w:rFonts w:hint="eastAsia"/>
          <w:sz w:val="32"/>
          <w:szCs w:val="32"/>
        </w:rPr>
        <w:t>因此，依据评分标准，该项指标得1分。</w:t>
      </w:r>
    </w:p>
    <w:p w14:paraId="73113B4E">
      <w:pPr>
        <w:adjustRightInd/>
        <w:snapToGrid/>
        <w:ind w:firstLine="664"/>
        <w:contextualSpacing/>
        <w:rPr>
          <w:bCs/>
          <w:sz w:val="32"/>
          <w:szCs w:val="32"/>
        </w:rPr>
      </w:pPr>
      <w:r>
        <w:rPr>
          <w:rFonts w:hint="eastAsia"/>
          <w:bCs/>
          <w:sz w:val="32"/>
          <w:szCs w:val="32"/>
        </w:rPr>
        <w:t>（2）“三公经费”控制率</w:t>
      </w:r>
    </w:p>
    <w:p w14:paraId="0D57FF9E">
      <w:pPr>
        <w:adjustRightInd/>
        <w:snapToGrid/>
        <w:ind w:firstLine="664"/>
        <w:contextualSpacing/>
        <w:rPr>
          <w:sz w:val="32"/>
          <w:szCs w:val="32"/>
        </w:rPr>
      </w:pPr>
      <w:r>
        <w:rPr>
          <w:rFonts w:hint="eastAsia"/>
          <w:sz w:val="32"/>
          <w:szCs w:val="32"/>
        </w:rPr>
        <w:t>浮梁县市监局2023年“三公经费”预算数</w:t>
      </w:r>
      <w:r>
        <w:rPr>
          <w:sz w:val="32"/>
          <w:szCs w:val="32"/>
        </w:rPr>
        <w:t>398,000.00</w:t>
      </w:r>
      <w:r>
        <w:rPr>
          <w:rFonts w:hint="eastAsia"/>
          <w:sz w:val="32"/>
          <w:szCs w:val="32"/>
        </w:rPr>
        <w:t>元，实际支出</w:t>
      </w:r>
      <w:r>
        <w:rPr>
          <w:sz w:val="32"/>
          <w:szCs w:val="32"/>
        </w:rPr>
        <w:t>223,797.37</w:t>
      </w:r>
      <w:r>
        <w:rPr>
          <w:rFonts w:hint="eastAsia"/>
          <w:sz w:val="32"/>
          <w:szCs w:val="32"/>
        </w:rPr>
        <w:t>元，“三公经费”控制率为56.23%。因此，依据评分标准，该项指标得1分。</w:t>
      </w:r>
    </w:p>
    <w:p w14:paraId="28499685">
      <w:pPr>
        <w:adjustRightInd/>
        <w:snapToGrid/>
        <w:ind w:firstLine="664"/>
        <w:contextualSpacing/>
        <w:rPr>
          <w:bCs/>
          <w:sz w:val="32"/>
          <w:szCs w:val="32"/>
        </w:rPr>
      </w:pPr>
      <w:r>
        <w:rPr>
          <w:rFonts w:hint="eastAsia"/>
          <w:bCs/>
          <w:sz w:val="32"/>
          <w:szCs w:val="32"/>
        </w:rPr>
        <w:t>（3）公用经费变动率</w:t>
      </w:r>
    </w:p>
    <w:p w14:paraId="3B113B04">
      <w:pPr>
        <w:adjustRightInd/>
        <w:snapToGrid/>
        <w:ind w:firstLine="664"/>
        <w:contextualSpacing/>
        <w:rPr>
          <w:sz w:val="32"/>
          <w:szCs w:val="32"/>
        </w:rPr>
      </w:pPr>
      <w:r>
        <w:rPr>
          <w:rFonts w:hint="eastAsia"/>
          <w:sz w:val="32"/>
          <w:szCs w:val="32"/>
        </w:rPr>
        <w:t>浮梁县市监局2023年公用经费实际支出</w:t>
      </w:r>
      <w:r>
        <w:rPr>
          <w:sz w:val="32"/>
          <w:szCs w:val="32"/>
        </w:rPr>
        <w:t>183.37万</w:t>
      </w:r>
      <w:r>
        <w:rPr>
          <w:rFonts w:hint="eastAsia"/>
          <w:sz w:val="32"/>
          <w:szCs w:val="32"/>
        </w:rPr>
        <w:t>元, 2022年公用经费实际支出</w:t>
      </w:r>
      <w:r>
        <w:rPr>
          <w:sz w:val="32"/>
          <w:szCs w:val="32"/>
        </w:rPr>
        <w:t>198.13万</w:t>
      </w:r>
      <w:r>
        <w:rPr>
          <w:rFonts w:hint="eastAsia"/>
          <w:sz w:val="32"/>
          <w:szCs w:val="32"/>
        </w:rPr>
        <w:t>元，公用经费变动率-7.45%。因此，依据评分标准，该项指标得2分。</w:t>
      </w:r>
    </w:p>
    <w:p w14:paraId="362005F0">
      <w:pPr>
        <w:adjustRightInd/>
        <w:snapToGrid/>
        <w:ind w:firstLine="664"/>
        <w:contextualSpacing/>
        <w:rPr>
          <w:sz w:val="32"/>
          <w:szCs w:val="32"/>
        </w:rPr>
      </w:pPr>
      <w:r>
        <w:rPr>
          <w:rFonts w:hint="eastAsia"/>
          <w:sz w:val="32"/>
          <w:szCs w:val="32"/>
        </w:rPr>
        <w:t>（4）预算支出标准执行率</w:t>
      </w:r>
    </w:p>
    <w:p w14:paraId="703BF055">
      <w:pPr>
        <w:adjustRightInd/>
        <w:snapToGrid/>
        <w:ind w:firstLine="664"/>
        <w:contextualSpacing/>
        <w:rPr>
          <w:sz w:val="32"/>
          <w:szCs w:val="32"/>
        </w:rPr>
      </w:pPr>
      <w:r>
        <w:rPr>
          <w:rFonts w:hint="eastAsia"/>
          <w:sz w:val="32"/>
          <w:szCs w:val="32"/>
        </w:rPr>
        <w:t>2023年，浮梁县市监局共批复预算项目18个，均按照预算支出标准或政府抄告单明确的标准执行，不存在超预算支出的情况，预算支出标准执行率100%。因此，依据评分标准，该项指标得2分。</w:t>
      </w:r>
    </w:p>
    <w:p w14:paraId="11FB2799">
      <w:pPr>
        <w:pStyle w:val="3"/>
        <w:adjustRightInd/>
        <w:snapToGrid/>
        <w:spacing w:before="0" w:after="0"/>
        <w:ind w:firstLine="667"/>
        <w:contextualSpacing/>
        <w:rPr>
          <w:rFonts w:ascii="楷体_GB2312" w:eastAsia="楷体_GB2312"/>
        </w:rPr>
      </w:pPr>
      <w:bookmarkStart w:id="34" w:name="_Toc146476234"/>
      <w:bookmarkStart w:id="35" w:name="_Toc167874830"/>
      <w:r>
        <w:rPr>
          <w:rFonts w:hint="eastAsia" w:ascii="楷体_GB2312" w:eastAsia="楷体_GB2312"/>
        </w:rPr>
        <w:t>（四）部门</w:t>
      </w:r>
      <w:bookmarkEnd w:id="34"/>
      <w:r>
        <w:rPr>
          <w:rFonts w:hint="eastAsia" w:ascii="楷体_GB2312" w:eastAsia="楷体_GB2312"/>
        </w:rPr>
        <w:t>效果完成情况</w:t>
      </w:r>
      <w:bookmarkEnd w:id="35"/>
    </w:p>
    <w:p w14:paraId="3F5934D5">
      <w:pPr>
        <w:adjustRightInd/>
        <w:snapToGrid/>
        <w:ind w:firstLine="664"/>
        <w:contextualSpacing/>
        <w:rPr>
          <w:sz w:val="32"/>
          <w:szCs w:val="32"/>
        </w:rPr>
      </w:pPr>
      <w:r>
        <w:rPr>
          <w:rFonts w:hint="eastAsia"/>
          <w:sz w:val="32"/>
          <w:szCs w:val="32"/>
        </w:rPr>
        <w:t>部门效益指标主要评价部门履职产生的效益情况。该部分满分33分，得分31.50分，得分率为95.45%。</w:t>
      </w:r>
    </w:p>
    <w:p w14:paraId="04F08113">
      <w:pPr>
        <w:pStyle w:val="30"/>
        <w:adjustRightInd/>
        <w:snapToGrid/>
        <w:spacing w:before="0"/>
        <w:ind w:firstLine="667"/>
        <w:contextualSpacing/>
        <w:rPr>
          <w:b/>
          <w:sz w:val="32"/>
          <w:szCs w:val="32"/>
        </w:rPr>
      </w:pPr>
      <w:r>
        <w:rPr>
          <w:rFonts w:hint="eastAsia"/>
          <w:b/>
          <w:sz w:val="32"/>
          <w:szCs w:val="32"/>
        </w:rPr>
        <w:t>1.社会效益情况分析</w:t>
      </w:r>
    </w:p>
    <w:p w14:paraId="1365D5A8">
      <w:pPr>
        <w:adjustRightInd/>
        <w:snapToGrid/>
        <w:ind w:firstLine="664"/>
        <w:contextualSpacing/>
        <w:rPr>
          <w:sz w:val="32"/>
          <w:szCs w:val="32"/>
        </w:rPr>
      </w:pPr>
      <w:r>
        <w:rPr>
          <w:rFonts w:hint="eastAsia"/>
          <w:sz w:val="32"/>
          <w:szCs w:val="32"/>
        </w:rPr>
        <w:t>社会效益情况分析主要评价部门履职对社会发展带来的直接或间接影响。</w:t>
      </w:r>
      <w:r>
        <w:rPr>
          <w:rFonts w:hint="eastAsia" w:cs="仿宋"/>
          <w:sz w:val="32"/>
          <w:szCs w:val="32"/>
        </w:rPr>
        <w:t>该部分满分30分，得25.53分，得分率为85.10%。</w:t>
      </w:r>
      <w:r>
        <w:rPr>
          <w:rFonts w:hint="eastAsia" w:cs="Times New Roman"/>
          <w:sz w:val="32"/>
          <w:szCs w:val="32"/>
        </w:rPr>
        <w:t>指标的业绩值和绩效分值见</w:t>
      </w:r>
      <w:r>
        <w:rPr>
          <w:rFonts w:hint="eastAsia"/>
          <w:sz w:val="32"/>
          <w:szCs w:val="32"/>
        </w:rPr>
        <w:t>表</w:t>
      </w:r>
      <w:r>
        <w:rPr>
          <w:rFonts w:hint="eastAsia" w:cs="仿宋"/>
          <w:sz w:val="32"/>
          <w:szCs w:val="32"/>
        </w:rPr>
        <w:t>4-13：</w:t>
      </w:r>
    </w:p>
    <w:p w14:paraId="53A0B744">
      <w:pPr>
        <w:pStyle w:val="29"/>
        <w:ind w:firstLine="584"/>
      </w:pPr>
      <w:r>
        <w:rPr>
          <w:rFonts w:hint="eastAsia"/>
        </w:rPr>
        <w:t>表4-13  社会效益指标业绩值及分值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1068"/>
        <w:gridCol w:w="1626"/>
        <w:gridCol w:w="1275"/>
        <w:gridCol w:w="1008"/>
      </w:tblGrid>
      <w:tr w14:paraId="04C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65" w:type="dxa"/>
            <w:tcBorders>
              <w:top w:val="single" w:color="auto" w:sz="4" w:space="0"/>
              <w:left w:val="single" w:color="auto" w:sz="4" w:space="0"/>
              <w:bottom w:val="single" w:color="auto" w:sz="4" w:space="0"/>
              <w:right w:val="single" w:color="auto" w:sz="4" w:space="0"/>
            </w:tcBorders>
            <w:vAlign w:val="center"/>
          </w:tcPr>
          <w:p w14:paraId="4DDE6F54">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指标名称</w:t>
            </w:r>
          </w:p>
        </w:tc>
        <w:tc>
          <w:tcPr>
            <w:tcW w:w="1068" w:type="dxa"/>
            <w:tcBorders>
              <w:top w:val="single" w:color="auto" w:sz="4" w:space="0"/>
              <w:left w:val="single" w:color="auto" w:sz="4" w:space="0"/>
              <w:bottom w:val="single" w:color="auto" w:sz="4" w:space="0"/>
              <w:right w:val="single" w:color="auto" w:sz="4" w:space="0"/>
            </w:tcBorders>
            <w:vAlign w:val="center"/>
          </w:tcPr>
          <w:p w14:paraId="1E30A4F1">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626" w:type="dxa"/>
            <w:tcBorders>
              <w:top w:val="single" w:color="auto" w:sz="4" w:space="0"/>
              <w:left w:val="single" w:color="auto" w:sz="4" w:space="0"/>
              <w:bottom w:val="single" w:color="auto" w:sz="4" w:space="0"/>
              <w:right w:val="single" w:color="auto" w:sz="4" w:space="0"/>
            </w:tcBorders>
            <w:vAlign w:val="center"/>
          </w:tcPr>
          <w:p w14:paraId="037CC22E">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275" w:type="dxa"/>
            <w:tcBorders>
              <w:top w:val="single" w:color="auto" w:sz="4" w:space="0"/>
              <w:left w:val="single" w:color="auto" w:sz="4" w:space="0"/>
              <w:bottom w:val="single" w:color="auto" w:sz="4" w:space="0"/>
              <w:right w:val="single" w:color="auto" w:sz="4" w:space="0"/>
            </w:tcBorders>
            <w:vAlign w:val="center"/>
          </w:tcPr>
          <w:p w14:paraId="5B96D206">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008" w:type="dxa"/>
            <w:tcBorders>
              <w:top w:val="single" w:color="auto" w:sz="4" w:space="0"/>
              <w:left w:val="single" w:color="auto" w:sz="4" w:space="0"/>
              <w:bottom w:val="single" w:color="auto" w:sz="4" w:space="0"/>
              <w:right w:val="single" w:color="auto" w:sz="4" w:space="0"/>
            </w:tcBorders>
            <w:vAlign w:val="center"/>
          </w:tcPr>
          <w:p w14:paraId="384DF87A">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5945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0300B20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1068" w:type="dxa"/>
            <w:tcBorders>
              <w:top w:val="single" w:color="auto" w:sz="4" w:space="0"/>
              <w:left w:val="single" w:color="auto" w:sz="4" w:space="0"/>
              <w:bottom w:val="single" w:color="auto" w:sz="4" w:space="0"/>
              <w:right w:val="single" w:color="auto" w:sz="4" w:space="0"/>
            </w:tcBorders>
            <w:vAlign w:val="center"/>
          </w:tcPr>
          <w:p w14:paraId="204970C0">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30</w:t>
            </w:r>
          </w:p>
        </w:tc>
        <w:tc>
          <w:tcPr>
            <w:tcW w:w="1626" w:type="dxa"/>
            <w:tcBorders>
              <w:top w:val="single" w:color="auto" w:sz="4" w:space="0"/>
              <w:left w:val="single" w:color="auto" w:sz="4" w:space="0"/>
              <w:bottom w:val="single" w:color="auto" w:sz="4" w:space="0"/>
              <w:right w:val="single" w:color="auto" w:sz="4" w:space="0"/>
            </w:tcBorders>
            <w:vAlign w:val="center"/>
          </w:tcPr>
          <w:p w14:paraId="70E203F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14:paraId="3C54AF67">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008" w:type="dxa"/>
            <w:tcBorders>
              <w:top w:val="single" w:color="auto" w:sz="4" w:space="0"/>
              <w:left w:val="single" w:color="auto" w:sz="4" w:space="0"/>
              <w:bottom w:val="single" w:color="auto" w:sz="4" w:space="0"/>
              <w:right w:val="single" w:color="auto" w:sz="4" w:space="0"/>
            </w:tcBorders>
            <w:vAlign w:val="center"/>
          </w:tcPr>
          <w:p w14:paraId="4436FF9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22.13</w:t>
            </w:r>
          </w:p>
        </w:tc>
      </w:tr>
      <w:tr w14:paraId="0C29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7C4222EB">
            <w:pPr>
              <w:autoSpaceDE w:val="0"/>
              <w:spacing w:line="240" w:lineRule="auto"/>
              <w:ind w:firstLine="0" w:firstLineChars="0"/>
              <w:jc w:val="center"/>
              <w:rPr>
                <w:rFonts w:cs="仿宋"/>
                <w:spacing w:val="0"/>
                <w:sz w:val="21"/>
                <w:szCs w:val="21"/>
              </w:rPr>
            </w:pPr>
            <w:r>
              <w:rPr>
                <w:rFonts w:hint="eastAsia" w:cs="仿宋"/>
                <w:spacing w:val="0"/>
                <w:sz w:val="21"/>
                <w:szCs w:val="21"/>
              </w:rPr>
              <w:t>消费者投诉举报办结率</w:t>
            </w:r>
          </w:p>
        </w:tc>
        <w:tc>
          <w:tcPr>
            <w:tcW w:w="1068" w:type="dxa"/>
            <w:tcBorders>
              <w:top w:val="single" w:color="auto" w:sz="4" w:space="0"/>
              <w:left w:val="single" w:color="auto" w:sz="4" w:space="0"/>
              <w:bottom w:val="single" w:color="auto" w:sz="4" w:space="0"/>
              <w:right w:val="single" w:color="auto" w:sz="4" w:space="0"/>
            </w:tcBorders>
            <w:vAlign w:val="center"/>
          </w:tcPr>
          <w:p w14:paraId="6BA1584D">
            <w:pPr>
              <w:autoSpaceDE w:val="0"/>
              <w:spacing w:line="240" w:lineRule="auto"/>
              <w:ind w:firstLine="0" w:firstLineChars="0"/>
              <w:jc w:val="center"/>
              <w:rPr>
                <w:rFonts w:cs="仿宋"/>
                <w:bCs/>
                <w:spacing w:val="0"/>
                <w:sz w:val="21"/>
                <w:szCs w:val="21"/>
              </w:rPr>
            </w:pPr>
            <w:r>
              <w:rPr>
                <w:rFonts w:hint="eastAsia" w:cs="仿宋"/>
                <w:bCs/>
                <w:spacing w:val="0"/>
                <w:sz w:val="21"/>
                <w:szCs w:val="21"/>
              </w:rPr>
              <w:t>3</w:t>
            </w:r>
          </w:p>
        </w:tc>
        <w:tc>
          <w:tcPr>
            <w:tcW w:w="1626" w:type="dxa"/>
            <w:tcBorders>
              <w:top w:val="single" w:color="auto" w:sz="4" w:space="0"/>
              <w:left w:val="single" w:color="auto" w:sz="4" w:space="0"/>
              <w:bottom w:val="single" w:color="auto" w:sz="4" w:space="0"/>
              <w:right w:val="single" w:color="auto" w:sz="4" w:space="0"/>
            </w:tcBorders>
            <w:vAlign w:val="center"/>
          </w:tcPr>
          <w:p w14:paraId="45046C27">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275" w:type="dxa"/>
            <w:tcBorders>
              <w:top w:val="single" w:color="auto" w:sz="4" w:space="0"/>
              <w:left w:val="single" w:color="auto" w:sz="4" w:space="0"/>
              <w:bottom w:val="single" w:color="auto" w:sz="4" w:space="0"/>
              <w:right w:val="single" w:color="auto" w:sz="4" w:space="0"/>
            </w:tcBorders>
            <w:vAlign w:val="center"/>
          </w:tcPr>
          <w:p w14:paraId="21B26F35">
            <w:pPr>
              <w:autoSpaceDE w:val="0"/>
              <w:spacing w:line="240" w:lineRule="auto"/>
              <w:ind w:firstLine="0" w:firstLineChars="0"/>
              <w:jc w:val="center"/>
              <w:rPr>
                <w:rFonts w:cs="仿宋"/>
                <w:spacing w:val="0"/>
                <w:sz w:val="21"/>
                <w:szCs w:val="21"/>
              </w:rPr>
            </w:pPr>
            <w:r>
              <w:rPr>
                <w:rFonts w:hint="eastAsia" w:cs="仿宋"/>
                <w:spacing w:val="0"/>
                <w:sz w:val="21"/>
                <w:szCs w:val="21"/>
              </w:rPr>
              <w:t>96.37%</w:t>
            </w:r>
          </w:p>
        </w:tc>
        <w:tc>
          <w:tcPr>
            <w:tcW w:w="1008" w:type="dxa"/>
            <w:tcBorders>
              <w:top w:val="single" w:color="auto" w:sz="4" w:space="0"/>
              <w:left w:val="single" w:color="auto" w:sz="4" w:space="0"/>
              <w:bottom w:val="single" w:color="auto" w:sz="4" w:space="0"/>
              <w:right w:val="single" w:color="auto" w:sz="4" w:space="0"/>
            </w:tcBorders>
            <w:vAlign w:val="center"/>
          </w:tcPr>
          <w:p w14:paraId="6AD71194">
            <w:pPr>
              <w:autoSpaceDE w:val="0"/>
              <w:spacing w:line="240" w:lineRule="auto"/>
              <w:ind w:firstLine="0" w:firstLineChars="0"/>
              <w:jc w:val="center"/>
              <w:rPr>
                <w:rFonts w:cs="仿宋"/>
                <w:bCs/>
                <w:spacing w:val="0"/>
                <w:sz w:val="21"/>
                <w:szCs w:val="21"/>
              </w:rPr>
            </w:pPr>
            <w:r>
              <w:rPr>
                <w:rFonts w:hint="eastAsia" w:cs="仿宋"/>
                <w:bCs/>
                <w:spacing w:val="0"/>
                <w:sz w:val="21"/>
                <w:szCs w:val="21"/>
              </w:rPr>
              <w:t>2.73</w:t>
            </w:r>
          </w:p>
        </w:tc>
      </w:tr>
      <w:tr w14:paraId="75AD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7ADC183D">
            <w:pPr>
              <w:autoSpaceDE w:val="0"/>
              <w:spacing w:line="240" w:lineRule="auto"/>
              <w:ind w:firstLine="0" w:firstLineChars="0"/>
              <w:jc w:val="center"/>
              <w:rPr>
                <w:rFonts w:cs="仿宋"/>
                <w:spacing w:val="0"/>
                <w:sz w:val="21"/>
                <w:szCs w:val="21"/>
              </w:rPr>
            </w:pPr>
            <w:r>
              <w:rPr>
                <w:rFonts w:hint="eastAsia" w:cs="仿宋"/>
                <w:spacing w:val="0"/>
                <w:sz w:val="21"/>
                <w:szCs w:val="21"/>
              </w:rPr>
              <w:t>新增绿色生态品牌认证企业</w:t>
            </w:r>
          </w:p>
        </w:tc>
        <w:tc>
          <w:tcPr>
            <w:tcW w:w="1068" w:type="dxa"/>
            <w:tcBorders>
              <w:top w:val="single" w:color="auto" w:sz="4" w:space="0"/>
              <w:left w:val="single" w:color="auto" w:sz="4" w:space="0"/>
              <w:bottom w:val="single" w:color="auto" w:sz="4" w:space="0"/>
              <w:right w:val="single" w:color="auto" w:sz="4" w:space="0"/>
            </w:tcBorders>
            <w:vAlign w:val="center"/>
          </w:tcPr>
          <w:p w14:paraId="444EACA9">
            <w:pPr>
              <w:autoSpaceDE w:val="0"/>
              <w:spacing w:line="240" w:lineRule="auto"/>
              <w:ind w:firstLine="0" w:firstLineChars="0"/>
              <w:jc w:val="center"/>
              <w:rPr>
                <w:rFonts w:cs="仿宋"/>
                <w:bCs/>
                <w:spacing w:val="0"/>
                <w:sz w:val="21"/>
                <w:szCs w:val="21"/>
              </w:rPr>
            </w:pPr>
            <w:r>
              <w:rPr>
                <w:rFonts w:hint="eastAsia" w:cs="仿宋"/>
                <w:bCs/>
                <w:spacing w:val="0"/>
                <w:sz w:val="21"/>
                <w:szCs w:val="21"/>
              </w:rPr>
              <w:t>2</w:t>
            </w:r>
          </w:p>
        </w:tc>
        <w:tc>
          <w:tcPr>
            <w:tcW w:w="1626" w:type="dxa"/>
            <w:tcBorders>
              <w:top w:val="single" w:color="auto" w:sz="4" w:space="0"/>
              <w:left w:val="single" w:color="auto" w:sz="4" w:space="0"/>
              <w:bottom w:val="single" w:color="auto" w:sz="4" w:space="0"/>
              <w:right w:val="single" w:color="auto" w:sz="4" w:space="0"/>
            </w:tcBorders>
            <w:vAlign w:val="center"/>
          </w:tcPr>
          <w:p w14:paraId="0A556D7B">
            <w:pPr>
              <w:autoSpaceDE w:val="0"/>
              <w:spacing w:line="240" w:lineRule="auto"/>
              <w:ind w:firstLine="0" w:firstLineChars="0"/>
              <w:jc w:val="center"/>
              <w:rPr>
                <w:rFonts w:cs="仿宋"/>
                <w:spacing w:val="0"/>
                <w:sz w:val="21"/>
                <w:szCs w:val="21"/>
              </w:rPr>
            </w:pPr>
            <w:r>
              <w:rPr>
                <w:rFonts w:cs="仿宋"/>
                <w:spacing w:val="0"/>
                <w:sz w:val="21"/>
                <w:szCs w:val="21"/>
              </w:rPr>
              <w:t>≥</w:t>
            </w:r>
            <w:r>
              <w:rPr>
                <w:rFonts w:hint="eastAsia" w:cs="仿宋"/>
                <w:spacing w:val="0"/>
                <w:sz w:val="21"/>
                <w:szCs w:val="21"/>
              </w:rPr>
              <w:t>1家</w:t>
            </w:r>
          </w:p>
        </w:tc>
        <w:tc>
          <w:tcPr>
            <w:tcW w:w="1275" w:type="dxa"/>
            <w:tcBorders>
              <w:top w:val="single" w:color="auto" w:sz="4" w:space="0"/>
              <w:left w:val="single" w:color="auto" w:sz="4" w:space="0"/>
              <w:bottom w:val="single" w:color="auto" w:sz="4" w:space="0"/>
              <w:right w:val="single" w:color="auto" w:sz="4" w:space="0"/>
            </w:tcBorders>
            <w:vAlign w:val="center"/>
          </w:tcPr>
          <w:p w14:paraId="51F11181">
            <w:pPr>
              <w:autoSpaceDE w:val="0"/>
              <w:spacing w:line="240" w:lineRule="auto"/>
              <w:ind w:firstLine="0" w:firstLineChars="0"/>
              <w:jc w:val="center"/>
              <w:rPr>
                <w:rFonts w:cs="仿宋"/>
                <w:spacing w:val="0"/>
                <w:sz w:val="21"/>
                <w:szCs w:val="21"/>
              </w:rPr>
            </w:pPr>
            <w:r>
              <w:rPr>
                <w:rFonts w:hint="eastAsia" w:cs="仿宋"/>
                <w:spacing w:val="0"/>
                <w:sz w:val="21"/>
                <w:szCs w:val="21"/>
              </w:rPr>
              <w:t>4家</w:t>
            </w:r>
          </w:p>
        </w:tc>
        <w:tc>
          <w:tcPr>
            <w:tcW w:w="1008" w:type="dxa"/>
            <w:tcBorders>
              <w:top w:val="single" w:color="auto" w:sz="4" w:space="0"/>
              <w:left w:val="single" w:color="auto" w:sz="4" w:space="0"/>
              <w:bottom w:val="single" w:color="auto" w:sz="4" w:space="0"/>
              <w:right w:val="single" w:color="auto" w:sz="4" w:space="0"/>
            </w:tcBorders>
            <w:vAlign w:val="center"/>
          </w:tcPr>
          <w:p w14:paraId="65C35C7F">
            <w:pPr>
              <w:autoSpaceDE w:val="0"/>
              <w:spacing w:line="240" w:lineRule="auto"/>
              <w:ind w:firstLine="0" w:firstLineChars="0"/>
              <w:jc w:val="center"/>
              <w:rPr>
                <w:rFonts w:cs="仿宋"/>
                <w:bCs/>
                <w:spacing w:val="0"/>
                <w:sz w:val="21"/>
                <w:szCs w:val="21"/>
              </w:rPr>
            </w:pPr>
            <w:r>
              <w:rPr>
                <w:rFonts w:hint="eastAsia" w:cs="仿宋"/>
                <w:bCs/>
                <w:spacing w:val="0"/>
                <w:sz w:val="21"/>
                <w:szCs w:val="21"/>
              </w:rPr>
              <w:t>2</w:t>
            </w:r>
          </w:p>
        </w:tc>
      </w:tr>
      <w:tr w14:paraId="7A89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0773892B">
            <w:pPr>
              <w:autoSpaceDE w:val="0"/>
              <w:spacing w:line="240" w:lineRule="auto"/>
              <w:ind w:firstLine="0" w:firstLineChars="0"/>
              <w:jc w:val="center"/>
              <w:rPr>
                <w:rFonts w:cs="仿宋"/>
                <w:spacing w:val="0"/>
                <w:sz w:val="21"/>
                <w:szCs w:val="21"/>
              </w:rPr>
            </w:pPr>
            <w:r>
              <w:rPr>
                <w:rFonts w:hint="eastAsia" w:cs="仿宋"/>
                <w:spacing w:val="0"/>
                <w:sz w:val="21"/>
                <w:szCs w:val="21"/>
              </w:rPr>
              <w:t>改革创新试点县工作情况</w:t>
            </w:r>
          </w:p>
        </w:tc>
        <w:tc>
          <w:tcPr>
            <w:tcW w:w="1068" w:type="dxa"/>
            <w:tcBorders>
              <w:top w:val="single" w:color="auto" w:sz="4" w:space="0"/>
              <w:left w:val="single" w:color="auto" w:sz="4" w:space="0"/>
              <w:bottom w:val="single" w:color="auto" w:sz="4" w:space="0"/>
              <w:right w:val="single" w:color="auto" w:sz="4" w:space="0"/>
            </w:tcBorders>
            <w:vAlign w:val="center"/>
          </w:tcPr>
          <w:p w14:paraId="43D55CCA">
            <w:pPr>
              <w:autoSpaceDE w:val="0"/>
              <w:spacing w:line="240" w:lineRule="auto"/>
              <w:ind w:firstLine="0" w:firstLineChars="0"/>
              <w:jc w:val="center"/>
              <w:rPr>
                <w:rFonts w:cs="仿宋"/>
                <w:bCs/>
                <w:spacing w:val="0"/>
                <w:sz w:val="21"/>
                <w:szCs w:val="21"/>
              </w:rPr>
            </w:pPr>
            <w:r>
              <w:rPr>
                <w:rFonts w:hint="eastAsia" w:cs="仿宋"/>
                <w:bCs/>
                <w:spacing w:val="0"/>
                <w:sz w:val="21"/>
                <w:szCs w:val="21"/>
              </w:rPr>
              <w:t>8</w:t>
            </w:r>
          </w:p>
        </w:tc>
        <w:tc>
          <w:tcPr>
            <w:tcW w:w="1626" w:type="dxa"/>
            <w:tcBorders>
              <w:top w:val="single" w:color="auto" w:sz="4" w:space="0"/>
              <w:left w:val="single" w:color="auto" w:sz="4" w:space="0"/>
              <w:bottom w:val="single" w:color="auto" w:sz="4" w:space="0"/>
              <w:right w:val="single" w:color="auto" w:sz="4" w:space="0"/>
            </w:tcBorders>
            <w:vAlign w:val="center"/>
          </w:tcPr>
          <w:p w14:paraId="6BDB3964">
            <w:pPr>
              <w:autoSpaceDE w:val="0"/>
              <w:spacing w:line="240" w:lineRule="auto"/>
              <w:ind w:firstLine="0" w:firstLineChars="0"/>
              <w:jc w:val="center"/>
              <w:rPr>
                <w:rFonts w:cs="仿宋"/>
                <w:spacing w:val="0"/>
                <w:sz w:val="21"/>
                <w:szCs w:val="21"/>
              </w:rPr>
            </w:pPr>
            <w:r>
              <w:rPr>
                <w:rFonts w:cs="仿宋"/>
                <w:spacing w:val="0"/>
                <w:sz w:val="21"/>
                <w:szCs w:val="21"/>
              </w:rPr>
              <w:t>卓有成效</w:t>
            </w:r>
          </w:p>
        </w:tc>
        <w:tc>
          <w:tcPr>
            <w:tcW w:w="1275" w:type="dxa"/>
            <w:tcBorders>
              <w:top w:val="single" w:color="auto" w:sz="4" w:space="0"/>
              <w:left w:val="single" w:color="auto" w:sz="4" w:space="0"/>
              <w:bottom w:val="single" w:color="auto" w:sz="4" w:space="0"/>
              <w:right w:val="single" w:color="auto" w:sz="4" w:space="0"/>
            </w:tcBorders>
            <w:vAlign w:val="center"/>
          </w:tcPr>
          <w:p w14:paraId="584AED35">
            <w:pPr>
              <w:autoSpaceDE w:val="0"/>
              <w:spacing w:line="240" w:lineRule="auto"/>
              <w:ind w:firstLine="0" w:firstLineChars="0"/>
              <w:jc w:val="center"/>
              <w:rPr>
                <w:rFonts w:cs="仿宋"/>
                <w:spacing w:val="0"/>
                <w:sz w:val="21"/>
                <w:szCs w:val="21"/>
              </w:rPr>
            </w:pPr>
            <w:r>
              <w:rPr>
                <w:rFonts w:hint="eastAsia" w:cs="仿宋"/>
                <w:spacing w:val="0"/>
                <w:sz w:val="21"/>
                <w:szCs w:val="21"/>
              </w:rPr>
              <w:t>较</w:t>
            </w:r>
            <w:r>
              <w:rPr>
                <w:rFonts w:cs="仿宋"/>
                <w:spacing w:val="0"/>
                <w:sz w:val="21"/>
                <w:szCs w:val="21"/>
              </w:rPr>
              <w:t>有成效</w:t>
            </w:r>
          </w:p>
        </w:tc>
        <w:tc>
          <w:tcPr>
            <w:tcW w:w="1008" w:type="dxa"/>
            <w:tcBorders>
              <w:top w:val="single" w:color="auto" w:sz="4" w:space="0"/>
              <w:left w:val="single" w:color="auto" w:sz="4" w:space="0"/>
              <w:bottom w:val="single" w:color="auto" w:sz="4" w:space="0"/>
              <w:right w:val="single" w:color="auto" w:sz="4" w:space="0"/>
            </w:tcBorders>
            <w:vAlign w:val="center"/>
          </w:tcPr>
          <w:p w14:paraId="15620DF0">
            <w:pPr>
              <w:autoSpaceDE w:val="0"/>
              <w:spacing w:line="240" w:lineRule="auto"/>
              <w:ind w:firstLine="0" w:firstLineChars="0"/>
              <w:jc w:val="center"/>
              <w:rPr>
                <w:rFonts w:cs="仿宋"/>
                <w:bCs/>
                <w:spacing w:val="0"/>
                <w:sz w:val="21"/>
                <w:szCs w:val="21"/>
              </w:rPr>
            </w:pPr>
            <w:r>
              <w:rPr>
                <w:rFonts w:hint="eastAsia" w:cs="仿宋"/>
                <w:bCs/>
                <w:spacing w:val="0"/>
                <w:sz w:val="21"/>
                <w:szCs w:val="21"/>
              </w:rPr>
              <w:t>6.40</w:t>
            </w:r>
          </w:p>
        </w:tc>
      </w:tr>
      <w:tr w14:paraId="007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478A7784">
            <w:pPr>
              <w:autoSpaceDE w:val="0"/>
              <w:spacing w:line="240" w:lineRule="auto"/>
              <w:ind w:firstLine="0" w:firstLineChars="0"/>
              <w:jc w:val="center"/>
              <w:rPr>
                <w:rFonts w:cs="仿宋"/>
                <w:spacing w:val="0"/>
                <w:sz w:val="21"/>
                <w:szCs w:val="21"/>
              </w:rPr>
            </w:pPr>
            <w:r>
              <w:rPr>
                <w:rFonts w:cs="仿宋"/>
                <w:spacing w:val="0"/>
                <w:sz w:val="21"/>
                <w:szCs w:val="21"/>
              </w:rPr>
              <w:t>提高监管效能</w:t>
            </w:r>
          </w:p>
        </w:tc>
        <w:tc>
          <w:tcPr>
            <w:tcW w:w="1068" w:type="dxa"/>
            <w:tcBorders>
              <w:top w:val="single" w:color="auto" w:sz="4" w:space="0"/>
              <w:left w:val="single" w:color="auto" w:sz="4" w:space="0"/>
              <w:bottom w:val="single" w:color="auto" w:sz="4" w:space="0"/>
              <w:right w:val="single" w:color="auto" w:sz="4" w:space="0"/>
            </w:tcBorders>
            <w:vAlign w:val="center"/>
          </w:tcPr>
          <w:p w14:paraId="27F545FA">
            <w:pPr>
              <w:autoSpaceDE w:val="0"/>
              <w:spacing w:line="240" w:lineRule="auto"/>
              <w:ind w:firstLine="0" w:firstLineChars="0"/>
              <w:jc w:val="center"/>
              <w:rPr>
                <w:rFonts w:cs="仿宋"/>
                <w:bCs/>
                <w:spacing w:val="0"/>
                <w:sz w:val="21"/>
                <w:szCs w:val="21"/>
              </w:rPr>
            </w:pPr>
            <w:r>
              <w:rPr>
                <w:rFonts w:hint="eastAsia" w:cs="仿宋"/>
                <w:bCs/>
                <w:spacing w:val="0"/>
                <w:sz w:val="21"/>
                <w:szCs w:val="21"/>
              </w:rPr>
              <w:t>5</w:t>
            </w:r>
          </w:p>
        </w:tc>
        <w:tc>
          <w:tcPr>
            <w:tcW w:w="1626" w:type="dxa"/>
            <w:tcBorders>
              <w:top w:val="single" w:color="auto" w:sz="4" w:space="0"/>
              <w:left w:val="single" w:color="auto" w:sz="4" w:space="0"/>
              <w:bottom w:val="single" w:color="auto" w:sz="4" w:space="0"/>
              <w:right w:val="single" w:color="auto" w:sz="4" w:space="0"/>
            </w:tcBorders>
            <w:vAlign w:val="center"/>
          </w:tcPr>
          <w:p w14:paraId="5A210A15">
            <w:pPr>
              <w:autoSpaceDE w:val="0"/>
              <w:spacing w:line="240" w:lineRule="auto"/>
              <w:ind w:firstLine="0" w:firstLineChars="0"/>
              <w:jc w:val="center"/>
              <w:rPr>
                <w:rFonts w:cs="仿宋"/>
                <w:spacing w:val="0"/>
                <w:sz w:val="21"/>
                <w:szCs w:val="21"/>
              </w:rPr>
            </w:pPr>
            <w:r>
              <w:rPr>
                <w:rFonts w:hint="eastAsia" w:cs="仿宋"/>
                <w:spacing w:val="0"/>
                <w:sz w:val="21"/>
                <w:szCs w:val="21"/>
              </w:rPr>
              <w:t>显著</w:t>
            </w:r>
            <w:r>
              <w:rPr>
                <w:rFonts w:cs="仿宋"/>
                <w:spacing w:val="0"/>
                <w:sz w:val="21"/>
                <w:szCs w:val="21"/>
              </w:rPr>
              <w:t>提高</w:t>
            </w:r>
          </w:p>
        </w:tc>
        <w:tc>
          <w:tcPr>
            <w:tcW w:w="1275" w:type="dxa"/>
            <w:tcBorders>
              <w:top w:val="single" w:color="auto" w:sz="4" w:space="0"/>
              <w:left w:val="single" w:color="auto" w:sz="4" w:space="0"/>
              <w:bottom w:val="single" w:color="auto" w:sz="4" w:space="0"/>
              <w:right w:val="single" w:color="auto" w:sz="4" w:space="0"/>
            </w:tcBorders>
            <w:vAlign w:val="center"/>
          </w:tcPr>
          <w:p w14:paraId="5DCA4CF5">
            <w:pPr>
              <w:autoSpaceDE w:val="0"/>
              <w:spacing w:line="240" w:lineRule="auto"/>
              <w:ind w:firstLine="0" w:firstLineChars="0"/>
              <w:jc w:val="center"/>
              <w:rPr>
                <w:rFonts w:cs="仿宋"/>
                <w:spacing w:val="0"/>
                <w:sz w:val="21"/>
                <w:szCs w:val="21"/>
              </w:rPr>
            </w:pPr>
            <w:r>
              <w:rPr>
                <w:rFonts w:cs="仿宋"/>
                <w:spacing w:val="0"/>
                <w:sz w:val="21"/>
                <w:szCs w:val="21"/>
              </w:rPr>
              <w:t>有所提高</w:t>
            </w:r>
          </w:p>
        </w:tc>
        <w:tc>
          <w:tcPr>
            <w:tcW w:w="1008" w:type="dxa"/>
            <w:tcBorders>
              <w:top w:val="single" w:color="auto" w:sz="4" w:space="0"/>
              <w:left w:val="single" w:color="auto" w:sz="4" w:space="0"/>
              <w:bottom w:val="single" w:color="auto" w:sz="4" w:space="0"/>
              <w:right w:val="single" w:color="auto" w:sz="4" w:space="0"/>
            </w:tcBorders>
            <w:vAlign w:val="center"/>
          </w:tcPr>
          <w:p w14:paraId="4535B7CB">
            <w:pPr>
              <w:autoSpaceDE w:val="0"/>
              <w:spacing w:line="240" w:lineRule="auto"/>
              <w:ind w:firstLine="0" w:firstLineChars="0"/>
              <w:jc w:val="center"/>
              <w:rPr>
                <w:rFonts w:cs="仿宋"/>
                <w:bCs/>
                <w:spacing w:val="0"/>
                <w:sz w:val="21"/>
                <w:szCs w:val="21"/>
              </w:rPr>
            </w:pPr>
            <w:r>
              <w:rPr>
                <w:rFonts w:hint="eastAsia" w:cs="仿宋"/>
                <w:bCs/>
                <w:spacing w:val="0"/>
                <w:sz w:val="21"/>
                <w:szCs w:val="21"/>
              </w:rPr>
              <w:t>4</w:t>
            </w:r>
          </w:p>
        </w:tc>
      </w:tr>
      <w:tr w14:paraId="55F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1FFE6EDB">
            <w:pPr>
              <w:autoSpaceDE w:val="0"/>
              <w:spacing w:line="240" w:lineRule="auto"/>
              <w:ind w:firstLine="0" w:firstLineChars="0"/>
              <w:jc w:val="center"/>
              <w:rPr>
                <w:rFonts w:cs="仿宋"/>
                <w:spacing w:val="0"/>
                <w:sz w:val="21"/>
                <w:szCs w:val="21"/>
              </w:rPr>
            </w:pPr>
            <w:r>
              <w:rPr>
                <w:rFonts w:hint="eastAsia" w:cs="仿宋"/>
                <w:spacing w:val="0"/>
                <w:sz w:val="21"/>
                <w:szCs w:val="21"/>
              </w:rPr>
              <w:t>促进知识产权高质量发展</w:t>
            </w:r>
          </w:p>
        </w:tc>
        <w:tc>
          <w:tcPr>
            <w:tcW w:w="1068" w:type="dxa"/>
            <w:tcBorders>
              <w:top w:val="single" w:color="auto" w:sz="4" w:space="0"/>
              <w:left w:val="single" w:color="auto" w:sz="4" w:space="0"/>
              <w:bottom w:val="single" w:color="auto" w:sz="4" w:space="0"/>
              <w:right w:val="single" w:color="auto" w:sz="4" w:space="0"/>
            </w:tcBorders>
            <w:vAlign w:val="center"/>
          </w:tcPr>
          <w:p w14:paraId="6C15C926">
            <w:pPr>
              <w:autoSpaceDE w:val="0"/>
              <w:spacing w:line="240" w:lineRule="auto"/>
              <w:ind w:firstLine="0" w:firstLineChars="0"/>
              <w:jc w:val="center"/>
              <w:rPr>
                <w:rFonts w:cs="仿宋"/>
                <w:bCs/>
                <w:spacing w:val="0"/>
                <w:sz w:val="21"/>
                <w:szCs w:val="21"/>
              </w:rPr>
            </w:pPr>
            <w:r>
              <w:rPr>
                <w:rFonts w:hint="eastAsia" w:cs="仿宋"/>
                <w:bCs/>
                <w:spacing w:val="0"/>
                <w:sz w:val="21"/>
                <w:szCs w:val="21"/>
              </w:rPr>
              <w:t>4</w:t>
            </w:r>
          </w:p>
        </w:tc>
        <w:tc>
          <w:tcPr>
            <w:tcW w:w="1626" w:type="dxa"/>
            <w:tcBorders>
              <w:top w:val="single" w:color="auto" w:sz="4" w:space="0"/>
              <w:left w:val="single" w:color="auto" w:sz="4" w:space="0"/>
              <w:bottom w:val="single" w:color="auto" w:sz="4" w:space="0"/>
              <w:right w:val="single" w:color="auto" w:sz="4" w:space="0"/>
            </w:tcBorders>
            <w:vAlign w:val="center"/>
          </w:tcPr>
          <w:p w14:paraId="1A786496">
            <w:pPr>
              <w:autoSpaceDE w:val="0"/>
              <w:spacing w:line="240" w:lineRule="auto"/>
              <w:ind w:firstLine="0" w:firstLineChars="0"/>
              <w:jc w:val="center"/>
              <w:rPr>
                <w:rFonts w:cs="仿宋"/>
                <w:spacing w:val="0"/>
                <w:sz w:val="21"/>
                <w:szCs w:val="21"/>
              </w:rPr>
            </w:pPr>
            <w:r>
              <w:rPr>
                <w:rFonts w:cs="仿宋"/>
                <w:spacing w:val="0"/>
                <w:sz w:val="21"/>
                <w:szCs w:val="21"/>
              </w:rPr>
              <w:t>有效促进</w:t>
            </w:r>
          </w:p>
        </w:tc>
        <w:tc>
          <w:tcPr>
            <w:tcW w:w="1275" w:type="dxa"/>
            <w:tcBorders>
              <w:top w:val="single" w:color="auto" w:sz="4" w:space="0"/>
              <w:left w:val="single" w:color="auto" w:sz="4" w:space="0"/>
              <w:bottom w:val="single" w:color="auto" w:sz="4" w:space="0"/>
              <w:right w:val="single" w:color="auto" w:sz="4" w:space="0"/>
            </w:tcBorders>
            <w:vAlign w:val="center"/>
          </w:tcPr>
          <w:p w14:paraId="2BFFC2D9">
            <w:pPr>
              <w:autoSpaceDE w:val="0"/>
              <w:spacing w:line="240" w:lineRule="auto"/>
              <w:ind w:firstLine="0" w:firstLineChars="0"/>
              <w:jc w:val="center"/>
              <w:rPr>
                <w:rFonts w:cs="仿宋"/>
                <w:spacing w:val="0"/>
                <w:sz w:val="21"/>
                <w:szCs w:val="21"/>
              </w:rPr>
            </w:pPr>
            <w:r>
              <w:rPr>
                <w:rFonts w:hint="eastAsia" w:cs="仿宋"/>
                <w:spacing w:val="0"/>
                <w:sz w:val="21"/>
                <w:szCs w:val="21"/>
              </w:rPr>
              <w:t>有效</w:t>
            </w:r>
            <w:r>
              <w:rPr>
                <w:rFonts w:cs="仿宋"/>
                <w:spacing w:val="0"/>
                <w:sz w:val="21"/>
                <w:szCs w:val="21"/>
              </w:rPr>
              <w:t>促进</w:t>
            </w:r>
          </w:p>
        </w:tc>
        <w:tc>
          <w:tcPr>
            <w:tcW w:w="1008" w:type="dxa"/>
            <w:tcBorders>
              <w:top w:val="single" w:color="auto" w:sz="4" w:space="0"/>
              <w:left w:val="single" w:color="auto" w:sz="4" w:space="0"/>
              <w:bottom w:val="single" w:color="auto" w:sz="4" w:space="0"/>
              <w:right w:val="single" w:color="auto" w:sz="4" w:space="0"/>
            </w:tcBorders>
            <w:vAlign w:val="center"/>
          </w:tcPr>
          <w:p w14:paraId="681D1A53">
            <w:pPr>
              <w:autoSpaceDE w:val="0"/>
              <w:spacing w:line="240" w:lineRule="auto"/>
              <w:ind w:firstLine="0" w:firstLineChars="0"/>
              <w:jc w:val="center"/>
              <w:rPr>
                <w:rFonts w:cs="仿宋"/>
                <w:bCs/>
                <w:spacing w:val="0"/>
                <w:sz w:val="21"/>
                <w:szCs w:val="21"/>
              </w:rPr>
            </w:pPr>
            <w:r>
              <w:rPr>
                <w:rFonts w:hint="eastAsia" w:cs="仿宋"/>
                <w:bCs/>
                <w:spacing w:val="0"/>
                <w:sz w:val="21"/>
                <w:szCs w:val="21"/>
              </w:rPr>
              <w:t>4</w:t>
            </w:r>
          </w:p>
        </w:tc>
      </w:tr>
      <w:tr w14:paraId="5873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5" w:type="dxa"/>
            <w:tcBorders>
              <w:top w:val="single" w:color="auto" w:sz="4" w:space="0"/>
              <w:left w:val="single" w:color="auto" w:sz="4" w:space="0"/>
              <w:bottom w:val="single" w:color="auto" w:sz="4" w:space="0"/>
              <w:right w:val="single" w:color="auto" w:sz="4" w:space="0"/>
            </w:tcBorders>
            <w:vAlign w:val="center"/>
          </w:tcPr>
          <w:p w14:paraId="458835B3">
            <w:pPr>
              <w:autoSpaceDE w:val="0"/>
              <w:spacing w:line="240" w:lineRule="auto"/>
              <w:ind w:firstLine="0" w:firstLineChars="0"/>
              <w:jc w:val="center"/>
              <w:rPr>
                <w:rFonts w:cs="仿宋"/>
                <w:spacing w:val="0"/>
                <w:sz w:val="21"/>
                <w:szCs w:val="21"/>
              </w:rPr>
            </w:pPr>
            <w:r>
              <w:rPr>
                <w:rFonts w:hint="eastAsia" w:cs="仿宋"/>
                <w:spacing w:val="0"/>
                <w:sz w:val="21"/>
                <w:szCs w:val="21"/>
              </w:rPr>
              <w:t>优化营商环境</w:t>
            </w:r>
          </w:p>
        </w:tc>
        <w:tc>
          <w:tcPr>
            <w:tcW w:w="1068" w:type="dxa"/>
            <w:tcBorders>
              <w:top w:val="single" w:color="auto" w:sz="4" w:space="0"/>
              <w:left w:val="single" w:color="auto" w:sz="4" w:space="0"/>
              <w:bottom w:val="single" w:color="auto" w:sz="4" w:space="0"/>
              <w:right w:val="single" w:color="auto" w:sz="4" w:space="0"/>
            </w:tcBorders>
            <w:vAlign w:val="center"/>
          </w:tcPr>
          <w:p w14:paraId="38B9C98F">
            <w:pPr>
              <w:autoSpaceDE w:val="0"/>
              <w:spacing w:line="240" w:lineRule="auto"/>
              <w:ind w:firstLine="0" w:firstLineChars="0"/>
              <w:jc w:val="center"/>
              <w:rPr>
                <w:rFonts w:cs="仿宋"/>
                <w:bCs/>
                <w:spacing w:val="0"/>
                <w:sz w:val="21"/>
                <w:szCs w:val="21"/>
              </w:rPr>
            </w:pPr>
            <w:r>
              <w:rPr>
                <w:rFonts w:hint="eastAsia" w:cs="仿宋"/>
                <w:bCs/>
                <w:spacing w:val="0"/>
                <w:sz w:val="21"/>
                <w:szCs w:val="21"/>
              </w:rPr>
              <w:t>8</w:t>
            </w:r>
          </w:p>
        </w:tc>
        <w:tc>
          <w:tcPr>
            <w:tcW w:w="1626" w:type="dxa"/>
            <w:tcBorders>
              <w:top w:val="single" w:color="auto" w:sz="4" w:space="0"/>
              <w:left w:val="single" w:color="auto" w:sz="4" w:space="0"/>
              <w:bottom w:val="single" w:color="auto" w:sz="4" w:space="0"/>
              <w:right w:val="single" w:color="auto" w:sz="4" w:space="0"/>
            </w:tcBorders>
            <w:vAlign w:val="center"/>
          </w:tcPr>
          <w:p w14:paraId="5AFCBA04">
            <w:pPr>
              <w:autoSpaceDE w:val="0"/>
              <w:spacing w:line="240" w:lineRule="auto"/>
              <w:ind w:firstLine="0" w:firstLineChars="0"/>
              <w:jc w:val="center"/>
              <w:rPr>
                <w:rFonts w:cs="仿宋"/>
                <w:spacing w:val="0"/>
                <w:sz w:val="21"/>
                <w:szCs w:val="21"/>
              </w:rPr>
            </w:pPr>
            <w:r>
              <w:rPr>
                <w:rFonts w:cs="仿宋"/>
                <w:spacing w:val="0"/>
                <w:sz w:val="21"/>
                <w:szCs w:val="21"/>
              </w:rPr>
              <w:t>显著优化</w:t>
            </w:r>
          </w:p>
        </w:tc>
        <w:tc>
          <w:tcPr>
            <w:tcW w:w="1275" w:type="dxa"/>
            <w:tcBorders>
              <w:top w:val="single" w:color="auto" w:sz="4" w:space="0"/>
              <w:left w:val="single" w:color="auto" w:sz="4" w:space="0"/>
              <w:bottom w:val="single" w:color="auto" w:sz="4" w:space="0"/>
              <w:right w:val="single" w:color="auto" w:sz="4" w:space="0"/>
            </w:tcBorders>
            <w:vAlign w:val="center"/>
          </w:tcPr>
          <w:p w14:paraId="67D25526">
            <w:pPr>
              <w:autoSpaceDE w:val="0"/>
              <w:spacing w:line="240" w:lineRule="auto"/>
              <w:ind w:firstLine="0" w:firstLineChars="0"/>
              <w:jc w:val="center"/>
              <w:rPr>
                <w:rFonts w:cs="仿宋"/>
                <w:spacing w:val="0"/>
                <w:sz w:val="21"/>
                <w:szCs w:val="21"/>
              </w:rPr>
            </w:pPr>
            <w:r>
              <w:rPr>
                <w:rFonts w:cs="仿宋"/>
                <w:spacing w:val="0"/>
                <w:sz w:val="21"/>
                <w:szCs w:val="21"/>
              </w:rPr>
              <w:t>有所优化</w:t>
            </w:r>
          </w:p>
        </w:tc>
        <w:tc>
          <w:tcPr>
            <w:tcW w:w="1008" w:type="dxa"/>
            <w:tcBorders>
              <w:top w:val="single" w:color="auto" w:sz="4" w:space="0"/>
              <w:left w:val="single" w:color="auto" w:sz="4" w:space="0"/>
              <w:bottom w:val="single" w:color="auto" w:sz="4" w:space="0"/>
              <w:right w:val="single" w:color="auto" w:sz="4" w:space="0"/>
            </w:tcBorders>
            <w:vAlign w:val="center"/>
          </w:tcPr>
          <w:p w14:paraId="4EFCA647">
            <w:pPr>
              <w:autoSpaceDE w:val="0"/>
              <w:spacing w:line="240" w:lineRule="auto"/>
              <w:ind w:firstLine="0" w:firstLineChars="0"/>
              <w:jc w:val="center"/>
              <w:rPr>
                <w:rFonts w:cs="仿宋"/>
                <w:bCs/>
                <w:spacing w:val="0"/>
                <w:sz w:val="21"/>
                <w:szCs w:val="21"/>
              </w:rPr>
            </w:pPr>
            <w:r>
              <w:rPr>
                <w:rFonts w:hint="eastAsia" w:cs="仿宋"/>
                <w:bCs/>
                <w:spacing w:val="0"/>
                <w:sz w:val="21"/>
                <w:szCs w:val="21"/>
              </w:rPr>
              <w:t>6.40</w:t>
            </w:r>
          </w:p>
        </w:tc>
      </w:tr>
    </w:tbl>
    <w:p w14:paraId="0BBD8F12">
      <w:pPr>
        <w:adjustRightInd/>
        <w:snapToGrid/>
        <w:ind w:firstLine="664"/>
        <w:contextualSpacing/>
        <w:rPr>
          <w:sz w:val="32"/>
          <w:szCs w:val="32"/>
        </w:rPr>
      </w:pPr>
      <w:r>
        <w:rPr>
          <w:rFonts w:hint="eastAsia"/>
          <w:sz w:val="32"/>
          <w:szCs w:val="32"/>
        </w:rPr>
        <w:t>（1）消费者投诉举报办结率</w:t>
      </w:r>
    </w:p>
    <w:p w14:paraId="4F081991">
      <w:pPr>
        <w:adjustRightInd/>
        <w:snapToGrid/>
        <w:ind w:firstLine="664"/>
        <w:contextualSpacing/>
        <w:rPr>
          <w:rFonts w:cs="仿宋"/>
          <w:bCs/>
          <w:sz w:val="32"/>
          <w:szCs w:val="32"/>
        </w:rPr>
      </w:pPr>
      <w:r>
        <w:rPr>
          <w:rFonts w:hint="eastAsia" w:cs="仿宋"/>
          <w:bCs/>
          <w:sz w:val="32"/>
          <w:szCs w:val="32"/>
        </w:rPr>
        <w:t>2023年，浮梁县市监局</w:t>
      </w:r>
      <w:r>
        <w:rPr>
          <w:rFonts w:cs="仿宋"/>
          <w:bCs/>
          <w:sz w:val="32"/>
          <w:szCs w:val="32"/>
        </w:rPr>
        <w:t>共累计接收消费者投诉举报1267件，已办结12</w:t>
      </w:r>
      <w:r>
        <w:rPr>
          <w:rFonts w:hint="eastAsia" w:cs="仿宋"/>
          <w:bCs/>
          <w:sz w:val="32"/>
          <w:szCs w:val="32"/>
        </w:rPr>
        <w:t>21</w:t>
      </w:r>
      <w:r>
        <w:rPr>
          <w:rFonts w:cs="仿宋"/>
          <w:bCs/>
          <w:sz w:val="32"/>
          <w:szCs w:val="32"/>
        </w:rPr>
        <w:t>件，办结率达9</w:t>
      </w:r>
      <w:r>
        <w:rPr>
          <w:rFonts w:hint="eastAsia" w:cs="仿宋"/>
          <w:bCs/>
          <w:sz w:val="32"/>
          <w:szCs w:val="32"/>
        </w:rPr>
        <w:t>6</w:t>
      </w:r>
      <w:r>
        <w:rPr>
          <w:rFonts w:cs="仿宋"/>
          <w:bCs/>
          <w:sz w:val="32"/>
          <w:szCs w:val="32"/>
        </w:rPr>
        <w:t>.</w:t>
      </w:r>
      <w:r>
        <w:rPr>
          <w:rFonts w:hint="eastAsia" w:cs="仿宋"/>
          <w:bCs/>
          <w:sz w:val="32"/>
          <w:szCs w:val="32"/>
        </w:rPr>
        <w:t>37</w:t>
      </w:r>
      <w:r>
        <w:rPr>
          <w:rFonts w:cs="仿宋"/>
          <w:bCs/>
          <w:sz w:val="32"/>
          <w:szCs w:val="32"/>
        </w:rPr>
        <w:t>%。</w:t>
      </w:r>
      <w:r>
        <w:rPr>
          <w:rFonts w:hint="eastAsia" w:cs="仿宋"/>
          <w:bCs/>
          <w:sz w:val="32"/>
          <w:szCs w:val="32"/>
        </w:rPr>
        <w:t>因此，依据评分标准，该指标得2.73分。</w:t>
      </w:r>
    </w:p>
    <w:p w14:paraId="5980643B">
      <w:pPr>
        <w:adjustRightInd/>
        <w:snapToGrid/>
        <w:ind w:firstLine="664"/>
        <w:contextualSpacing/>
        <w:rPr>
          <w:rFonts w:cs="仿宋"/>
          <w:bCs/>
          <w:sz w:val="32"/>
          <w:szCs w:val="32"/>
        </w:rPr>
      </w:pPr>
      <w:r>
        <w:rPr>
          <w:rFonts w:hint="eastAsia" w:cs="仿宋"/>
          <w:bCs/>
          <w:sz w:val="32"/>
          <w:szCs w:val="32"/>
        </w:rPr>
        <w:t>（</w:t>
      </w:r>
      <w:r>
        <w:rPr>
          <w:rFonts w:cs="仿宋"/>
          <w:bCs/>
          <w:sz w:val="32"/>
          <w:szCs w:val="32"/>
        </w:rPr>
        <w:t>2）新增绿色生态品牌认证企业</w:t>
      </w:r>
    </w:p>
    <w:p w14:paraId="40828B67">
      <w:pPr>
        <w:adjustRightInd/>
        <w:snapToGrid/>
        <w:ind w:firstLine="664"/>
        <w:contextualSpacing/>
        <w:rPr>
          <w:rFonts w:cs="仿宋"/>
          <w:bCs/>
          <w:sz w:val="32"/>
          <w:szCs w:val="32"/>
        </w:rPr>
      </w:pPr>
      <w:r>
        <w:rPr>
          <w:rFonts w:cs="仿宋"/>
          <w:bCs/>
          <w:sz w:val="32"/>
          <w:szCs w:val="32"/>
        </w:rPr>
        <w:t>2023年7月，浮梁县鱼之然种养专业合作社、景德镇市西湖珍芝天然食品股份有限公司、浮梁县福安茶叶有限公司、景德镇金竹福盛农业有限公司等四家企业先后获得了江西绿色生态品牌认证证书。因此，依据评分标准，该指标得</w:t>
      </w:r>
      <w:r>
        <w:rPr>
          <w:rFonts w:hint="eastAsia" w:cs="仿宋"/>
          <w:bCs/>
          <w:sz w:val="32"/>
          <w:szCs w:val="32"/>
        </w:rPr>
        <w:t>2</w:t>
      </w:r>
      <w:r>
        <w:rPr>
          <w:rFonts w:cs="仿宋"/>
          <w:bCs/>
          <w:sz w:val="32"/>
          <w:szCs w:val="32"/>
        </w:rPr>
        <w:t>分。</w:t>
      </w:r>
    </w:p>
    <w:p w14:paraId="16002BC7">
      <w:pPr>
        <w:adjustRightInd/>
        <w:snapToGrid/>
        <w:ind w:firstLine="664"/>
        <w:contextualSpacing/>
        <w:rPr>
          <w:bCs/>
          <w:sz w:val="32"/>
          <w:szCs w:val="32"/>
        </w:rPr>
      </w:pPr>
      <w:r>
        <w:rPr>
          <w:rFonts w:hint="eastAsia"/>
          <w:bCs/>
          <w:sz w:val="32"/>
          <w:szCs w:val="32"/>
        </w:rPr>
        <w:t>（3）改革创新试点县工作情况</w:t>
      </w:r>
    </w:p>
    <w:p w14:paraId="304FCEB7">
      <w:pPr>
        <w:adjustRightInd/>
        <w:snapToGrid/>
        <w:ind w:firstLine="664"/>
        <w:contextualSpacing/>
        <w:rPr>
          <w:rFonts w:cs="仿宋"/>
          <w:bCs/>
          <w:sz w:val="32"/>
          <w:szCs w:val="32"/>
        </w:rPr>
      </w:pPr>
      <w:r>
        <w:rPr>
          <w:rFonts w:hint="eastAsia"/>
          <w:bCs/>
          <w:sz w:val="32"/>
          <w:szCs w:val="32"/>
        </w:rPr>
        <w:t>2023年，浮梁县为深入推进营商环境创新试点县建设，先后开展了“一证多址”改革、拓展企业开办“一网通办”业务范围事项、“一业一整”改革、优化网络商品抽检机制改革、建立市场领域数字化智慧监管平台、实行特种设备作业人员证书电子化管理等工作，各项工作基本能有序开展，较有成效，但建立市场领域数字化智慧监管平台因缺少资金支持，进度暂时滞后，实行特种设备作业人员证书电子化管理因省内无信息平台支撑，开展难度较大。</w:t>
      </w:r>
      <w:r>
        <w:rPr>
          <w:rFonts w:cs="仿宋"/>
          <w:bCs/>
          <w:sz w:val="32"/>
          <w:szCs w:val="32"/>
        </w:rPr>
        <w:t>因此，依据评分标准，该指标得</w:t>
      </w:r>
      <w:r>
        <w:rPr>
          <w:rFonts w:hint="eastAsia" w:cs="仿宋"/>
          <w:bCs/>
          <w:sz w:val="32"/>
          <w:szCs w:val="32"/>
        </w:rPr>
        <w:t>6.40</w:t>
      </w:r>
      <w:r>
        <w:rPr>
          <w:rFonts w:cs="仿宋"/>
          <w:bCs/>
          <w:sz w:val="32"/>
          <w:szCs w:val="32"/>
        </w:rPr>
        <w:t>分。</w:t>
      </w:r>
    </w:p>
    <w:p w14:paraId="214054D6">
      <w:pPr>
        <w:adjustRightInd/>
        <w:snapToGrid/>
        <w:ind w:firstLine="664"/>
        <w:contextualSpacing/>
        <w:rPr>
          <w:bCs/>
          <w:sz w:val="32"/>
          <w:szCs w:val="32"/>
        </w:rPr>
      </w:pPr>
      <w:r>
        <w:rPr>
          <w:rFonts w:hint="eastAsia"/>
          <w:bCs/>
          <w:sz w:val="32"/>
          <w:szCs w:val="32"/>
        </w:rPr>
        <w:t>（4）提高监管效能</w:t>
      </w:r>
    </w:p>
    <w:p w14:paraId="60BD9803">
      <w:pPr>
        <w:adjustRightInd/>
        <w:snapToGrid/>
        <w:ind w:firstLine="664"/>
        <w:contextualSpacing/>
        <w:rPr>
          <w:bCs/>
          <w:sz w:val="32"/>
          <w:szCs w:val="32"/>
        </w:rPr>
      </w:pPr>
      <w:r>
        <w:rPr>
          <w:rFonts w:hint="eastAsia"/>
          <w:bCs/>
          <w:sz w:val="32"/>
          <w:szCs w:val="32"/>
        </w:rPr>
        <w:t>为进一步提高监管效能，浮梁县市监局一方面强化市场监管领域扫黑除恶专项斗争和反不正当竞争执法，严厉打击违法直销、传销、侵权和制售假冒伪劣商品，持续加强价格、广告、网络日常监管，积极开展企业省、市“守合同重信用”等活动。</w:t>
      </w:r>
      <w:r>
        <w:rPr>
          <w:bCs/>
          <w:sz w:val="32"/>
          <w:szCs w:val="32"/>
        </w:rPr>
        <w:t>2023年，对浮梁县浮梁镇城东社区居民委员会、城南社区居民委员会创建无传销社区工作进行现场验收并授牌，整治查处无照经营市场主体，引导办照39户，查处无照经营2户，指导5家企业申报省守合同重信用单位，6家企业申报市守合同重信</w:t>
      </w:r>
      <w:r>
        <w:rPr>
          <w:rFonts w:hint="eastAsia"/>
          <w:bCs/>
          <w:sz w:val="32"/>
          <w:szCs w:val="32"/>
        </w:rPr>
        <w:t>用单位。另一方面，推进综合执法，开展涉粮企业（含个体）计量器具、医疗机构等计量监督管理专项工作。全年，立案查处各类违法案件</w:t>
      </w:r>
      <w:r>
        <w:rPr>
          <w:bCs/>
          <w:sz w:val="32"/>
          <w:szCs w:val="32"/>
        </w:rPr>
        <w:t>89起，其中提请案审会审核研究案件15次，审核决定案件63起。联合公安部门查处一起非法倒卖医保药品案件，现场查处涉事药品货值金额86万元。查处作弊计量器具十余台、立案近10起。</w:t>
      </w:r>
    </w:p>
    <w:p w14:paraId="091F05C5">
      <w:pPr>
        <w:adjustRightInd/>
        <w:snapToGrid/>
        <w:ind w:firstLine="664"/>
        <w:contextualSpacing/>
        <w:rPr>
          <w:bCs/>
          <w:sz w:val="32"/>
          <w:szCs w:val="32"/>
        </w:rPr>
      </w:pPr>
      <w:r>
        <w:rPr>
          <w:bCs/>
          <w:sz w:val="32"/>
          <w:szCs w:val="32"/>
        </w:rPr>
        <w:t>2023年以来，浮梁县食品、药品、特种设备、工业产品质量安全领域未发生重特大安全事故，但</w:t>
      </w:r>
      <w:r>
        <w:rPr>
          <w:rFonts w:hint="eastAsia"/>
          <w:bCs/>
          <w:sz w:val="32"/>
          <w:szCs w:val="32"/>
        </w:rPr>
        <w:t>“三品一特”安全监管与人民群众的期待仍有差距，浮梁市场主体普遍具有“小、乱、散”的特点，监管难度较大，“智慧市场监管”一期实际使用成效不显著</w:t>
      </w:r>
      <w:r>
        <w:rPr>
          <w:bCs/>
          <w:sz w:val="32"/>
          <w:szCs w:val="32"/>
        </w:rPr>
        <w:t>。</w:t>
      </w:r>
      <w:r>
        <w:rPr>
          <w:rFonts w:hint="eastAsia" w:cs="仿宋"/>
          <w:bCs/>
          <w:sz w:val="32"/>
          <w:szCs w:val="32"/>
        </w:rPr>
        <w:t>因此，依据评分标准，该指标得4分。</w:t>
      </w:r>
    </w:p>
    <w:p w14:paraId="6D480D48">
      <w:pPr>
        <w:adjustRightInd/>
        <w:snapToGrid/>
        <w:ind w:firstLine="664"/>
        <w:contextualSpacing/>
        <w:rPr>
          <w:bCs/>
          <w:sz w:val="32"/>
          <w:szCs w:val="32"/>
        </w:rPr>
      </w:pPr>
      <w:r>
        <w:rPr>
          <w:rFonts w:hint="eastAsia"/>
          <w:bCs/>
          <w:sz w:val="32"/>
          <w:szCs w:val="32"/>
        </w:rPr>
        <w:t>（5）促进知识产权高质量发展</w:t>
      </w:r>
    </w:p>
    <w:p w14:paraId="7A5BE98E">
      <w:pPr>
        <w:adjustRightInd/>
        <w:snapToGrid/>
        <w:ind w:firstLine="664"/>
        <w:contextualSpacing/>
        <w:rPr>
          <w:rFonts w:cs="仿宋"/>
          <w:bCs/>
          <w:sz w:val="32"/>
          <w:szCs w:val="32"/>
        </w:rPr>
      </w:pPr>
      <w:r>
        <w:rPr>
          <w:rFonts w:hint="eastAsia"/>
          <w:bCs/>
          <w:sz w:val="32"/>
          <w:szCs w:val="32"/>
        </w:rPr>
        <w:t>2023年，浮梁县市监局为贯彻落实浮梁县人民政府印发的《浮梁县促进知识产权高质量发展管理办法（修订稿）》，加大了知识产权的工作力度，利用江西省高校院所专利运营平台进一步促进知识产权供需对接，</w:t>
      </w:r>
      <w:r>
        <w:rPr>
          <w:bCs/>
          <w:sz w:val="32"/>
          <w:szCs w:val="32"/>
        </w:rPr>
        <w:t>全县授权专利721件，其中授权发明专利77件；现有有效发明专利462件，同比增长16.96%；每万人有效发明专利拥有量16.5</w:t>
      </w:r>
      <w:r>
        <w:rPr>
          <w:rFonts w:hint="eastAsia"/>
          <w:bCs/>
          <w:sz w:val="32"/>
          <w:szCs w:val="32"/>
        </w:rPr>
        <w:t>0</w:t>
      </w:r>
      <w:r>
        <w:rPr>
          <w:bCs/>
          <w:sz w:val="32"/>
          <w:szCs w:val="32"/>
        </w:rPr>
        <w:t>件，同比增长2.39件；专利权质押融资金额达12,100.00万元。</w:t>
      </w:r>
      <w:r>
        <w:rPr>
          <w:rFonts w:hint="eastAsia"/>
          <w:bCs/>
          <w:sz w:val="32"/>
          <w:szCs w:val="32"/>
        </w:rPr>
        <w:t>截至当年年底，已上传专利成果</w:t>
      </w:r>
      <w:r>
        <w:rPr>
          <w:bCs/>
          <w:sz w:val="32"/>
          <w:szCs w:val="32"/>
        </w:rPr>
        <w:t>201个，协助企业转让专利126件，并有景德镇陶瓷大学11项专利在上海技术交易所成功挂牌。相比去年，知识产权工作取得较大进展。</w:t>
      </w:r>
      <w:r>
        <w:rPr>
          <w:rFonts w:hint="eastAsia" w:cs="仿宋"/>
          <w:bCs/>
          <w:sz w:val="32"/>
          <w:szCs w:val="32"/>
        </w:rPr>
        <w:t>因此，依据评分标准，该指标得4分。</w:t>
      </w:r>
    </w:p>
    <w:p w14:paraId="358F907B">
      <w:pPr>
        <w:adjustRightInd/>
        <w:snapToGrid/>
        <w:ind w:firstLine="664"/>
        <w:contextualSpacing/>
        <w:rPr>
          <w:bCs/>
          <w:sz w:val="32"/>
          <w:szCs w:val="32"/>
        </w:rPr>
      </w:pPr>
      <w:r>
        <w:rPr>
          <w:rFonts w:hint="eastAsia"/>
          <w:bCs/>
          <w:sz w:val="32"/>
          <w:szCs w:val="32"/>
        </w:rPr>
        <w:t>（6）优化营商环境</w:t>
      </w:r>
    </w:p>
    <w:p w14:paraId="6286EBBB">
      <w:pPr>
        <w:adjustRightInd/>
        <w:snapToGrid/>
        <w:ind w:firstLine="664"/>
        <w:contextualSpacing/>
        <w:rPr>
          <w:bCs/>
          <w:sz w:val="32"/>
          <w:szCs w:val="32"/>
        </w:rPr>
      </w:pPr>
      <w:r>
        <w:rPr>
          <w:rFonts w:hint="eastAsia"/>
          <w:bCs/>
          <w:sz w:val="32"/>
          <w:szCs w:val="32"/>
        </w:rPr>
        <w:t>2023年，除推进改革创新试点县各项工作外，浮梁县市监局还开展了“证前指导”服务，实现“同城通办”，推进“三个精准”分级分类监管和企业信用“三零”修复。截至</w:t>
      </w:r>
      <w:r>
        <w:rPr>
          <w:bCs/>
          <w:sz w:val="32"/>
          <w:szCs w:val="32"/>
        </w:rPr>
        <w:t>当年年底，已为1112家市场主体提供了“就近办”服务，企业办理信用修复73家。</w:t>
      </w:r>
      <w:r>
        <w:rPr>
          <w:rFonts w:hint="eastAsia"/>
          <w:bCs/>
          <w:sz w:val="32"/>
          <w:szCs w:val="32"/>
        </w:rPr>
        <w:t>全县新登记市场主体4980户，其中：企业991家，个体工商户3989户，同比增长26.46%。市场主体注册登记全程网办率91.42%。</w:t>
      </w:r>
      <w:r>
        <w:rPr>
          <w:bCs/>
          <w:sz w:val="32"/>
          <w:szCs w:val="32"/>
        </w:rPr>
        <w:t>营商环境</w:t>
      </w:r>
      <w:r>
        <w:rPr>
          <w:rFonts w:hint="eastAsia"/>
          <w:bCs/>
          <w:sz w:val="32"/>
          <w:szCs w:val="32"/>
        </w:rPr>
        <w:t>相比去年</w:t>
      </w:r>
      <w:r>
        <w:rPr>
          <w:bCs/>
          <w:sz w:val="32"/>
          <w:szCs w:val="32"/>
        </w:rPr>
        <w:t>有所优化，但对标全省优秀行列，仍有一定进步空间。</w:t>
      </w:r>
      <w:r>
        <w:rPr>
          <w:rFonts w:hint="eastAsia" w:cs="仿宋"/>
          <w:bCs/>
          <w:sz w:val="32"/>
          <w:szCs w:val="32"/>
        </w:rPr>
        <w:t>因此，依据评分标准，该指标得6.40分。</w:t>
      </w:r>
    </w:p>
    <w:p w14:paraId="3673CE48">
      <w:pPr>
        <w:adjustRightInd/>
        <w:snapToGrid/>
        <w:ind w:firstLine="667"/>
        <w:contextualSpacing/>
        <w:rPr>
          <w:b/>
          <w:sz w:val="32"/>
          <w:szCs w:val="32"/>
        </w:rPr>
      </w:pPr>
      <w:r>
        <w:rPr>
          <w:rFonts w:hint="eastAsia"/>
          <w:b/>
          <w:sz w:val="32"/>
          <w:szCs w:val="32"/>
        </w:rPr>
        <w:t>4.满意度情况分析</w:t>
      </w:r>
    </w:p>
    <w:p w14:paraId="5E462688">
      <w:pPr>
        <w:adjustRightInd/>
        <w:snapToGrid/>
        <w:ind w:firstLine="664"/>
        <w:contextualSpacing/>
        <w:rPr>
          <w:sz w:val="32"/>
          <w:szCs w:val="32"/>
        </w:rPr>
      </w:pPr>
      <w:r>
        <w:rPr>
          <w:rFonts w:hint="eastAsia"/>
          <w:sz w:val="32"/>
          <w:szCs w:val="32"/>
        </w:rPr>
        <w:t>满意度情况分析主要评价社会公众或部门（单位）的服务对象对部门履职效果的满意程度。该部分满分10分，得分10分，得分率为100%。</w:t>
      </w:r>
      <w:r>
        <w:rPr>
          <w:rFonts w:hint="eastAsia" w:cs="Times New Roman"/>
          <w:sz w:val="32"/>
          <w:szCs w:val="32"/>
        </w:rPr>
        <w:t>指标的业绩值和绩效分值见</w:t>
      </w:r>
      <w:r>
        <w:rPr>
          <w:rFonts w:hint="eastAsia"/>
          <w:sz w:val="32"/>
          <w:szCs w:val="32"/>
        </w:rPr>
        <w:t>表</w:t>
      </w:r>
      <w:r>
        <w:rPr>
          <w:rFonts w:hint="eastAsia" w:cs="仿宋"/>
          <w:sz w:val="32"/>
          <w:szCs w:val="32"/>
        </w:rPr>
        <w:t>4-14</w:t>
      </w:r>
      <w:r>
        <w:rPr>
          <w:rFonts w:hint="eastAsia"/>
          <w:sz w:val="32"/>
          <w:szCs w:val="32"/>
        </w:rPr>
        <w:t>：</w:t>
      </w:r>
    </w:p>
    <w:p w14:paraId="38F05853">
      <w:pPr>
        <w:pStyle w:val="29"/>
        <w:ind w:firstLine="584"/>
      </w:pPr>
      <w:r>
        <w:rPr>
          <w:rFonts w:hint="eastAsia"/>
        </w:rPr>
        <w:t>表4-14  满意度指标业绩值及分值</w:t>
      </w:r>
    </w:p>
    <w:tbl>
      <w:tblPr>
        <w:tblStyle w:val="12"/>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1302"/>
        <w:gridCol w:w="1302"/>
        <w:gridCol w:w="1302"/>
        <w:gridCol w:w="1305"/>
      </w:tblGrid>
      <w:tr w14:paraId="4FA5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931" w:type="dxa"/>
            <w:tcBorders>
              <w:top w:val="single" w:color="auto" w:sz="4" w:space="0"/>
              <w:left w:val="single" w:color="auto" w:sz="4" w:space="0"/>
              <w:bottom w:val="single" w:color="auto" w:sz="4" w:space="0"/>
              <w:right w:val="single" w:color="auto" w:sz="4" w:space="0"/>
            </w:tcBorders>
            <w:vAlign w:val="center"/>
          </w:tcPr>
          <w:p w14:paraId="0E49D6CC">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三级指标</w:t>
            </w:r>
          </w:p>
        </w:tc>
        <w:tc>
          <w:tcPr>
            <w:tcW w:w="1302" w:type="dxa"/>
            <w:tcBorders>
              <w:top w:val="single" w:color="auto" w:sz="4" w:space="0"/>
              <w:left w:val="single" w:color="auto" w:sz="4" w:space="0"/>
              <w:bottom w:val="single" w:color="auto" w:sz="4" w:space="0"/>
              <w:right w:val="single" w:color="auto" w:sz="4" w:space="0"/>
            </w:tcBorders>
            <w:vAlign w:val="center"/>
          </w:tcPr>
          <w:p w14:paraId="48FE776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分值</w:t>
            </w:r>
          </w:p>
        </w:tc>
        <w:tc>
          <w:tcPr>
            <w:tcW w:w="1302" w:type="dxa"/>
            <w:tcBorders>
              <w:top w:val="single" w:color="auto" w:sz="4" w:space="0"/>
              <w:left w:val="single" w:color="auto" w:sz="4" w:space="0"/>
              <w:bottom w:val="single" w:color="auto" w:sz="4" w:space="0"/>
              <w:right w:val="single" w:color="auto" w:sz="4" w:space="0"/>
            </w:tcBorders>
            <w:vAlign w:val="center"/>
          </w:tcPr>
          <w:p w14:paraId="211DA868">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目标值</w:t>
            </w:r>
          </w:p>
        </w:tc>
        <w:tc>
          <w:tcPr>
            <w:tcW w:w="1302" w:type="dxa"/>
            <w:tcBorders>
              <w:top w:val="single" w:color="auto" w:sz="4" w:space="0"/>
              <w:left w:val="single" w:color="auto" w:sz="4" w:space="0"/>
              <w:bottom w:val="single" w:color="auto" w:sz="4" w:space="0"/>
              <w:right w:val="single" w:color="auto" w:sz="4" w:space="0"/>
            </w:tcBorders>
            <w:vAlign w:val="center"/>
          </w:tcPr>
          <w:p w14:paraId="69405041">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业绩值</w:t>
            </w:r>
          </w:p>
        </w:tc>
        <w:tc>
          <w:tcPr>
            <w:tcW w:w="1305" w:type="dxa"/>
            <w:tcBorders>
              <w:top w:val="single" w:color="auto" w:sz="4" w:space="0"/>
              <w:left w:val="single" w:color="auto" w:sz="4" w:space="0"/>
              <w:bottom w:val="single" w:color="auto" w:sz="4" w:space="0"/>
              <w:right w:val="single" w:color="auto" w:sz="4" w:space="0"/>
            </w:tcBorders>
            <w:vAlign w:val="center"/>
          </w:tcPr>
          <w:p w14:paraId="422628DA">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得分</w:t>
            </w:r>
          </w:p>
        </w:tc>
      </w:tr>
      <w:tr w14:paraId="713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1" w:type="dxa"/>
            <w:tcBorders>
              <w:top w:val="single" w:color="auto" w:sz="4" w:space="0"/>
              <w:left w:val="single" w:color="auto" w:sz="4" w:space="0"/>
              <w:bottom w:val="single" w:color="auto" w:sz="4" w:space="0"/>
              <w:right w:val="single" w:color="auto" w:sz="4" w:space="0"/>
            </w:tcBorders>
            <w:vAlign w:val="center"/>
          </w:tcPr>
          <w:p w14:paraId="4D9E1B22">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合计</w:t>
            </w:r>
          </w:p>
        </w:tc>
        <w:tc>
          <w:tcPr>
            <w:tcW w:w="1302" w:type="dxa"/>
            <w:tcBorders>
              <w:top w:val="single" w:color="auto" w:sz="4" w:space="0"/>
              <w:left w:val="single" w:color="auto" w:sz="4" w:space="0"/>
              <w:bottom w:val="single" w:color="auto" w:sz="4" w:space="0"/>
              <w:right w:val="single" w:color="auto" w:sz="4" w:space="0"/>
            </w:tcBorders>
            <w:vAlign w:val="center"/>
          </w:tcPr>
          <w:p w14:paraId="24D48C65">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10</w:t>
            </w:r>
          </w:p>
        </w:tc>
        <w:tc>
          <w:tcPr>
            <w:tcW w:w="1302" w:type="dxa"/>
            <w:tcBorders>
              <w:top w:val="single" w:color="auto" w:sz="4" w:space="0"/>
              <w:left w:val="single" w:color="auto" w:sz="4" w:space="0"/>
              <w:bottom w:val="single" w:color="auto" w:sz="4" w:space="0"/>
              <w:right w:val="single" w:color="auto" w:sz="4" w:space="0"/>
            </w:tcBorders>
            <w:vAlign w:val="center"/>
          </w:tcPr>
          <w:p w14:paraId="618B476D">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302" w:type="dxa"/>
            <w:tcBorders>
              <w:top w:val="single" w:color="auto" w:sz="4" w:space="0"/>
              <w:left w:val="single" w:color="auto" w:sz="4" w:space="0"/>
              <w:bottom w:val="single" w:color="auto" w:sz="4" w:space="0"/>
              <w:right w:val="single" w:color="auto" w:sz="4" w:space="0"/>
            </w:tcBorders>
            <w:vAlign w:val="center"/>
          </w:tcPr>
          <w:p w14:paraId="6C51D611">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w:t>
            </w:r>
          </w:p>
        </w:tc>
        <w:tc>
          <w:tcPr>
            <w:tcW w:w="1305" w:type="dxa"/>
            <w:tcBorders>
              <w:top w:val="single" w:color="auto" w:sz="4" w:space="0"/>
              <w:left w:val="single" w:color="auto" w:sz="4" w:space="0"/>
              <w:bottom w:val="single" w:color="auto" w:sz="4" w:space="0"/>
              <w:right w:val="single" w:color="auto" w:sz="4" w:space="0"/>
            </w:tcBorders>
            <w:vAlign w:val="center"/>
          </w:tcPr>
          <w:p w14:paraId="4AC818D6">
            <w:pPr>
              <w:autoSpaceDE w:val="0"/>
              <w:spacing w:line="240" w:lineRule="auto"/>
              <w:ind w:firstLine="0" w:firstLineChars="0"/>
              <w:jc w:val="center"/>
              <w:rPr>
                <w:rFonts w:cs="仿宋"/>
                <w:b/>
                <w:bCs/>
                <w:spacing w:val="0"/>
                <w:sz w:val="21"/>
                <w:szCs w:val="21"/>
              </w:rPr>
            </w:pPr>
            <w:r>
              <w:rPr>
                <w:rFonts w:hint="eastAsia" w:cs="仿宋"/>
                <w:b/>
                <w:bCs/>
                <w:spacing w:val="0"/>
                <w:sz w:val="21"/>
                <w:szCs w:val="21"/>
              </w:rPr>
              <w:t>10</w:t>
            </w:r>
          </w:p>
        </w:tc>
      </w:tr>
      <w:tr w14:paraId="3CE8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1" w:type="dxa"/>
            <w:tcBorders>
              <w:top w:val="single" w:color="auto" w:sz="4" w:space="0"/>
              <w:left w:val="single" w:color="auto" w:sz="4" w:space="0"/>
              <w:bottom w:val="single" w:color="auto" w:sz="4" w:space="0"/>
              <w:right w:val="single" w:color="auto" w:sz="4" w:space="0"/>
            </w:tcBorders>
            <w:vAlign w:val="center"/>
          </w:tcPr>
          <w:p w14:paraId="19219E2E">
            <w:pPr>
              <w:autoSpaceDE w:val="0"/>
              <w:spacing w:line="240" w:lineRule="auto"/>
              <w:ind w:firstLine="0" w:firstLineChars="0"/>
              <w:jc w:val="center"/>
              <w:rPr>
                <w:rFonts w:cs="仿宋"/>
                <w:spacing w:val="0"/>
                <w:sz w:val="21"/>
                <w:szCs w:val="21"/>
              </w:rPr>
            </w:pPr>
            <w:r>
              <w:rPr>
                <w:rFonts w:hint="eastAsia" w:cs="仿宋"/>
                <w:spacing w:val="0"/>
                <w:sz w:val="21"/>
                <w:szCs w:val="21"/>
              </w:rPr>
              <w:t>在职人员满意度</w:t>
            </w:r>
          </w:p>
        </w:tc>
        <w:tc>
          <w:tcPr>
            <w:tcW w:w="1302" w:type="dxa"/>
            <w:tcBorders>
              <w:top w:val="single" w:color="auto" w:sz="4" w:space="0"/>
              <w:left w:val="single" w:color="auto" w:sz="4" w:space="0"/>
              <w:bottom w:val="single" w:color="auto" w:sz="4" w:space="0"/>
              <w:right w:val="single" w:color="auto" w:sz="4" w:space="0"/>
            </w:tcBorders>
            <w:vAlign w:val="center"/>
          </w:tcPr>
          <w:p w14:paraId="40BDB45B">
            <w:pPr>
              <w:autoSpaceDE w:val="0"/>
              <w:spacing w:line="240" w:lineRule="auto"/>
              <w:ind w:firstLine="0" w:firstLineChars="0"/>
              <w:jc w:val="center"/>
              <w:rPr>
                <w:rFonts w:cs="仿宋"/>
                <w:spacing w:val="0"/>
                <w:sz w:val="21"/>
                <w:szCs w:val="21"/>
              </w:rPr>
            </w:pPr>
            <w:r>
              <w:rPr>
                <w:rFonts w:hint="eastAsia" w:cs="仿宋"/>
                <w:spacing w:val="0"/>
                <w:sz w:val="21"/>
                <w:szCs w:val="21"/>
              </w:rPr>
              <w:t>5</w:t>
            </w:r>
          </w:p>
        </w:tc>
        <w:tc>
          <w:tcPr>
            <w:tcW w:w="1302" w:type="dxa"/>
            <w:tcBorders>
              <w:top w:val="single" w:color="auto" w:sz="4" w:space="0"/>
              <w:left w:val="single" w:color="auto" w:sz="4" w:space="0"/>
              <w:bottom w:val="single" w:color="auto" w:sz="4" w:space="0"/>
              <w:right w:val="single" w:color="auto" w:sz="4" w:space="0"/>
            </w:tcBorders>
            <w:vAlign w:val="center"/>
          </w:tcPr>
          <w:p w14:paraId="6C493F9B">
            <w:pPr>
              <w:autoSpaceDE w:val="0"/>
              <w:spacing w:line="240" w:lineRule="auto"/>
              <w:ind w:firstLine="0" w:firstLineChars="0"/>
              <w:jc w:val="center"/>
              <w:rPr>
                <w:rFonts w:cs="仿宋"/>
                <w:spacing w:val="0"/>
                <w:sz w:val="21"/>
                <w:szCs w:val="21"/>
              </w:rPr>
            </w:pPr>
            <w:r>
              <w:rPr>
                <w:rFonts w:hint="eastAsia" w:cs="仿宋"/>
                <w:spacing w:val="0"/>
                <w:sz w:val="21"/>
                <w:szCs w:val="21"/>
              </w:rPr>
              <w:t>≥90%</w:t>
            </w:r>
          </w:p>
        </w:tc>
        <w:tc>
          <w:tcPr>
            <w:tcW w:w="1302" w:type="dxa"/>
            <w:tcBorders>
              <w:top w:val="single" w:color="auto" w:sz="4" w:space="0"/>
              <w:left w:val="single" w:color="auto" w:sz="4" w:space="0"/>
              <w:bottom w:val="single" w:color="auto" w:sz="4" w:space="0"/>
              <w:right w:val="single" w:color="auto" w:sz="4" w:space="0"/>
            </w:tcBorders>
            <w:vAlign w:val="center"/>
          </w:tcPr>
          <w:p w14:paraId="34320446">
            <w:pPr>
              <w:autoSpaceDE w:val="0"/>
              <w:spacing w:line="240" w:lineRule="auto"/>
              <w:ind w:firstLine="0" w:firstLineChars="0"/>
              <w:jc w:val="center"/>
              <w:rPr>
                <w:rFonts w:cs="仿宋"/>
                <w:spacing w:val="0"/>
                <w:sz w:val="21"/>
                <w:szCs w:val="21"/>
              </w:rPr>
            </w:pPr>
            <w:r>
              <w:rPr>
                <w:rFonts w:hint="eastAsia" w:cs="仿宋"/>
                <w:spacing w:val="0"/>
                <w:sz w:val="21"/>
                <w:szCs w:val="21"/>
              </w:rPr>
              <w:t>98.04%</w:t>
            </w:r>
          </w:p>
        </w:tc>
        <w:tc>
          <w:tcPr>
            <w:tcW w:w="1305" w:type="dxa"/>
            <w:tcBorders>
              <w:top w:val="single" w:color="auto" w:sz="4" w:space="0"/>
              <w:left w:val="single" w:color="auto" w:sz="4" w:space="0"/>
              <w:bottom w:val="single" w:color="auto" w:sz="4" w:space="0"/>
              <w:right w:val="single" w:color="auto" w:sz="4" w:space="0"/>
            </w:tcBorders>
            <w:vAlign w:val="center"/>
          </w:tcPr>
          <w:p w14:paraId="5D1F5DD7">
            <w:pPr>
              <w:autoSpaceDE w:val="0"/>
              <w:spacing w:line="240" w:lineRule="auto"/>
              <w:ind w:firstLine="0" w:firstLineChars="0"/>
              <w:jc w:val="center"/>
              <w:rPr>
                <w:rFonts w:cs="仿宋"/>
                <w:spacing w:val="0"/>
                <w:sz w:val="21"/>
                <w:szCs w:val="21"/>
              </w:rPr>
            </w:pPr>
            <w:r>
              <w:rPr>
                <w:rFonts w:hint="eastAsia" w:cs="仿宋"/>
                <w:spacing w:val="0"/>
                <w:sz w:val="21"/>
                <w:szCs w:val="21"/>
              </w:rPr>
              <w:t>5</w:t>
            </w:r>
          </w:p>
        </w:tc>
      </w:tr>
      <w:tr w14:paraId="690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31" w:type="dxa"/>
            <w:tcBorders>
              <w:top w:val="single" w:color="auto" w:sz="4" w:space="0"/>
              <w:left w:val="single" w:color="auto" w:sz="4" w:space="0"/>
              <w:bottom w:val="single" w:color="auto" w:sz="4" w:space="0"/>
              <w:right w:val="single" w:color="auto" w:sz="4" w:space="0"/>
            </w:tcBorders>
            <w:vAlign w:val="center"/>
          </w:tcPr>
          <w:p w14:paraId="72035193">
            <w:pPr>
              <w:autoSpaceDE w:val="0"/>
              <w:spacing w:line="240" w:lineRule="auto"/>
              <w:ind w:firstLine="0" w:firstLineChars="0"/>
              <w:jc w:val="center"/>
              <w:rPr>
                <w:rFonts w:cs="仿宋"/>
                <w:spacing w:val="0"/>
                <w:sz w:val="21"/>
                <w:szCs w:val="21"/>
              </w:rPr>
            </w:pPr>
            <w:r>
              <w:rPr>
                <w:rFonts w:hint="eastAsia" w:cs="仿宋"/>
                <w:spacing w:val="0"/>
                <w:sz w:val="21"/>
                <w:szCs w:val="21"/>
              </w:rPr>
              <w:t>群众满意度</w:t>
            </w:r>
          </w:p>
        </w:tc>
        <w:tc>
          <w:tcPr>
            <w:tcW w:w="1302" w:type="dxa"/>
            <w:tcBorders>
              <w:top w:val="single" w:color="auto" w:sz="4" w:space="0"/>
              <w:left w:val="single" w:color="auto" w:sz="4" w:space="0"/>
              <w:bottom w:val="single" w:color="auto" w:sz="4" w:space="0"/>
              <w:right w:val="single" w:color="auto" w:sz="4" w:space="0"/>
            </w:tcBorders>
            <w:vAlign w:val="center"/>
          </w:tcPr>
          <w:p w14:paraId="397103CE">
            <w:pPr>
              <w:autoSpaceDE w:val="0"/>
              <w:spacing w:line="240" w:lineRule="auto"/>
              <w:ind w:firstLine="0" w:firstLineChars="0"/>
              <w:jc w:val="center"/>
              <w:rPr>
                <w:rFonts w:cs="仿宋"/>
                <w:spacing w:val="0"/>
                <w:sz w:val="21"/>
                <w:szCs w:val="21"/>
              </w:rPr>
            </w:pPr>
            <w:r>
              <w:rPr>
                <w:rFonts w:hint="eastAsia" w:cs="仿宋"/>
                <w:spacing w:val="0"/>
                <w:sz w:val="21"/>
                <w:szCs w:val="21"/>
              </w:rPr>
              <w:t>5</w:t>
            </w:r>
          </w:p>
        </w:tc>
        <w:tc>
          <w:tcPr>
            <w:tcW w:w="1302" w:type="dxa"/>
            <w:tcBorders>
              <w:top w:val="single" w:color="auto" w:sz="4" w:space="0"/>
              <w:left w:val="single" w:color="auto" w:sz="4" w:space="0"/>
              <w:bottom w:val="single" w:color="auto" w:sz="4" w:space="0"/>
              <w:right w:val="single" w:color="auto" w:sz="4" w:space="0"/>
            </w:tcBorders>
            <w:vAlign w:val="center"/>
          </w:tcPr>
          <w:p w14:paraId="60B43A67">
            <w:pPr>
              <w:autoSpaceDE w:val="0"/>
              <w:spacing w:line="240" w:lineRule="auto"/>
              <w:ind w:firstLine="0" w:firstLineChars="0"/>
              <w:jc w:val="center"/>
              <w:rPr>
                <w:rFonts w:cs="仿宋"/>
                <w:spacing w:val="0"/>
                <w:sz w:val="21"/>
                <w:szCs w:val="21"/>
              </w:rPr>
            </w:pPr>
            <w:r>
              <w:rPr>
                <w:rFonts w:hint="eastAsia" w:cs="仿宋"/>
                <w:spacing w:val="0"/>
                <w:sz w:val="21"/>
                <w:szCs w:val="21"/>
              </w:rPr>
              <w:t>≥90%</w:t>
            </w:r>
          </w:p>
        </w:tc>
        <w:tc>
          <w:tcPr>
            <w:tcW w:w="1302" w:type="dxa"/>
            <w:tcBorders>
              <w:top w:val="single" w:color="auto" w:sz="4" w:space="0"/>
              <w:left w:val="single" w:color="auto" w:sz="4" w:space="0"/>
              <w:bottom w:val="single" w:color="auto" w:sz="4" w:space="0"/>
              <w:right w:val="single" w:color="auto" w:sz="4" w:space="0"/>
            </w:tcBorders>
            <w:vAlign w:val="center"/>
          </w:tcPr>
          <w:p w14:paraId="63881503">
            <w:pPr>
              <w:autoSpaceDE w:val="0"/>
              <w:spacing w:line="240" w:lineRule="auto"/>
              <w:ind w:firstLine="0" w:firstLineChars="0"/>
              <w:jc w:val="center"/>
              <w:rPr>
                <w:rFonts w:cs="仿宋"/>
                <w:spacing w:val="0"/>
                <w:sz w:val="21"/>
                <w:szCs w:val="21"/>
              </w:rPr>
            </w:pPr>
            <w:r>
              <w:rPr>
                <w:rFonts w:hint="eastAsia" w:cs="仿宋"/>
                <w:spacing w:val="0"/>
                <w:sz w:val="21"/>
                <w:szCs w:val="21"/>
              </w:rPr>
              <w:t>100%</w:t>
            </w:r>
          </w:p>
        </w:tc>
        <w:tc>
          <w:tcPr>
            <w:tcW w:w="1305" w:type="dxa"/>
            <w:tcBorders>
              <w:top w:val="single" w:color="auto" w:sz="4" w:space="0"/>
              <w:left w:val="single" w:color="auto" w:sz="4" w:space="0"/>
              <w:bottom w:val="single" w:color="auto" w:sz="4" w:space="0"/>
              <w:right w:val="single" w:color="auto" w:sz="4" w:space="0"/>
            </w:tcBorders>
            <w:vAlign w:val="center"/>
          </w:tcPr>
          <w:p w14:paraId="675D171D">
            <w:pPr>
              <w:autoSpaceDE w:val="0"/>
              <w:spacing w:line="240" w:lineRule="auto"/>
              <w:ind w:firstLine="0" w:firstLineChars="0"/>
              <w:jc w:val="center"/>
              <w:rPr>
                <w:rFonts w:cs="仿宋"/>
                <w:spacing w:val="0"/>
                <w:sz w:val="21"/>
                <w:szCs w:val="21"/>
              </w:rPr>
            </w:pPr>
            <w:r>
              <w:rPr>
                <w:rFonts w:hint="eastAsia" w:cs="仿宋"/>
                <w:spacing w:val="0"/>
                <w:sz w:val="21"/>
                <w:szCs w:val="21"/>
              </w:rPr>
              <w:t>5</w:t>
            </w:r>
          </w:p>
        </w:tc>
      </w:tr>
    </w:tbl>
    <w:p w14:paraId="4D09F42E">
      <w:pPr>
        <w:adjustRightInd/>
        <w:snapToGrid/>
        <w:ind w:firstLine="667"/>
        <w:contextualSpacing/>
        <w:rPr>
          <w:rFonts w:cs="仿宋"/>
          <w:b/>
          <w:bCs/>
          <w:sz w:val="32"/>
          <w:szCs w:val="32"/>
        </w:rPr>
      </w:pPr>
      <w:r>
        <w:rPr>
          <w:rFonts w:hint="eastAsia" w:cs="仿宋"/>
          <w:b/>
          <w:bCs/>
          <w:sz w:val="32"/>
          <w:szCs w:val="32"/>
        </w:rPr>
        <w:t>（1）</w:t>
      </w:r>
      <w:r>
        <w:rPr>
          <w:rFonts w:hint="eastAsia"/>
          <w:b/>
          <w:sz w:val="32"/>
          <w:szCs w:val="32"/>
        </w:rPr>
        <w:t>在职人员满意度</w:t>
      </w:r>
    </w:p>
    <w:p w14:paraId="3B20409C">
      <w:pPr>
        <w:adjustRightInd/>
        <w:snapToGrid/>
        <w:ind w:firstLine="664"/>
        <w:contextualSpacing/>
        <w:rPr>
          <w:bCs/>
          <w:sz w:val="32"/>
          <w:szCs w:val="32"/>
        </w:rPr>
      </w:pPr>
      <w:r>
        <w:rPr>
          <w:rFonts w:hint="eastAsia"/>
          <w:sz w:val="32"/>
          <w:szCs w:val="32"/>
        </w:rPr>
        <w:t>为了解在职人员对浮梁县市监局的满意度，绩效评价工作组通过“问卷星”设计了在线问卷调查，共回收有效问卷51</w:t>
      </w:r>
      <w:r>
        <w:rPr>
          <w:sz w:val="32"/>
          <w:szCs w:val="32"/>
        </w:rPr>
        <w:t>份，</w:t>
      </w:r>
      <w:r>
        <w:rPr>
          <w:rFonts w:hint="eastAsia"/>
          <w:sz w:val="32"/>
          <w:szCs w:val="32"/>
        </w:rPr>
        <w:t>在职人员满意度98.04</w:t>
      </w:r>
      <w:r>
        <w:rPr>
          <w:sz w:val="32"/>
          <w:szCs w:val="32"/>
        </w:rPr>
        <w:t>%。</w:t>
      </w:r>
      <w:r>
        <w:rPr>
          <w:rFonts w:hint="eastAsia" w:cs="仿宋"/>
          <w:bCs/>
          <w:sz w:val="32"/>
          <w:szCs w:val="32"/>
        </w:rPr>
        <w:t>因此，</w:t>
      </w:r>
      <w:r>
        <w:rPr>
          <w:rFonts w:hint="eastAsia"/>
          <w:bCs/>
          <w:sz w:val="32"/>
          <w:szCs w:val="32"/>
        </w:rPr>
        <w:t>依据评分标准，该指标得5分。</w:t>
      </w:r>
    </w:p>
    <w:p w14:paraId="10BBABB6">
      <w:pPr>
        <w:adjustRightInd/>
        <w:snapToGrid/>
        <w:ind w:firstLine="667"/>
        <w:contextualSpacing/>
        <w:rPr>
          <w:rFonts w:cs="仿宋"/>
          <w:b/>
          <w:bCs/>
          <w:sz w:val="32"/>
          <w:szCs w:val="32"/>
        </w:rPr>
      </w:pPr>
      <w:r>
        <w:rPr>
          <w:rFonts w:hint="eastAsia" w:cs="仿宋"/>
          <w:b/>
          <w:bCs/>
          <w:sz w:val="32"/>
          <w:szCs w:val="32"/>
        </w:rPr>
        <w:t>（2）</w:t>
      </w:r>
      <w:r>
        <w:rPr>
          <w:rFonts w:hint="eastAsia"/>
          <w:b/>
          <w:sz w:val="32"/>
          <w:szCs w:val="32"/>
        </w:rPr>
        <w:t>群众满意度</w:t>
      </w:r>
    </w:p>
    <w:p w14:paraId="6C827AE1">
      <w:pPr>
        <w:adjustRightInd/>
        <w:snapToGrid/>
        <w:ind w:firstLine="664"/>
        <w:contextualSpacing/>
        <w:rPr>
          <w:rFonts w:cs="仿宋"/>
          <w:bCs/>
          <w:spacing w:val="0"/>
          <w:sz w:val="32"/>
          <w:szCs w:val="32"/>
        </w:rPr>
      </w:pPr>
      <w:r>
        <w:rPr>
          <w:rFonts w:hint="eastAsia"/>
          <w:sz w:val="32"/>
          <w:szCs w:val="32"/>
        </w:rPr>
        <w:t>江西省市场监督管理局电子政务云服务平台好差评统计数据显示，2023年，全年共收到3230条评价数据，评价结果全部为基本满意，好评率100%。</w:t>
      </w:r>
      <w:r>
        <w:rPr>
          <w:rFonts w:hint="eastAsia" w:cs="仿宋"/>
          <w:bCs/>
          <w:spacing w:val="0"/>
          <w:sz w:val="32"/>
          <w:szCs w:val="32"/>
        </w:rPr>
        <w:t>因此，依据评分标准，该指标得5分。</w:t>
      </w:r>
    </w:p>
    <w:p w14:paraId="510B1734">
      <w:pPr>
        <w:pStyle w:val="2"/>
        <w:adjustRightInd/>
        <w:snapToGrid/>
        <w:spacing w:before="0" w:after="0"/>
        <w:ind w:firstLine="664"/>
        <w:contextualSpacing/>
      </w:pPr>
      <w:bookmarkStart w:id="36" w:name="_Toc167874831"/>
      <w:r>
        <w:rPr>
          <w:rFonts w:hint="eastAsia"/>
        </w:rPr>
        <w:t>五、部门整体支出绩效中存在问题及改进措施</w:t>
      </w:r>
      <w:bookmarkEnd w:id="36"/>
    </w:p>
    <w:p w14:paraId="5C08864C">
      <w:pPr>
        <w:pStyle w:val="3"/>
        <w:adjustRightInd/>
        <w:snapToGrid/>
        <w:spacing w:before="0" w:after="0"/>
        <w:ind w:firstLine="667"/>
        <w:contextualSpacing/>
        <w:rPr>
          <w:rFonts w:ascii="楷体_GB2312" w:eastAsia="楷体_GB2312" w:cs="Times New Roman"/>
          <w:bCs w:val="0"/>
        </w:rPr>
      </w:pPr>
      <w:bookmarkStart w:id="37" w:name="_Toc146476237"/>
      <w:bookmarkStart w:id="38" w:name="_Toc167874832"/>
      <w:r>
        <w:rPr>
          <w:rFonts w:hint="eastAsia" w:ascii="楷体_GB2312" w:eastAsia="楷体_GB2312" w:cs="Times New Roman"/>
          <w:bCs w:val="0"/>
        </w:rPr>
        <w:t>（一）</w:t>
      </w:r>
      <w:bookmarkEnd w:id="37"/>
      <w:r>
        <w:rPr>
          <w:rFonts w:hint="eastAsia" w:ascii="楷体_GB2312" w:eastAsia="楷体_GB2312" w:cs="Times New Roman"/>
          <w:bCs w:val="0"/>
        </w:rPr>
        <w:t>主要问题及原因分析</w:t>
      </w:r>
      <w:bookmarkEnd w:id="38"/>
    </w:p>
    <w:p w14:paraId="4E873777">
      <w:pPr>
        <w:ind w:firstLine="667"/>
        <w:rPr>
          <w:b/>
          <w:sz w:val="32"/>
          <w:szCs w:val="32"/>
        </w:rPr>
      </w:pPr>
      <w:r>
        <w:rPr>
          <w:rFonts w:hint="eastAsia"/>
          <w:b/>
          <w:sz w:val="32"/>
          <w:szCs w:val="32"/>
        </w:rPr>
        <w:t>1.工作计划细化程度不够</w:t>
      </w:r>
    </w:p>
    <w:p w14:paraId="46F33452">
      <w:pPr>
        <w:ind w:firstLine="664"/>
        <w:rPr>
          <w:sz w:val="32"/>
          <w:szCs w:val="32"/>
        </w:rPr>
      </w:pPr>
      <w:r>
        <w:rPr>
          <w:sz w:val="32"/>
          <w:szCs w:val="32"/>
        </w:rPr>
        <w:t>202</w:t>
      </w:r>
      <w:r>
        <w:rPr>
          <w:rFonts w:hint="eastAsia"/>
          <w:sz w:val="32"/>
          <w:szCs w:val="32"/>
        </w:rPr>
        <w:t>2年</w:t>
      </w:r>
      <w:r>
        <w:rPr>
          <w:sz w:val="32"/>
          <w:szCs w:val="32"/>
        </w:rPr>
        <w:t>底，</w:t>
      </w:r>
      <w:r>
        <w:rPr>
          <w:rFonts w:hint="eastAsia"/>
          <w:sz w:val="32"/>
          <w:szCs w:val="32"/>
        </w:rPr>
        <w:t>浮梁县</w:t>
      </w:r>
      <w:r>
        <w:rPr>
          <w:sz w:val="32"/>
          <w:szCs w:val="32"/>
        </w:rPr>
        <w:t>市监局常态化制定了202</w:t>
      </w:r>
      <w:r>
        <w:rPr>
          <w:rFonts w:hint="eastAsia"/>
          <w:sz w:val="32"/>
          <w:szCs w:val="32"/>
        </w:rPr>
        <w:t>3</w:t>
      </w:r>
      <w:r>
        <w:rPr>
          <w:sz w:val="32"/>
          <w:szCs w:val="32"/>
        </w:rPr>
        <w:t>年的工作计划，计划重点工作较明确，但仍存在</w:t>
      </w:r>
      <w:r>
        <w:rPr>
          <w:rFonts w:hint="eastAsia"/>
          <w:sz w:val="32"/>
          <w:szCs w:val="32"/>
        </w:rPr>
        <w:t>两方面</w:t>
      </w:r>
      <w:r>
        <w:rPr>
          <w:sz w:val="32"/>
          <w:szCs w:val="32"/>
        </w:rPr>
        <w:t>问题：一是计划量化程度不够。部门计划虽然对全年的工作做出了要求，但工作要点不够具体，缺乏明确可量化的具体指标、责任主体相关内容；二是计划未涵盖部门的全部履职职能，且内容较简单。</w:t>
      </w:r>
    </w:p>
    <w:p w14:paraId="0F7F613D">
      <w:pPr>
        <w:ind w:firstLine="667"/>
        <w:rPr>
          <w:b/>
          <w:sz w:val="32"/>
          <w:szCs w:val="32"/>
        </w:rPr>
      </w:pPr>
      <w:r>
        <w:rPr>
          <w:rFonts w:hint="eastAsia"/>
          <w:b/>
          <w:sz w:val="32"/>
          <w:szCs w:val="32"/>
        </w:rPr>
        <w:t>2.专项资金使用待规范</w:t>
      </w:r>
    </w:p>
    <w:p w14:paraId="2CC765E9">
      <w:pPr>
        <w:ind w:firstLine="664"/>
        <w:rPr>
          <w:sz w:val="32"/>
          <w:szCs w:val="32"/>
        </w:rPr>
      </w:pPr>
      <w:r>
        <w:rPr>
          <w:rFonts w:hint="eastAsia"/>
          <w:sz w:val="32"/>
          <w:szCs w:val="32"/>
        </w:rPr>
        <w:t>经核查，2023年，因公用经费不足，浮梁县市监局挪用了部分项目经费用于基本支出，如2023年7月15#凭证，使用价格监督检查和反垄断工作经费支付水费253.08元，不符合该专项资金的使用用途，专项资金使用欠规范。</w:t>
      </w:r>
    </w:p>
    <w:p w14:paraId="45086553">
      <w:pPr>
        <w:ind w:firstLine="667"/>
        <w:rPr>
          <w:b/>
          <w:sz w:val="32"/>
          <w:szCs w:val="32"/>
        </w:rPr>
      </w:pPr>
      <w:r>
        <w:rPr>
          <w:rFonts w:hint="eastAsia"/>
          <w:b/>
          <w:sz w:val="32"/>
          <w:szCs w:val="32"/>
        </w:rPr>
        <w:t>3.部分固定资产未入账</w:t>
      </w:r>
    </w:p>
    <w:p w14:paraId="19A552DE">
      <w:pPr>
        <w:ind w:firstLine="664"/>
        <w:rPr>
          <w:sz w:val="32"/>
          <w:szCs w:val="32"/>
        </w:rPr>
      </w:pPr>
      <w:r>
        <w:rPr>
          <w:rFonts w:hint="eastAsia"/>
          <w:sz w:val="32"/>
          <w:szCs w:val="32"/>
        </w:rPr>
        <w:t>经固定资产盘点，我们发现浮梁县检验检测认证中心部分固定资产未入账。据财务人员解释，未入账固定资产为上级拨付资产，但因不确定该资产所有权是否转移，故一直未入账，导致资产盘点数大于账面数。</w:t>
      </w:r>
    </w:p>
    <w:p w14:paraId="238F6BDD">
      <w:pPr>
        <w:ind w:firstLine="667"/>
        <w:rPr>
          <w:b/>
          <w:sz w:val="32"/>
          <w:szCs w:val="32"/>
        </w:rPr>
      </w:pPr>
      <w:r>
        <w:rPr>
          <w:rFonts w:hint="eastAsia"/>
          <w:b/>
          <w:sz w:val="32"/>
          <w:szCs w:val="32"/>
        </w:rPr>
        <w:t>4.绩效指标设置能力较薄弱</w:t>
      </w:r>
    </w:p>
    <w:p w14:paraId="2EA41BFF">
      <w:pPr>
        <w:ind w:firstLine="664"/>
        <w:rPr>
          <w:sz w:val="32"/>
          <w:szCs w:val="32"/>
        </w:rPr>
      </w:pPr>
      <w:r>
        <w:rPr>
          <w:rFonts w:hint="eastAsia"/>
          <w:sz w:val="32"/>
          <w:szCs w:val="32"/>
        </w:rPr>
        <w:t>在绩效自评的过程中，浮梁县市监局主要存在以下问题：一是指标数量较多，产出和效益指标高达</w:t>
      </w:r>
      <w:r>
        <w:rPr>
          <w:sz w:val="32"/>
          <w:szCs w:val="32"/>
        </w:rPr>
        <w:t>84个，侧重点不明显，且易导致各指标分值较低；二是效益指标缺少可量化指标；三是产出指标权重配分过于均衡，未区分常规基础性工作和重点、核心工作并在分值设置时有所侧重</w:t>
      </w:r>
      <w:r>
        <w:rPr>
          <w:rFonts w:hint="eastAsia"/>
          <w:sz w:val="32"/>
          <w:szCs w:val="32"/>
        </w:rPr>
        <w:t>。总体而言，绩效指标设置能力有待提高。</w:t>
      </w:r>
    </w:p>
    <w:p w14:paraId="75D53C62">
      <w:pPr>
        <w:ind w:firstLine="667"/>
        <w:rPr>
          <w:b/>
          <w:sz w:val="32"/>
          <w:szCs w:val="32"/>
        </w:rPr>
      </w:pPr>
      <w:r>
        <w:rPr>
          <w:rFonts w:hint="eastAsia"/>
          <w:b/>
          <w:sz w:val="32"/>
          <w:szCs w:val="32"/>
        </w:rPr>
        <w:t>5.社会公众满意度等级较低</w:t>
      </w:r>
    </w:p>
    <w:p w14:paraId="6F58ADB8">
      <w:pPr>
        <w:ind w:firstLine="664"/>
        <w:rPr>
          <w:sz w:val="32"/>
          <w:szCs w:val="32"/>
        </w:rPr>
      </w:pPr>
      <w:r>
        <w:rPr>
          <w:rFonts w:hint="eastAsia"/>
          <w:sz w:val="32"/>
          <w:szCs w:val="32"/>
        </w:rPr>
        <w:t>《江西省政务服务“好差评”管理办法》中，评价分为“非常满意”“满意”“基本满意”“不满意”“非常不满意”五个等级。</w:t>
      </w:r>
      <w:r>
        <w:rPr>
          <w:sz w:val="32"/>
          <w:szCs w:val="32"/>
        </w:rPr>
        <w:t>2023年，</w:t>
      </w:r>
      <w:r>
        <w:rPr>
          <w:rFonts w:hint="eastAsia"/>
          <w:sz w:val="32"/>
          <w:szCs w:val="32"/>
        </w:rPr>
        <w:t>浮梁县市监局</w:t>
      </w:r>
      <w:r>
        <w:rPr>
          <w:sz w:val="32"/>
          <w:szCs w:val="32"/>
        </w:rPr>
        <w:t>共收到3230条评价数据，从群众满意与否的角度来看，好评率为</w:t>
      </w:r>
      <w:r>
        <w:rPr>
          <w:rFonts w:hint="eastAsia"/>
          <w:sz w:val="32"/>
          <w:szCs w:val="32"/>
        </w:rPr>
        <w:t>100%，但从满意度等级来看，</w:t>
      </w:r>
      <w:r>
        <w:rPr>
          <w:sz w:val="32"/>
          <w:szCs w:val="32"/>
        </w:rPr>
        <w:t>评价结果全部为基本满意，社会公众满意度等级</w:t>
      </w:r>
      <w:r>
        <w:rPr>
          <w:rFonts w:hint="eastAsia"/>
          <w:sz w:val="32"/>
          <w:szCs w:val="32"/>
        </w:rPr>
        <w:t>较低</w:t>
      </w:r>
      <w:r>
        <w:rPr>
          <w:sz w:val="32"/>
          <w:szCs w:val="32"/>
        </w:rPr>
        <w:t>。</w:t>
      </w:r>
    </w:p>
    <w:p w14:paraId="646D795E">
      <w:pPr>
        <w:pStyle w:val="3"/>
        <w:adjustRightInd/>
        <w:snapToGrid/>
        <w:spacing w:before="0" w:after="0"/>
        <w:ind w:firstLine="667"/>
        <w:contextualSpacing/>
        <w:rPr>
          <w:rFonts w:ascii="楷体_GB2312" w:eastAsia="楷体_GB2312" w:cs="Times New Roman"/>
          <w:bCs w:val="0"/>
        </w:rPr>
      </w:pPr>
      <w:bookmarkStart w:id="39" w:name="_Toc146476238"/>
      <w:bookmarkStart w:id="40" w:name="_Toc167874833"/>
      <w:r>
        <w:rPr>
          <w:rFonts w:hint="eastAsia" w:ascii="楷体_GB2312" w:eastAsia="楷体_GB2312" w:cs="Times New Roman"/>
          <w:bCs w:val="0"/>
        </w:rPr>
        <w:t>（二）</w:t>
      </w:r>
      <w:bookmarkEnd w:id="39"/>
      <w:r>
        <w:rPr>
          <w:rFonts w:hint="eastAsia" w:ascii="楷体_GB2312" w:eastAsia="楷体_GB2312" w:cs="Times New Roman"/>
          <w:bCs w:val="0"/>
        </w:rPr>
        <w:t>改进的方向和具体措施</w:t>
      </w:r>
      <w:bookmarkEnd w:id="40"/>
    </w:p>
    <w:p w14:paraId="36FAF6D2">
      <w:pPr>
        <w:ind w:firstLine="667"/>
        <w:rPr>
          <w:sz w:val="32"/>
          <w:szCs w:val="32"/>
        </w:rPr>
      </w:pPr>
      <w:r>
        <w:rPr>
          <w:rFonts w:hint="eastAsia"/>
          <w:b/>
          <w:sz w:val="32"/>
          <w:szCs w:val="32"/>
        </w:rPr>
        <w:t>1.突破部门工作计划编制瓶颈，提高年度工作计划有效性。</w:t>
      </w:r>
      <w:r>
        <w:rPr>
          <w:rFonts w:hint="eastAsia"/>
          <w:sz w:val="32"/>
          <w:szCs w:val="32"/>
        </w:rPr>
        <w:t>一方面充分了解其在部门工作计划编制过程中的瓶颈，依据中长期规划和上级部门下达的重点工作任务合理设置年度目标，另一方面在撰写具体工作要点时，要多微观少宏观、多定量少定性、多数据支撑少一般描述，要强调操作性，并将任务落实到具体科室，从而使得部门工作计划整体布局合理、计划内容有依有据，提高年度工作计划的有效性。</w:t>
      </w:r>
    </w:p>
    <w:p w14:paraId="7AFABAF6">
      <w:pPr>
        <w:ind w:firstLine="667"/>
        <w:rPr>
          <w:b/>
          <w:sz w:val="32"/>
          <w:szCs w:val="32"/>
        </w:rPr>
      </w:pPr>
      <w:r>
        <w:rPr>
          <w:rFonts w:hint="eastAsia"/>
          <w:b/>
          <w:sz w:val="32"/>
          <w:szCs w:val="32"/>
        </w:rPr>
        <w:t>2.</w:t>
      </w:r>
      <w:r>
        <w:rPr>
          <w:b/>
          <w:sz w:val="32"/>
          <w:szCs w:val="32"/>
        </w:rPr>
        <w:t>强化单位内部管理,规范资金使用范围</w:t>
      </w:r>
      <w:r>
        <w:rPr>
          <w:rFonts w:hint="eastAsia"/>
          <w:b/>
          <w:sz w:val="32"/>
          <w:szCs w:val="32"/>
        </w:rPr>
        <w:t>。</w:t>
      </w:r>
      <w:r>
        <w:rPr>
          <w:rFonts w:hint="eastAsia"/>
          <w:sz w:val="32"/>
          <w:szCs w:val="32"/>
        </w:rPr>
        <w:t>制定专项资金管理办法，加强专项资金管理，严格按照专项资金管理办法有关规定进行专款专用，不得以任何形式挪作他用，若有不确定事项，可咨询财政部门，确保专项资金使用合规。</w:t>
      </w:r>
    </w:p>
    <w:p w14:paraId="4CA518C2">
      <w:pPr>
        <w:ind w:firstLine="667"/>
        <w:rPr>
          <w:sz w:val="32"/>
          <w:szCs w:val="32"/>
        </w:rPr>
      </w:pPr>
      <w:r>
        <w:rPr>
          <w:rFonts w:hint="eastAsia"/>
          <w:b/>
          <w:sz w:val="32"/>
          <w:szCs w:val="32"/>
        </w:rPr>
        <w:t>3.核实未入账固定资产所有权，确保固定资产账实相符。</w:t>
      </w:r>
      <w:r>
        <w:rPr>
          <w:rFonts w:hint="eastAsia"/>
          <w:sz w:val="32"/>
          <w:szCs w:val="32"/>
        </w:rPr>
        <w:t>《行政单位会计制度》规定，取得资产时没有支付对价的</w:t>
      </w:r>
      <w:r>
        <w:rPr>
          <w:sz w:val="32"/>
          <w:szCs w:val="32"/>
        </w:rPr>
        <w:t>,其计量金额应当按照有关凭</w:t>
      </w:r>
      <w:r>
        <w:rPr>
          <w:rFonts w:hint="eastAsia"/>
          <w:sz w:val="32"/>
          <w:szCs w:val="32"/>
        </w:rPr>
        <w:t>据注明的金额加上相关税费、运输费等确定</w:t>
      </w:r>
      <w:r>
        <w:rPr>
          <w:sz w:val="32"/>
          <w:szCs w:val="32"/>
        </w:rPr>
        <w:t>；没有相关凭据但依</w:t>
      </w:r>
      <w:r>
        <w:rPr>
          <w:rFonts w:hint="eastAsia"/>
          <w:sz w:val="32"/>
          <w:szCs w:val="32"/>
        </w:rPr>
        <w:t>法经过资产评估的</w:t>
      </w:r>
      <w:r>
        <w:rPr>
          <w:sz w:val="32"/>
          <w:szCs w:val="32"/>
        </w:rPr>
        <w:t>，其计量金额应当按照评估价值加上相关税费运输费等确定;没有相关凭据也未经评估的，其计量金额比照</w:t>
      </w:r>
      <w:r>
        <w:rPr>
          <w:rFonts w:hint="eastAsia"/>
          <w:sz w:val="32"/>
          <w:szCs w:val="32"/>
        </w:rPr>
        <w:t>同类或类似资产的市场价格加上相关税费、运输费等确定</w:t>
      </w:r>
      <w:r>
        <w:rPr>
          <w:sz w:val="32"/>
          <w:szCs w:val="32"/>
        </w:rPr>
        <w:t>；没有</w:t>
      </w:r>
      <w:r>
        <w:rPr>
          <w:rFonts w:hint="eastAsia"/>
          <w:sz w:val="32"/>
          <w:szCs w:val="32"/>
        </w:rPr>
        <w:t>相关凭据也未经评估，其同类或类似资产的市场价格无法可靠取得，所取得的资产应当按照名义金额（即人民币</w:t>
      </w:r>
      <w:r>
        <w:rPr>
          <w:sz w:val="32"/>
          <w:szCs w:val="32"/>
        </w:rPr>
        <w:t>1元)</w:t>
      </w:r>
      <w:r>
        <w:rPr>
          <w:rFonts w:hint="eastAsia"/>
          <w:sz w:val="32"/>
          <w:szCs w:val="32"/>
        </w:rPr>
        <w:t>入账。对于上级拨付的固定资产，应一一核实资产所有权，确定为上级捐赠的，应按照《行政单位会计制度》进行账务处理，确保资产盘点账实相符。</w:t>
      </w:r>
    </w:p>
    <w:p w14:paraId="63929C78">
      <w:pPr>
        <w:ind w:firstLine="667"/>
        <w:rPr>
          <w:sz w:val="32"/>
          <w:szCs w:val="32"/>
        </w:rPr>
      </w:pPr>
      <w:r>
        <w:rPr>
          <w:rFonts w:hint="eastAsia"/>
          <w:b/>
          <w:sz w:val="32"/>
          <w:szCs w:val="32"/>
        </w:rPr>
        <w:t>4.加强对预算绩效管理的学习，重视满意度调查结果分析。</w:t>
      </w:r>
      <w:r>
        <w:rPr>
          <w:rFonts w:hint="eastAsia"/>
          <w:sz w:val="32"/>
          <w:szCs w:val="32"/>
        </w:rPr>
        <w:t>将绩效管理融入日常工作，加强业务工作和财务工作协同，科学合理地设置自评指标。在设置效益类指标时，将定性指标与定量指标相结合，并加强对重点、核心指标的设置，依据指标重要性合理设置分值权重，确保能够真实准确全面地反映各绩效目标完成情况，突出项目实施的效益效果。此外，应加强对政务服务好差评数据的分析，通过相关数据了解社会公众或服务对象的建议或意见，从而不断提高社会公众满意度。</w:t>
      </w:r>
    </w:p>
    <w:p w14:paraId="5BC967AD">
      <w:pPr>
        <w:pStyle w:val="2"/>
        <w:adjustRightInd/>
        <w:snapToGrid/>
        <w:spacing w:before="0" w:after="0"/>
        <w:ind w:firstLine="664"/>
        <w:contextualSpacing/>
      </w:pPr>
      <w:bookmarkStart w:id="41" w:name="_Toc167874834"/>
      <w:r>
        <w:rPr>
          <w:rFonts w:hint="eastAsia"/>
        </w:rPr>
        <w:t>六、其他需要说明的问题</w:t>
      </w:r>
      <w:bookmarkEnd w:id="41"/>
    </w:p>
    <w:p w14:paraId="1BF332FB">
      <w:pPr>
        <w:ind w:firstLine="664"/>
        <w:rPr>
          <w:sz w:val="32"/>
          <w:szCs w:val="32"/>
        </w:rPr>
      </w:pPr>
      <w:r>
        <w:rPr>
          <w:rFonts w:hint="eastAsia"/>
          <w:sz w:val="32"/>
          <w:szCs w:val="32"/>
        </w:rPr>
        <w:t>无。</w:t>
      </w:r>
    </w:p>
    <w:p w14:paraId="2BE58646">
      <w:pPr>
        <w:adjustRightInd/>
        <w:snapToGrid/>
        <w:ind w:firstLine="584"/>
        <w:contextualSpacing/>
      </w:pPr>
    </w:p>
    <w:p w14:paraId="19B06B83">
      <w:pPr>
        <w:adjustRightInd/>
        <w:snapToGrid/>
        <w:ind w:firstLine="664"/>
        <w:contextualSpacing/>
        <w:rPr>
          <w:sz w:val="32"/>
          <w:szCs w:val="32"/>
        </w:rPr>
      </w:pPr>
      <w:r>
        <w:rPr>
          <w:rFonts w:hint="eastAsia"/>
          <w:sz w:val="32"/>
          <w:szCs w:val="32"/>
        </w:rPr>
        <w:t>附件：1.浮梁县市场监督管理局</w:t>
      </w:r>
      <w:r>
        <w:rPr>
          <w:sz w:val="32"/>
          <w:szCs w:val="32"/>
        </w:rPr>
        <w:t>2023年度部门整体</w:t>
      </w:r>
    </w:p>
    <w:p w14:paraId="69ACA8F2">
      <w:pPr>
        <w:adjustRightInd/>
        <w:snapToGrid/>
        <w:ind w:firstLine="1600" w:firstLineChars="500"/>
        <w:contextualSpacing/>
        <w:rPr>
          <w:sz w:val="32"/>
          <w:szCs w:val="32"/>
        </w:rPr>
      </w:pPr>
      <w:r>
        <w:rPr>
          <w:sz w:val="32"/>
          <w:szCs w:val="32"/>
        </w:rPr>
        <w:t>支出绩效评价指标体系评分表</w:t>
      </w:r>
    </w:p>
    <w:p w14:paraId="52204D2C">
      <w:pPr>
        <w:adjustRightInd/>
        <w:snapToGrid/>
        <w:ind w:firstLine="1632" w:firstLineChars="510"/>
        <w:contextualSpacing/>
        <w:rPr>
          <w:sz w:val="32"/>
          <w:szCs w:val="32"/>
        </w:rPr>
      </w:pPr>
      <w:r>
        <w:rPr>
          <w:rFonts w:hint="eastAsia"/>
          <w:sz w:val="32"/>
          <w:szCs w:val="32"/>
        </w:rPr>
        <w:t>2.</w:t>
      </w:r>
      <w:r>
        <w:rPr>
          <w:sz w:val="32"/>
          <w:szCs w:val="32"/>
        </w:rPr>
        <w:t>满意度调查报告</w:t>
      </w:r>
    </w:p>
    <w:p w14:paraId="29885059">
      <w:pPr>
        <w:adjustRightInd/>
        <w:snapToGrid/>
        <w:ind w:firstLine="0" w:firstLineChars="0"/>
        <w:contextualSpacing/>
        <w:rPr>
          <w:sz w:val="32"/>
          <w:szCs w:val="32"/>
        </w:rPr>
      </w:pPr>
      <w:r>
        <w:rPr>
          <w:rFonts w:hint="eastAsia"/>
          <w:sz w:val="32"/>
          <w:szCs w:val="32"/>
        </w:rPr>
        <w:t xml:space="preserve"> </w:t>
      </w:r>
    </w:p>
    <w:p w14:paraId="436DFBCA">
      <w:pPr>
        <w:bidi w:val="0"/>
        <w:rPr>
          <w:rFonts w:hint="eastAsia" w:eastAsia="宋体"/>
          <w:lang w:eastAsia="zh-CN"/>
        </w:rPr>
      </w:pPr>
    </w:p>
    <w:p w14:paraId="389602A2">
      <w:pPr>
        <w:bidi w:val="0"/>
        <w:rPr>
          <w:rFonts w:hint="eastAsia"/>
        </w:rPr>
      </w:pPr>
    </w:p>
    <w:p w14:paraId="32934786">
      <w:pPr>
        <w:bidi w:val="0"/>
        <w:rPr>
          <w:rFonts w:hint="eastAsia"/>
        </w:rPr>
      </w:pPr>
    </w:p>
    <w:p w14:paraId="1189EDB8">
      <w:pPr>
        <w:bidi w:val="0"/>
        <w:rPr>
          <w:rFonts w:hint="eastAsia"/>
        </w:rPr>
      </w:pPr>
    </w:p>
    <w:p w14:paraId="29032C75">
      <w:pPr>
        <w:bidi w:val="0"/>
        <w:rPr>
          <w:rFonts w:hint="eastAsia"/>
        </w:rPr>
      </w:pPr>
    </w:p>
    <w:p w14:paraId="4CF22552">
      <w:pPr>
        <w:bidi w:val="0"/>
        <w:rPr>
          <w:rFonts w:hint="eastAsia"/>
        </w:rPr>
      </w:pPr>
    </w:p>
    <w:p w14:paraId="58FE8473">
      <w:pPr>
        <w:bidi w:val="0"/>
        <w:rPr>
          <w:rFonts w:hint="eastAsia"/>
        </w:rPr>
      </w:pPr>
    </w:p>
    <w:p w14:paraId="14FB60F6">
      <w:pPr>
        <w:bidi w:val="0"/>
        <w:rPr>
          <w:rFonts w:hint="eastAsia"/>
        </w:rPr>
      </w:pPr>
    </w:p>
    <w:p w14:paraId="11534211">
      <w:pPr>
        <w:ind w:firstLine="640" w:firstLineChars="200"/>
        <w:rPr>
          <w:rFonts w:hint="eastAsia" w:ascii="仿宋_GB2312" w:hAnsi="仿宋_GB2312" w:eastAsia="仿宋_GB2312"/>
          <w:color w:val="FF0000"/>
          <w:kern w:val="0"/>
          <w:sz w:val="32"/>
          <w:szCs w:val="32"/>
        </w:rPr>
      </w:pPr>
    </w:p>
    <w:p w14:paraId="273A115B">
      <w:pPr>
        <w:ind w:firstLine="640" w:firstLineChars="200"/>
        <w:rPr>
          <w:rFonts w:hint="eastAsia" w:ascii="仿宋_GB2312" w:hAnsi="仿宋_GB2312" w:eastAsia="仿宋_GB2312"/>
          <w:color w:val="FF0000"/>
          <w:kern w:val="0"/>
          <w:sz w:val="32"/>
          <w:szCs w:val="32"/>
        </w:rPr>
      </w:pPr>
    </w:p>
    <w:p w14:paraId="4CCB3C0F">
      <w:pPr>
        <w:ind w:firstLine="600"/>
        <w:rPr>
          <w:rFonts w:hint="eastAsia" w:ascii="仿宋_GB2312" w:hAnsi="仿宋_GB2312" w:eastAsia="仿宋_GB2312"/>
          <w:kern w:val="0"/>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58B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BE5A7">
                          <w:pPr>
                            <w:pStyle w:val="2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0BBE5A7">
                    <w:pPr>
                      <w:pStyle w:val="2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B66A">
    <w:pPr>
      <w:pStyle w:val="6"/>
      <w:ind w:firstLine="584"/>
      <w:jc w:val="right"/>
      <w:rPr>
        <w:sz w:val="28"/>
        <w:szCs w:val="28"/>
      </w:rPr>
    </w:pPr>
  </w:p>
  <w:p w14:paraId="4902074E">
    <w:pPr>
      <w:ind w:firstLine="5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353067"/>
      <w:docPartObj>
        <w:docPartGallery w:val="autotext"/>
      </w:docPartObj>
    </w:sdtPr>
    <w:sdtContent>
      <w:p w14:paraId="15DF2F30">
        <w:pPr>
          <w:pStyle w:val="6"/>
          <w:spacing w:line="240" w:lineRule="auto"/>
          <w:ind w:firstLine="360"/>
          <w:jc w:val="right"/>
        </w:pPr>
        <w:r>
          <w:rPr>
            <w:rFonts w:hint="eastAsia"/>
            <w:sz w:val="24"/>
          </w:rPr>
          <w:t xml:space="preserve">— </w:t>
        </w:r>
        <w:r>
          <w:rPr>
            <w:rFonts w:hint="eastAsia"/>
            <w:sz w:val="24"/>
          </w:rPr>
          <w:fldChar w:fldCharType="begin"/>
        </w:r>
        <w:r>
          <w:rPr>
            <w:rFonts w:hint="eastAsia"/>
            <w:sz w:val="24"/>
          </w:rPr>
          <w:instrText xml:space="preserve">PAGE   \* MERGEFORMAT</w:instrText>
        </w:r>
        <w:r>
          <w:rPr>
            <w:rFonts w:hint="eastAsia"/>
            <w:sz w:val="24"/>
          </w:rPr>
          <w:fldChar w:fldCharType="separate"/>
        </w:r>
        <w:r>
          <w:rPr>
            <w:sz w:val="24"/>
            <w:lang w:val="zh-CN"/>
          </w:rPr>
          <w:t>2</w:t>
        </w:r>
        <w:r>
          <w:rPr>
            <w:rFonts w:hint="eastAsia"/>
            <w:sz w:val="24"/>
          </w:rPr>
          <w:fldChar w:fldCharType="end"/>
        </w:r>
        <w:r>
          <w:rPr>
            <w:rFonts w:hint="eastAsia"/>
            <w:sz w:val="24"/>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F598">
    <w:pPr>
      <w:pStyle w:val="7"/>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C2A9">
    <w:pPr>
      <w:pStyle w:val="6"/>
      <w:ind w:firstLine="584"/>
      <w:jc w:val="right"/>
      <w:rPr>
        <w:sz w:val="28"/>
        <w:szCs w:val="28"/>
      </w:rPr>
    </w:pPr>
  </w:p>
  <w:p w14:paraId="3162B70B">
    <w:pPr>
      <w:ind w:firstLine="5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7179"/>
      <w:docPartObj>
        <w:docPartGallery w:val="autotext"/>
      </w:docPartObj>
    </w:sdtPr>
    <w:sdtEndPr>
      <w:rPr>
        <w:sz w:val="28"/>
        <w:szCs w:val="28"/>
      </w:rPr>
    </w:sdtEndPr>
    <w:sdtContent>
      <w:p w14:paraId="39857A6E">
        <w:pPr>
          <w:pStyle w:val="6"/>
          <w:ind w:firstLine="36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14:paraId="625AECB9">
    <w:pPr>
      <w:pStyle w:val="6"/>
      <w:ind w:firstLine="584"/>
      <w:jc w:val="right"/>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57DA378">
      <w:pPr>
        <w:pStyle w:val="9"/>
        <w:spacing w:line="240" w:lineRule="auto"/>
        <w:ind w:firstLine="360"/>
      </w:pPr>
      <w:r>
        <w:rPr>
          <w:rStyle w:val="16"/>
        </w:rPr>
        <w:footnoteRef/>
      </w:r>
      <w:r>
        <w:rPr>
          <w:rFonts w:hint="eastAsia"/>
        </w:rPr>
        <w:t xml:space="preserve"> 根据“目标值”内容，将“业绩值”分为四档，即得</w:t>
      </w:r>
      <w:r>
        <w:t>90%（含）分值至满分定性为</w:t>
      </w:r>
      <w:r>
        <w:rPr>
          <w:rFonts w:hint="eastAsia"/>
        </w:rPr>
        <w:t>明确</w:t>
      </w:r>
      <w:r>
        <w:t>，得80%（含）至90%分值时定性为较</w:t>
      </w:r>
      <w:r>
        <w:rPr>
          <w:rFonts w:hint="eastAsia"/>
        </w:rPr>
        <w:t>明确</w:t>
      </w:r>
      <w:r>
        <w:t>，得60%（含）至80%分值时定性为一般，得60%以下的分值定性为不</w:t>
      </w:r>
      <w:r>
        <w:rPr>
          <w:rFonts w:hint="eastAsia"/>
        </w:rPr>
        <w:t>明确</w:t>
      </w:r>
      <w:r>
        <w:t>。以下相关“</w:t>
      </w:r>
      <w:r>
        <w:rPr>
          <w:rFonts w:hint="eastAsia"/>
        </w:rPr>
        <w:t>目标</w:t>
      </w:r>
      <w:r>
        <w:t>值”与“业绩值”同理得之。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C87E">
    <w:pPr>
      <w:ind w:firstLine="5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D372">
    <w:pPr>
      <w:ind w:firstLine="5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3BC0">
    <w:pPr>
      <w:ind w:firstLine="5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B4B4"/>
    <w:multiLevelType w:val="singleLevel"/>
    <w:tmpl w:val="8173B4B4"/>
    <w:lvl w:ilvl="0" w:tentative="0">
      <w:start w:val="1"/>
      <w:numFmt w:val="chineseCounting"/>
      <w:suff w:val="nothing"/>
      <w:lvlText w:val="（%1）"/>
      <w:lvlJc w:val="left"/>
      <w:rPr>
        <w:rFonts w:hint="eastAsia"/>
      </w:rPr>
    </w:lvl>
  </w:abstractNum>
  <w:abstractNum w:abstractNumId="1">
    <w:nsid w:val="8F6079FC"/>
    <w:multiLevelType w:val="singleLevel"/>
    <w:tmpl w:val="8F6079FC"/>
    <w:lvl w:ilvl="0" w:tentative="0">
      <w:start w:val="1"/>
      <w:numFmt w:val="chineseCounting"/>
      <w:suff w:val="nothing"/>
      <w:lvlText w:val="%1、"/>
      <w:lvlJc w:val="left"/>
      <w:rPr>
        <w:rFonts w:hint="eastAsia"/>
      </w:rPr>
    </w:lvl>
  </w:abstractNum>
  <w:abstractNum w:abstractNumId="2">
    <w:nsid w:val="292638BD"/>
    <w:multiLevelType w:val="singleLevel"/>
    <w:tmpl w:val="292638B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2"/>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MzQzM2ZiZDkzMzk4YzI5YjY3NTNkZDA5NzBjMTYifQ=="/>
  </w:docVars>
  <w:rsids>
    <w:rsidRoot w:val="00000000"/>
    <w:rsid w:val="06D04346"/>
    <w:rsid w:val="130E6C8D"/>
    <w:rsid w:val="13E322D8"/>
    <w:rsid w:val="41ED4B94"/>
    <w:rsid w:val="4B07077D"/>
    <w:rsid w:val="4D727C9A"/>
    <w:rsid w:val="69D84895"/>
    <w:rsid w:val="6E97550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20" w:after="120"/>
      <w:outlineLvl w:val="0"/>
    </w:pPr>
    <w:rPr>
      <w:rFonts w:eastAsia="黑体"/>
      <w:bCs/>
      <w:kern w:val="44"/>
      <w:sz w:val="32"/>
      <w:szCs w:val="44"/>
    </w:rPr>
  </w:style>
  <w:style w:type="paragraph" w:styleId="3">
    <w:name w:val="heading 2"/>
    <w:basedOn w:val="1"/>
    <w:next w:val="1"/>
    <w:unhideWhenUsed/>
    <w:qFormat/>
    <w:uiPriority w:val="0"/>
    <w:pPr>
      <w:keepNext/>
      <w:keepLines/>
      <w:spacing w:before="120" w:after="60"/>
      <w:outlineLvl w:val="1"/>
    </w:pPr>
    <w:rPr>
      <w:rFonts w:eastAsia="楷体" w:asciiTheme="majorHAnsi" w:hAnsiTheme="majorHAnsi"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spacing w:line="590" w:lineRule="exact"/>
    </w:pPr>
    <w:rPr>
      <w:rFonts w:cs="仿宋_GB2312"/>
      <w:kern w:val="0"/>
    </w:rPr>
  </w:style>
  <w:style w:type="paragraph" w:styleId="5">
    <w:name w:val="Body Text Indent"/>
    <w:basedOn w:val="1"/>
    <w:next w:val="4"/>
    <w:qFormat/>
    <w:uiPriority w:val="0"/>
    <w:pPr>
      <w:adjustRightInd/>
      <w:snapToGrid/>
      <w:spacing w:after="120" w:line="240" w:lineRule="auto"/>
      <w:ind w:left="420" w:leftChars="200" w:firstLine="0" w:firstLineChars="0"/>
    </w:pPr>
    <w:rPr>
      <w:rFonts w:ascii="Times New Roman" w:hAnsi="Times New Roman" w:eastAsia="宋体"/>
      <w:spacing w:val="0"/>
      <w:sz w:val="21"/>
    </w:rPr>
  </w:style>
  <w:style w:type="paragraph" w:styleId="6">
    <w:name w:val="footer"/>
    <w:basedOn w:val="1"/>
    <w:unhideWhenUsed/>
    <w:qFormat/>
    <w:uiPriority w:val="99"/>
    <w:pPr>
      <w:tabs>
        <w:tab w:val="center" w:pos="4153"/>
        <w:tab w:val="right" w:pos="8306"/>
      </w:tabs>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tabs>
        <w:tab w:val="right" w:leader="dot" w:pos="8834"/>
      </w:tabs>
      <w:ind w:left="292" w:leftChars="100" w:firstLine="0" w:firstLineChars="0"/>
      <w:jc w:val="center"/>
    </w:pPr>
    <w:rPr>
      <w:rFonts w:ascii="黑体" w:hAnsi="黑体" w:eastAsia="黑体"/>
      <w:szCs w:val="28"/>
    </w:rPr>
  </w:style>
  <w:style w:type="paragraph" w:styleId="9">
    <w:name w:val="footnote text"/>
    <w:basedOn w:val="1"/>
    <w:unhideWhenUsed/>
    <w:qFormat/>
    <w:uiPriority w:val="0"/>
    <w:pPr>
      <w:jc w:val="left"/>
    </w:pPr>
    <w:rPr>
      <w:rFonts w:cs="Times New Roman"/>
      <w:sz w:val="18"/>
      <w:szCs w:val="18"/>
    </w:rPr>
  </w:style>
  <w:style w:type="paragraph" w:styleId="10">
    <w:name w:val="toc 2"/>
    <w:basedOn w:val="1"/>
    <w:next w:val="1"/>
    <w:unhideWhenUsed/>
    <w:qFormat/>
    <w:uiPriority w:val="39"/>
    <w:pPr>
      <w:tabs>
        <w:tab w:val="right" w:leader="dot" w:pos="8834"/>
      </w:tabs>
      <w:spacing w:line="360" w:lineRule="auto"/>
      <w:ind w:left="730" w:leftChars="250" w:firstLine="0" w:firstLineChars="0"/>
    </w:pPr>
    <w:rPr>
      <w:rFonts w:ascii="楷体_GB2312" w:eastAsia="楷体_GB2312"/>
    </w:rPr>
  </w:style>
  <w:style w:type="paragraph" w:styleId="11">
    <w:name w:val="Body Text First Indent 2"/>
    <w:basedOn w:val="1"/>
    <w:next w:val="1"/>
    <w:qFormat/>
    <w:uiPriority w:val="99"/>
    <w:pPr>
      <w:ind w:firstLine="420" w:firstLineChars="200"/>
    </w:p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basedOn w:val="14"/>
    <w:qFormat/>
    <w:uiPriority w:val="0"/>
    <w:rPr>
      <w:color w:val="0000FF"/>
      <w:u w:val="single"/>
    </w:rPr>
  </w:style>
  <w:style w:type="character" w:styleId="16">
    <w:name w:val="footnote reference"/>
    <w:basedOn w:val="14"/>
    <w:unhideWhenUsed/>
    <w:qFormat/>
    <w:uiPriority w:val="0"/>
    <w:rPr>
      <w:vertAlign w:val="superscript"/>
    </w:rPr>
  </w:style>
  <w:style w:type="character" w:customStyle="1" w:styleId="17">
    <w:name w:val="默认段落字体1"/>
    <w:qFormat/>
    <w:uiPriority w:val="0"/>
  </w:style>
  <w:style w:type="table" w:customStyle="1" w:styleId="18">
    <w:name w:val="普通表格1"/>
    <w:semiHidden/>
    <w:qFormat/>
    <w:uiPriority w:val="0"/>
    <w:tblPr>
      <w:tblCellMar>
        <w:top w:w="0" w:type="dxa"/>
        <w:left w:w="108" w:type="dxa"/>
        <w:bottom w:w="0" w:type="dxa"/>
        <w:right w:w="108" w:type="dxa"/>
      </w:tblCellMar>
    </w:tblPr>
  </w:style>
  <w:style w:type="paragraph" w:customStyle="1" w:styleId="19">
    <w:name w:val="批注文字1"/>
    <w:basedOn w:val="1"/>
    <w:qFormat/>
    <w:uiPriority w:val="0"/>
    <w:pPr>
      <w:jc w:val="left"/>
    </w:pPr>
  </w:style>
  <w:style w:type="paragraph" w:customStyle="1" w:styleId="20">
    <w:name w:val="批注框文本1"/>
    <w:basedOn w:val="1"/>
    <w:link w:val="21"/>
    <w:qFormat/>
    <w:uiPriority w:val="0"/>
    <w:rPr>
      <w:sz w:val="18"/>
      <w:szCs w:val="18"/>
    </w:rPr>
  </w:style>
  <w:style w:type="character" w:customStyle="1" w:styleId="21">
    <w:name w:val="批注框文本 Char"/>
    <w:link w:val="20"/>
    <w:qFormat/>
    <w:uiPriority w:val="0"/>
    <w:rPr>
      <w:sz w:val="18"/>
      <w:szCs w:val="18"/>
    </w:rPr>
  </w:style>
  <w:style w:type="paragraph" w:customStyle="1" w:styleId="22">
    <w:name w:val="页脚1"/>
    <w:basedOn w:val="1"/>
    <w:link w:val="23"/>
    <w:qFormat/>
    <w:uiPriority w:val="0"/>
    <w:pPr>
      <w:tabs>
        <w:tab w:val="center" w:pos="4153"/>
        <w:tab w:val="right" w:pos="8306"/>
      </w:tabs>
      <w:snapToGrid w:val="0"/>
      <w:jc w:val="left"/>
    </w:pPr>
    <w:rPr>
      <w:sz w:val="18"/>
      <w:szCs w:val="18"/>
    </w:rPr>
  </w:style>
  <w:style w:type="character" w:customStyle="1" w:styleId="23">
    <w:name w:val="页脚 Char"/>
    <w:link w:val="22"/>
    <w:qFormat/>
    <w:uiPriority w:val="0"/>
    <w:rPr>
      <w:sz w:val="18"/>
      <w:szCs w:val="18"/>
    </w:rPr>
  </w:style>
  <w:style w:type="paragraph" w:customStyle="1" w:styleId="24">
    <w:name w:val="页眉1"/>
    <w:basedOn w:val="1"/>
    <w:link w:val="25"/>
    <w:qFormat/>
    <w:uiPriority w:val="0"/>
    <w:pPr>
      <w:pBdr>
        <w:bottom w:val="single" w:color="auto" w:sz="6" w:space="1"/>
      </w:pBdr>
      <w:tabs>
        <w:tab w:val="center" w:pos="4153"/>
        <w:tab w:val="right" w:pos="8306"/>
      </w:tabs>
      <w:snapToGrid w:val="0"/>
      <w:jc w:val="center"/>
    </w:pPr>
    <w:rPr>
      <w:sz w:val="18"/>
      <w:szCs w:val="18"/>
    </w:rPr>
  </w:style>
  <w:style w:type="character" w:customStyle="1" w:styleId="25">
    <w:name w:val="页眉 Char"/>
    <w:link w:val="24"/>
    <w:qFormat/>
    <w:uiPriority w:val="0"/>
    <w:rPr>
      <w:sz w:val="18"/>
      <w:szCs w:val="18"/>
    </w:rPr>
  </w:style>
  <w:style w:type="table" w:customStyle="1" w:styleId="26">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p0"/>
    <w:basedOn w:val="1"/>
    <w:qFormat/>
    <w:uiPriority w:val="0"/>
    <w:pPr>
      <w:widowControl/>
    </w:pPr>
    <w:rPr>
      <w:kern w:val="0"/>
      <w:szCs w:val="21"/>
    </w:rPr>
  </w:style>
  <w:style w:type="paragraph" w:customStyle="1" w:styleId="28">
    <w:name w:val="BodyText"/>
    <w:basedOn w:val="1"/>
    <w:qFormat/>
    <w:uiPriority w:val="0"/>
    <w:pPr>
      <w:widowControl/>
      <w:kinsoku w:val="0"/>
      <w:autoSpaceDE w:val="0"/>
      <w:autoSpaceDN w:val="0"/>
      <w:spacing w:line="240" w:lineRule="auto"/>
      <w:ind w:firstLine="0" w:firstLineChars="0"/>
      <w:jc w:val="left"/>
      <w:textAlignment w:val="baseline"/>
    </w:pPr>
    <w:rPr>
      <w:rFonts w:ascii="Arial" w:hAnsi="Arial" w:eastAsia="仿宋" w:cs="Arial"/>
      <w:snapToGrid w:val="0"/>
      <w:color w:val="000000"/>
      <w:spacing w:val="0"/>
      <w:kern w:val="0"/>
      <w:sz w:val="21"/>
      <w:szCs w:val="24"/>
    </w:rPr>
  </w:style>
  <w:style w:type="paragraph" w:customStyle="1" w:styleId="29">
    <w:name w:val="表头"/>
    <w:basedOn w:val="1"/>
    <w:qFormat/>
    <w:uiPriority w:val="0"/>
    <w:pPr>
      <w:ind w:firstLine="0" w:firstLineChars="0"/>
      <w:jc w:val="center"/>
    </w:pPr>
    <w:rPr>
      <w:rFonts w:ascii="黑体" w:hAnsi="黑体" w:eastAsia="黑体" w:cs="Times New Roman"/>
      <w:sz w:val="21"/>
      <w:szCs w:val="24"/>
    </w:rPr>
  </w:style>
  <w:style w:type="paragraph" w:customStyle="1" w:styleId="30">
    <w:name w:val="正文（表后）"/>
    <w:basedOn w:val="1"/>
    <w:qFormat/>
    <w:uiPriority w:val="0"/>
    <w:pPr>
      <w:spacing w:before="60"/>
      <w:ind w:firstLine="586"/>
    </w:pPr>
    <w:rPr>
      <w:rFonts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72</Pages>
  <Words>2898</Words>
  <Characters>2939</Characters>
  <Lines>119</Lines>
  <Paragraphs>33</Paragraphs>
  <TotalTime>16</TotalTime>
  <ScaleCrop>false</ScaleCrop>
  <LinksUpToDate>false</LinksUpToDate>
  <CharactersWithSpaces>2985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张海慧</cp:lastModifiedBy>
  <cp:lastPrinted>2024-05-22T07:51:00Z</cp:lastPrinted>
  <dcterms:modified xsi:type="dcterms:W3CDTF">2025-08-07T07:59:34Z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48A69E170429441AA6BAD419DFB8FC00_13</vt:lpwstr>
  </property>
  <property fmtid="{D5CDD505-2E9C-101B-9397-08002B2CF9AE}" pid="4" name="KSOTemplateDocerSaveRecord">
    <vt:lpwstr>eyJoZGlkIjoiNjRiNjViODA2M2JlMGE3NDQ4NWU2YTMxODk1Mjc5ZjciLCJ1c2VySWQiOiIzNzMzOTA0MzUifQ==</vt:lpwstr>
  </property>
</Properties>
</file>