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16A9F">
      <w:pPr>
        <w:keepNext w:val="0"/>
        <w:keepLines w:val="0"/>
        <w:pageBreakBefore w:val="0"/>
        <w:wordWrap/>
        <w:overflowPunct/>
        <w:topLinePunct w:val="0"/>
        <w:bidi w:val="0"/>
        <w:spacing w:line="600" w:lineRule="exact"/>
        <w:outlineLvl w:val="9"/>
        <w:rPr>
          <w:rFonts w:ascii="Arial"/>
          <w:sz w:val="21"/>
        </w:rPr>
      </w:pPr>
    </w:p>
    <w:p w14:paraId="7A1712D3">
      <w:pPr>
        <w:keepNext w:val="0"/>
        <w:keepLines w:val="0"/>
        <w:pageBreakBefore w:val="0"/>
        <w:wordWrap/>
        <w:overflowPunct/>
        <w:topLinePunct w:val="0"/>
        <w:bidi w:val="0"/>
        <w:spacing w:line="600" w:lineRule="exact"/>
        <w:outlineLvl w:val="9"/>
        <w:rPr>
          <w:rFonts w:ascii="Arial"/>
          <w:sz w:val="21"/>
        </w:rPr>
      </w:pPr>
    </w:p>
    <w:p w14:paraId="1FBA4123">
      <w:pPr>
        <w:keepNext w:val="0"/>
        <w:keepLines w:val="0"/>
        <w:pageBreakBefore w:val="0"/>
        <w:wordWrap/>
        <w:overflowPunct/>
        <w:topLinePunct w:val="0"/>
        <w:bidi w:val="0"/>
        <w:spacing w:before="110" w:line="600" w:lineRule="exact"/>
        <w:ind w:firstLine="14"/>
        <w:outlineLvl w:val="9"/>
        <w:rPr>
          <w:rFonts w:ascii="Arial"/>
          <w:sz w:val="21"/>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14:paraId="05903C8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Arial" w:eastAsia="宋体"/>
          <w:sz w:val="21"/>
          <w:lang w:eastAsia="zh-CN"/>
        </w:rPr>
      </w:pPr>
      <w:r>
        <w:rPr>
          <w:rFonts w:hint="eastAsia" w:ascii="方正大标宋简体" w:hAnsi="Times New Roman" w:eastAsia="方正大标宋简体" w:cs="Times New Roman"/>
          <w:snapToGrid/>
          <w:kern w:val="2"/>
          <w:sz w:val="44"/>
          <w:szCs w:val="44"/>
          <w:lang w:val="en-US" w:eastAsia="zh-CN" w:bidi="ar-SA"/>
        </w:rPr>
        <w:t>浮梁县市场监督管理局2025年部门预算</w:t>
      </w:r>
    </w:p>
    <w:p w14:paraId="1C49D0E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kern w:val="2"/>
          <w:sz w:val="32"/>
          <w:szCs w:val="32"/>
          <w:lang w:val="en-US" w:eastAsia="zh-CN" w:bidi="ar-SA"/>
        </w:rPr>
      </w:pPr>
    </w:p>
    <w:p w14:paraId="65D3A0F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14:paraId="1BDB3C0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kern w:val="2"/>
          <w:sz w:val="32"/>
          <w:szCs w:val="32"/>
          <w:lang w:val="en-US" w:eastAsia="zh-CN" w:bidi="ar-SA"/>
        </w:rPr>
      </w:pPr>
    </w:p>
    <w:p w14:paraId="3D47D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32"/>
          <w:szCs w:val="32"/>
        </w:rPr>
        <w:t>第一部分</w:t>
      </w:r>
      <w:r>
        <w:rPr>
          <w:rFonts w:hint="eastAsia" w:ascii="仿宋" w:hAnsi="仿宋" w:eastAsia="仿宋" w:cs="仿宋"/>
          <w:i w:val="0"/>
          <w:caps w:val="0"/>
          <w:color w:val="000000"/>
          <w:spacing w:val="0"/>
          <w:sz w:val="32"/>
          <w:szCs w:val="32"/>
        </w:rPr>
        <w:t>浮梁县市场监督管理局概况</w:t>
      </w:r>
    </w:p>
    <w:p w14:paraId="66499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一、部门主要职责</w:t>
      </w:r>
    </w:p>
    <w:p w14:paraId="27E840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二、部门基本情况</w:t>
      </w:r>
    </w:p>
    <w:p w14:paraId="6C6CC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第二部分浮梁县市场监督管理局</w:t>
      </w:r>
      <w:r>
        <w:rPr>
          <w:rFonts w:hint="eastAsia" w:ascii="仿宋" w:hAnsi="仿宋" w:eastAsia="仿宋" w:cs="仿宋"/>
          <w:i w:val="0"/>
          <w:caps w:val="0"/>
          <w:color w:val="000000"/>
          <w:spacing w:val="0"/>
          <w:sz w:val="32"/>
          <w:szCs w:val="32"/>
          <w:lang w:eastAsia="zh-CN"/>
        </w:rPr>
        <w:t>2025年</w:t>
      </w:r>
      <w:r>
        <w:rPr>
          <w:rFonts w:hint="eastAsia" w:ascii="仿宋" w:hAnsi="仿宋" w:eastAsia="仿宋" w:cs="仿宋"/>
          <w:i w:val="0"/>
          <w:caps w:val="0"/>
          <w:color w:val="000000"/>
          <w:spacing w:val="0"/>
          <w:sz w:val="32"/>
          <w:szCs w:val="32"/>
        </w:rPr>
        <w:t>部门预算情况说明</w:t>
      </w:r>
    </w:p>
    <w:p w14:paraId="44B1FB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一、</w:t>
      </w:r>
      <w:r>
        <w:rPr>
          <w:rFonts w:hint="eastAsia" w:ascii="仿宋" w:hAnsi="仿宋" w:eastAsia="仿宋" w:cs="仿宋"/>
          <w:i w:val="0"/>
          <w:caps w:val="0"/>
          <w:color w:val="000000"/>
          <w:spacing w:val="0"/>
          <w:sz w:val="32"/>
          <w:szCs w:val="32"/>
          <w:lang w:eastAsia="zh-CN"/>
        </w:rPr>
        <w:t>2025年</w:t>
      </w:r>
      <w:r>
        <w:rPr>
          <w:rFonts w:hint="eastAsia" w:ascii="仿宋" w:hAnsi="仿宋" w:eastAsia="仿宋" w:cs="仿宋"/>
          <w:i w:val="0"/>
          <w:caps w:val="0"/>
          <w:color w:val="000000"/>
          <w:spacing w:val="0"/>
          <w:sz w:val="32"/>
          <w:szCs w:val="32"/>
        </w:rPr>
        <w:t>部门预算收支情况说明</w:t>
      </w:r>
    </w:p>
    <w:p w14:paraId="4728C1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二、</w:t>
      </w:r>
      <w:r>
        <w:rPr>
          <w:rFonts w:hint="eastAsia" w:ascii="仿宋" w:hAnsi="仿宋" w:eastAsia="仿宋" w:cs="仿宋"/>
          <w:i w:val="0"/>
          <w:caps w:val="0"/>
          <w:color w:val="000000"/>
          <w:spacing w:val="0"/>
          <w:sz w:val="32"/>
          <w:szCs w:val="32"/>
          <w:lang w:eastAsia="zh-CN"/>
        </w:rPr>
        <w:t>2025年</w:t>
      </w:r>
      <w:r>
        <w:rPr>
          <w:rFonts w:hint="eastAsia" w:ascii="仿宋" w:hAnsi="仿宋" w:eastAsia="仿宋" w:cs="仿宋"/>
          <w:i w:val="0"/>
          <w:caps w:val="0"/>
          <w:color w:val="000000"/>
          <w:spacing w:val="0"/>
          <w:sz w:val="32"/>
          <w:szCs w:val="32"/>
        </w:rPr>
        <w:t>“三公”经费预算情况说明</w:t>
      </w:r>
    </w:p>
    <w:p w14:paraId="2ECE53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第三部分浮梁县市场监督管理局</w:t>
      </w:r>
      <w:r>
        <w:rPr>
          <w:rFonts w:hint="eastAsia" w:ascii="仿宋" w:hAnsi="仿宋" w:eastAsia="仿宋" w:cs="仿宋"/>
          <w:i w:val="0"/>
          <w:caps w:val="0"/>
          <w:color w:val="000000"/>
          <w:spacing w:val="0"/>
          <w:sz w:val="32"/>
          <w:szCs w:val="32"/>
          <w:lang w:eastAsia="zh-CN"/>
        </w:rPr>
        <w:t>2025年</w:t>
      </w:r>
      <w:r>
        <w:rPr>
          <w:rFonts w:hint="eastAsia" w:ascii="仿宋" w:hAnsi="仿宋" w:eastAsia="仿宋" w:cs="仿宋"/>
          <w:i w:val="0"/>
          <w:caps w:val="0"/>
          <w:color w:val="000000"/>
          <w:spacing w:val="0"/>
          <w:sz w:val="32"/>
          <w:szCs w:val="32"/>
        </w:rPr>
        <w:t>部门预算表</w:t>
      </w:r>
    </w:p>
    <w:p w14:paraId="60D414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一、收支预算总表</w:t>
      </w:r>
    </w:p>
    <w:p w14:paraId="00AB3C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二、部门收入总表</w:t>
      </w:r>
    </w:p>
    <w:p w14:paraId="1D2076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三、部门支出总表</w:t>
      </w:r>
    </w:p>
    <w:p w14:paraId="54826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四、财政拨款收支总表</w:t>
      </w:r>
    </w:p>
    <w:p w14:paraId="2C9129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五、一般公共预算支出表</w:t>
      </w:r>
    </w:p>
    <w:p w14:paraId="6AE2B7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六、一般公共预算基本支出表</w:t>
      </w:r>
    </w:p>
    <w:p w14:paraId="11C4E3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七、一般公共预算“三公”经费支出表</w:t>
      </w:r>
    </w:p>
    <w:p w14:paraId="4E6477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八、政府性基金预算支出表</w:t>
      </w:r>
    </w:p>
    <w:p w14:paraId="138118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第四部分名词解释</w:t>
      </w:r>
    </w:p>
    <w:p w14:paraId="39C8102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snapToGrid w:val="0"/>
          <w:color w:val="000000"/>
          <w:spacing w:val="0"/>
          <w:kern w:val="0"/>
          <w:sz w:val="32"/>
          <w:szCs w:val="32"/>
          <w:lang w:val="en-US" w:eastAsia="zh-CN" w:bidi="ar"/>
        </w:rPr>
        <w:t>第一部分</w:t>
      </w:r>
    </w:p>
    <w:p w14:paraId="72312F5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snapToGrid w:val="0"/>
          <w:color w:val="000000"/>
          <w:spacing w:val="0"/>
          <w:kern w:val="0"/>
          <w:sz w:val="32"/>
          <w:szCs w:val="32"/>
          <w:lang w:val="en-US" w:eastAsia="zh-CN" w:bidi="ar"/>
        </w:rPr>
        <w:t>浮梁县市场监督管理局概况</w:t>
      </w:r>
    </w:p>
    <w:p w14:paraId="76A4C4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一、部门主要职责</w:t>
      </w:r>
    </w:p>
    <w:p w14:paraId="7D29904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县市场监督管理局贯彻落实党中央关于市场监督管理工作的方针政策和决策部署，在履行职责过程中坚持和加强党对市场监督管理工作的集中统一领导。主要职责是：</w:t>
      </w:r>
    </w:p>
    <w:p w14:paraId="5495C52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14:paraId="4B3757C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14:paraId="0F8F84A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（三）负责指导和监督市场监管综合执法工作。整合建设市场监管综合执法队伍，推动实行统一的市场监管。组织查处重大违法案件。规范市场监管行政执法行为。</w:t>
      </w:r>
    </w:p>
    <w:p w14:paraId="241087B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（四）依据授权，承担负责反垄断执法调查工作。统筹推进竞争政策实施，组织实施公平竞争审查制度。依法依授权进行反垄断调查及执法工作。</w:t>
      </w:r>
    </w:p>
    <w:p w14:paraId="417C20F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14:paraId="3FD8EBA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14:paraId="1AE11F3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（七）负责产品质量安全监督管理。负责全县产品质量安全风险监控、监督抽查工作。组织实施质量分级制度、质量安全追溯制度。负责工业产品生产许可管理。</w:t>
      </w:r>
    </w:p>
    <w:p w14:paraId="7EC71F7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（八）负责特种设备安全监督管理。综合管理特种设备安全监察、监督工作，监督检查高耗能特种设备节能标准和锅炉环境保护标准的执行情况。</w:t>
      </w:r>
    </w:p>
    <w:p w14:paraId="4F92C28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14:paraId="40264C4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14:paraId="06328CB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（十一）负责统一管理计量工作。推行并执行法定计量单位和国家计量制度，管理计量器具及量值传递和比对工作。规范、监督商品量和市场计量行为。</w:t>
      </w:r>
    </w:p>
    <w:p w14:paraId="4F72B3B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（十二）负责统一管理标准化工作。依法承担地方标准的立项、编号和发布等工作，依法协调指导和监督地方标准、团体标准制定工作，管理全县标准化技术委员会。</w:t>
      </w:r>
    </w:p>
    <w:p w14:paraId="40761C1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（十三）负责统一管理认证认可与检验检测工作。落实认证认可与检验检测监督管理制度、措施，指导协调认证认可与检验检测行业发展，依法监督管理认证认可与检验检测工作。</w:t>
      </w:r>
    </w:p>
    <w:p w14:paraId="5810EDD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14:paraId="1442AD6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14:paraId="48D5426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（十六）负责市场监督管理科技和信息化建设、新闻宣传。</w:t>
      </w:r>
    </w:p>
    <w:p w14:paraId="3EFBC52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（十七）完成县委、县政府交办的其他任务。</w:t>
      </w:r>
    </w:p>
    <w:p w14:paraId="6508609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（十八）职能转变。</w:t>
      </w:r>
    </w:p>
    <w:p w14:paraId="3856CC7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１.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和发展技术先进的团体标准，对标国际提高标准整体水平，以标准化促进质量强县建设。</w:t>
      </w:r>
    </w:p>
    <w:p w14:paraId="4DE05F6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２.深入推进简政放权。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14:paraId="69DD30B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３.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w:t>
      </w:r>
    </w:p>
    <w:p w14:paraId="3EA0D45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４.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w:t>
      </w:r>
    </w:p>
    <w:p w14:paraId="58A464B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５.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大众创业，万众创新。加快建设知识产权信息公共服务平台，为创业创新提供便捷咨询等服务，实现信息免费或低成本开放，提高全社会知识产权保护和风险防范意识。</w:t>
      </w:r>
    </w:p>
    <w:p w14:paraId="55FCBCA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（二十）有关职责分工。</w:t>
      </w:r>
    </w:p>
    <w:p w14:paraId="7B954F9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1.与县公安局的有关职责分工。县市场监督管理局与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4BC6FAE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2.与县农业农村局的有关职责分工。（1）县农业农村局负责食用农产品从种植养殖环节到进入批发、零售市场或者生产加工企业前的质量安全监督管理。食用农产品进入批发、零售市场或者生产加工企业后，由县市场监督管理局监督管理。（2）县农业农村局负责动植物疫病防控、畜禽屠宰环节、生鲜乳收购环节质量安全的监督管理。（3）两部门要建立食品安全产地准出、市场准入和追溯机制，加强协调配合和工作衔接，形成监管合力。</w:t>
      </w:r>
    </w:p>
    <w:p w14:paraId="4881FE2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FF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3.与县卫生健康委员会的有关职责分工。县卫生健康委员会负责食品安全风险评估工作，会同县市场监督管理局等部门制定、实施食品安全风险监测计划，建立重大药品不良反应和医疗器械不良事件相互通报联合处置机制。县卫生健康委员会对通过食品安全风险监测或者接到举报发现食品可能存在安全隐患的，应当立即组织进行检验和食品安全风险评估，并及时向县市场监督管理局通报食品安全风险评估结果，对于得出不安全结论的食品，县市场监督管理局应当立即采取措施。县市场监督管理局在监督管理工作中发现需要进行食品安全风险评估</w:t>
      </w:r>
      <w:r>
        <w:rPr>
          <w:rFonts w:hint="eastAsia" w:ascii="仿宋" w:hAnsi="仿宋" w:eastAsia="仿宋" w:cs="仿宋"/>
          <w:i w:val="0"/>
          <w:caps w:val="0"/>
          <w:snapToGrid w:val="0"/>
          <w:color w:val="auto"/>
          <w:spacing w:val="0"/>
          <w:kern w:val="0"/>
          <w:sz w:val="32"/>
          <w:szCs w:val="32"/>
          <w:lang w:val="en-US" w:eastAsia="zh-CN" w:bidi="ar"/>
        </w:rPr>
        <w:t>的，应当及时向县卫生健康委员会提出建议。</w:t>
      </w:r>
    </w:p>
    <w:p w14:paraId="01390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三、部门基本情况</w:t>
      </w:r>
    </w:p>
    <w:p w14:paraId="449DD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outlineLvl w:val="9"/>
        <w:rPr>
          <w:rFonts w:hint="default" w:ascii="微软雅黑" w:hAnsi="微软雅黑" w:eastAsia="仿宋" w:cs="微软雅黑"/>
          <w:i w:val="0"/>
          <w:caps w:val="0"/>
          <w:color w:val="auto"/>
          <w:spacing w:val="0"/>
          <w:sz w:val="21"/>
          <w:szCs w:val="21"/>
          <w:lang w:val="en-US" w:eastAsia="zh-CN"/>
        </w:rPr>
      </w:pPr>
      <w:r>
        <w:rPr>
          <w:rFonts w:hint="eastAsia" w:ascii="仿宋" w:hAnsi="仿宋" w:eastAsia="仿宋" w:cs="仿宋"/>
          <w:i w:val="0"/>
          <w:caps w:val="0"/>
          <w:color w:val="auto"/>
          <w:spacing w:val="0"/>
          <w:sz w:val="32"/>
          <w:szCs w:val="32"/>
        </w:rPr>
        <w:t>本部门含下属单位共有编制数为</w:t>
      </w:r>
      <w:r>
        <w:rPr>
          <w:rFonts w:hint="eastAsia" w:ascii="仿宋" w:hAnsi="仿宋" w:eastAsia="仿宋" w:cs="仿宋"/>
          <w:i w:val="0"/>
          <w:caps w:val="0"/>
          <w:color w:val="auto"/>
          <w:spacing w:val="0"/>
          <w:sz w:val="32"/>
          <w:szCs w:val="32"/>
          <w:lang w:val="en-US" w:eastAsia="zh-CN"/>
        </w:rPr>
        <w:t>101</w:t>
      </w:r>
      <w:r>
        <w:rPr>
          <w:rFonts w:hint="eastAsia" w:ascii="仿宋" w:hAnsi="仿宋" w:eastAsia="仿宋" w:cs="仿宋"/>
          <w:i w:val="0"/>
          <w:caps w:val="0"/>
          <w:color w:val="auto"/>
          <w:spacing w:val="0"/>
          <w:sz w:val="32"/>
          <w:szCs w:val="32"/>
        </w:rPr>
        <w:t>个，其中公务员</w:t>
      </w:r>
      <w:r>
        <w:rPr>
          <w:rFonts w:hint="eastAsia" w:ascii="仿宋" w:hAnsi="仿宋" w:eastAsia="仿宋" w:cs="仿宋"/>
          <w:i w:val="0"/>
          <w:caps w:val="0"/>
          <w:color w:val="auto"/>
          <w:spacing w:val="0"/>
          <w:sz w:val="32"/>
          <w:szCs w:val="32"/>
          <w:lang w:val="en-US" w:eastAsia="zh-CN"/>
        </w:rPr>
        <w:t>65</w:t>
      </w:r>
      <w:r>
        <w:rPr>
          <w:rFonts w:hint="eastAsia" w:ascii="仿宋" w:hAnsi="仿宋" w:eastAsia="仿宋" w:cs="仿宋"/>
          <w:i w:val="0"/>
          <w:caps w:val="0"/>
          <w:color w:val="auto"/>
          <w:spacing w:val="0"/>
          <w:sz w:val="32"/>
          <w:szCs w:val="32"/>
        </w:rPr>
        <w:t>个，全部补助事业编制36个。实有人数</w:t>
      </w:r>
      <w:r>
        <w:rPr>
          <w:rFonts w:hint="eastAsia" w:ascii="仿宋" w:hAnsi="仿宋" w:eastAsia="仿宋" w:cs="仿宋"/>
          <w:i w:val="0"/>
          <w:caps w:val="0"/>
          <w:color w:val="auto"/>
          <w:spacing w:val="0"/>
          <w:sz w:val="32"/>
          <w:szCs w:val="32"/>
          <w:lang w:val="en-US" w:eastAsia="zh-CN"/>
        </w:rPr>
        <w:t>105</w:t>
      </w:r>
      <w:r>
        <w:rPr>
          <w:rFonts w:hint="eastAsia" w:ascii="仿宋" w:hAnsi="仿宋" w:eastAsia="仿宋" w:cs="仿宋"/>
          <w:i w:val="0"/>
          <w:caps w:val="0"/>
          <w:color w:val="auto"/>
          <w:spacing w:val="0"/>
          <w:sz w:val="32"/>
          <w:szCs w:val="32"/>
        </w:rPr>
        <w:t>人，其中在职</w:t>
      </w:r>
      <w:r>
        <w:rPr>
          <w:rFonts w:hint="eastAsia" w:ascii="仿宋" w:hAnsi="仿宋" w:eastAsia="仿宋" w:cs="仿宋"/>
          <w:i w:val="0"/>
          <w:caps w:val="0"/>
          <w:color w:val="auto"/>
          <w:spacing w:val="0"/>
          <w:sz w:val="32"/>
          <w:szCs w:val="32"/>
          <w:lang w:eastAsia="zh-CN"/>
        </w:rPr>
        <w:t>人数</w:t>
      </w:r>
      <w:r>
        <w:rPr>
          <w:rFonts w:hint="eastAsia" w:ascii="仿宋" w:hAnsi="仿宋" w:eastAsia="仿宋" w:cs="仿宋"/>
          <w:i w:val="0"/>
          <w:caps w:val="0"/>
          <w:color w:val="auto"/>
          <w:spacing w:val="0"/>
          <w:sz w:val="32"/>
          <w:szCs w:val="32"/>
          <w:lang w:val="en-US" w:eastAsia="zh-CN"/>
        </w:rPr>
        <w:t>93</w:t>
      </w:r>
      <w:r>
        <w:rPr>
          <w:rFonts w:hint="eastAsia" w:ascii="仿宋" w:hAnsi="仿宋" w:eastAsia="仿宋" w:cs="仿宋"/>
          <w:i w:val="0"/>
          <w:caps w:val="0"/>
          <w:color w:val="auto"/>
          <w:spacing w:val="0"/>
          <w:sz w:val="32"/>
          <w:szCs w:val="32"/>
        </w:rPr>
        <w:t>人，</w:t>
      </w:r>
      <w:r>
        <w:rPr>
          <w:rFonts w:hint="eastAsia" w:ascii="仿宋" w:hAnsi="仿宋" w:eastAsia="仿宋" w:cs="仿宋"/>
          <w:i w:val="0"/>
          <w:caps w:val="0"/>
          <w:color w:val="auto"/>
          <w:spacing w:val="0"/>
          <w:sz w:val="32"/>
          <w:szCs w:val="32"/>
          <w:lang w:eastAsia="zh-CN"/>
        </w:rPr>
        <w:t>编外人员</w:t>
      </w:r>
      <w:r>
        <w:rPr>
          <w:rFonts w:hint="eastAsia" w:ascii="仿宋" w:hAnsi="仿宋" w:eastAsia="仿宋" w:cs="仿宋"/>
          <w:i w:val="0"/>
          <w:caps w:val="0"/>
          <w:color w:val="auto"/>
          <w:spacing w:val="0"/>
          <w:sz w:val="32"/>
          <w:szCs w:val="32"/>
          <w:lang w:val="en-US" w:eastAsia="zh-CN"/>
        </w:rPr>
        <w:t>12人</w:t>
      </w:r>
      <w:r>
        <w:rPr>
          <w:rFonts w:hint="eastAsia" w:ascii="仿宋" w:hAnsi="仿宋" w:eastAsia="仿宋" w:cs="仿宋"/>
          <w:i w:val="0"/>
          <w:caps w:val="0"/>
          <w:color w:val="auto"/>
          <w:spacing w:val="0"/>
          <w:sz w:val="32"/>
          <w:szCs w:val="32"/>
        </w:rPr>
        <w:t>。</w:t>
      </w:r>
      <w:r>
        <w:rPr>
          <w:rFonts w:hint="eastAsia" w:ascii="仿宋" w:hAnsi="仿宋" w:eastAsia="仿宋" w:cs="仿宋"/>
          <w:i w:val="0"/>
          <w:caps w:val="0"/>
          <w:color w:val="auto"/>
          <w:spacing w:val="0"/>
          <w:sz w:val="32"/>
          <w:szCs w:val="32"/>
          <w:lang w:val="en-US" w:eastAsia="zh-CN"/>
        </w:rPr>
        <w:t>退休人员52人。</w:t>
      </w:r>
      <w:bookmarkStart w:id="0" w:name="_GoBack"/>
      <w:bookmarkEnd w:id="0"/>
    </w:p>
    <w:p w14:paraId="35257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auto"/>
          <w:spacing w:val="0"/>
          <w:sz w:val="21"/>
          <w:szCs w:val="21"/>
        </w:rPr>
      </w:pPr>
      <w:r>
        <w:rPr>
          <w:rFonts w:hint="eastAsia" w:ascii="宋体" w:hAnsi="宋体" w:eastAsia="宋体" w:cs="宋体"/>
          <w:b/>
          <w:i w:val="0"/>
          <w:caps w:val="0"/>
          <w:color w:val="auto"/>
          <w:spacing w:val="0"/>
          <w:sz w:val="32"/>
          <w:szCs w:val="32"/>
        </w:rPr>
        <w:t>第二部分浮梁县市场监督管理局</w:t>
      </w:r>
      <w:r>
        <w:rPr>
          <w:rFonts w:hint="eastAsia" w:ascii="宋体" w:hAnsi="宋体" w:eastAsia="宋体" w:cs="宋体"/>
          <w:b/>
          <w:i w:val="0"/>
          <w:caps w:val="0"/>
          <w:color w:val="auto"/>
          <w:spacing w:val="0"/>
          <w:sz w:val="32"/>
          <w:szCs w:val="32"/>
          <w:lang w:eastAsia="zh-CN"/>
        </w:rPr>
        <w:t>2025年</w:t>
      </w:r>
      <w:r>
        <w:rPr>
          <w:rFonts w:hint="eastAsia" w:ascii="宋体" w:hAnsi="宋体" w:eastAsia="宋体" w:cs="宋体"/>
          <w:b/>
          <w:i w:val="0"/>
          <w:caps w:val="0"/>
          <w:color w:val="auto"/>
          <w:spacing w:val="0"/>
          <w:sz w:val="32"/>
          <w:szCs w:val="32"/>
        </w:rPr>
        <w:t>部门预算情况说明</w:t>
      </w:r>
    </w:p>
    <w:p w14:paraId="50845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一、</w:t>
      </w:r>
      <w:r>
        <w:rPr>
          <w:rFonts w:hint="eastAsia" w:ascii="仿宋" w:hAnsi="仿宋" w:eastAsia="仿宋" w:cs="仿宋"/>
          <w:i w:val="0"/>
          <w:caps w:val="0"/>
          <w:color w:val="auto"/>
          <w:spacing w:val="0"/>
          <w:sz w:val="32"/>
          <w:szCs w:val="32"/>
          <w:lang w:eastAsia="zh-CN"/>
        </w:rPr>
        <w:t>2025年</w:t>
      </w:r>
      <w:r>
        <w:rPr>
          <w:rFonts w:hint="eastAsia" w:ascii="仿宋" w:hAnsi="仿宋" w:eastAsia="仿宋" w:cs="仿宋"/>
          <w:i w:val="0"/>
          <w:caps w:val="0"/>
          <w:color w:val="auto"/>
          <w:spacing w:val="0"/>
          <w:sz w:val="32"/>
          <w:szCs w:val="32"/>
        </w:rPr>
        <w:t>部门预算收支情况说明</w:t>
      </w:r>
    </w:p>
    <w:p w14:paraId="1865E3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1、收入预算情况</w:t>
      </w:r>
    </w:p>
    <w:p w14:paraId="4A499C8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2025年收入预算总额1791.86万元，其中公共财政拨款收入1791.86万元，财政拨款结转0万元。预算总额比去年增加17.52万元，主要由于新招入7名公务员，人员经费及工资增加，调增预算。</w:t>
      </w:r>
    </w:p>
    <w:p w14:paraId="02623D7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2、支出预算情况</w:t>
      </w:r>
    </w:p>
    <w:p w14:paraId="27200DC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仿宋" w:hAnsi="仿宋" w:eastAsia="仿宋" w:cs="仿宋"/>
          <w:i w:val="0"/>
          <w:caps w:val="0"/>
          <w:snapToGrid w:val="0"/>
          <w:color w:val="auto"/>
          <w:spacing w:val="0"/>
          <w:kern w:val="0"/>
          <w:sz w:val="32"/>
          <w:szCs w:val="32"/>
          <w:lang w:val="en-US" w:eastAsia="zh-CN" w:bidi="ar"/>
        </w:rPr>
      </w:pPr>
      <w:r>
        <w:rPr>
          <w:rFonts w:hint="eastAsia" w:ascii="仿宋" w:hAnsi="仿宋" w:eastAsia="仿宋" w:cs="仿宋"/>
          <w:i w:val="0"/>
          <w:caps w:val="0"/>
          <w:snapToGrid w:val="0"/>
          <w:color w:val="auto"/>
          <w:spacing w:val="0"/>
          <w:kern w:val="0"/>
          <w:sz w:val="32"/>
          <w:szCs w:val="32"/>
          <w:lang w:val="en-US" w:eastAsia="zh-CN" w:bidi="ar"/>
        </w:rPr>
        <w:t>2025年支出预算总额为1791.86万元，比去年支出增加17.52万元，主要由于新招入7名公务员，人员经费及工资增加，调增预算。</w:t>
      </w:r>
    </w:p>
    <w:p w14:paraId="73F9C6D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按支出项目类别划分：基本支出1487.2万元，项目支出304.66万元。</w:t>
      </w:r>
    </w:p>
    <w:p w14:paraId="60EDD66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按支出功能科目分类：部门支出总表内一般公共服务支出1791.86万元。</w:t>
      </w:r>
    </w:p>
    <w:p w14:paraId="5F6DE14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按经济功能科目分类：工资福利支出1334.92万元，商品服务支出138.58万元，对个人和家庭补助支出3.7万元，资本性支出10万元。项目支出304.66万元。行政事业性项目支出0万元。基本建设支出0万元。</w:t>
      </w:r>
    </w:p>
    <w:p w14:paraId="545ACFB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3、2025年公共财政拨款支出预算情况</w:t>
      </w:r>
    </w:p>
    <w:p w14:paraId="48CFF53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2025年公共财政拨款支出预算为1791.86万元，比去年支出增加17.52万元。按支出项目类别划分：工资福利支出1334.92万元，商品服务支出138.58万元，对个人和家庭补助支出3.7万元，资本性支出10万元。项目支出304.66万元。行政事业性项目支出0万元。基本建设支出0万元。</w:t>
      </w:r>
    </w:p>
    <w:p w14:paraId="1A150C4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4、机关运行经费等重要事项的说明</w:t>
      </w:r>
    </w:p>
    <w:p w14:paraId="34554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999481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5、政府性基金支出预算</w:t>
      </w:r>
    </w:p>
    <w:p w14:paraId="0754F83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2025年没有政府性基金预算支出。</w:t>
      </w:r>
    </w:p>
    <w:p w14:paraId="491A1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color w:val="auto"/>
          <w:spacing w:val="0"/>
          <w:sz w:val="32"/>
          <w:szCs w:val="32"/>
        </w:rPr>
        <w:t>二、</w:t>
      </w:r>
      <w:r>
        <w:rPr>
          <w:rFonts w:hint="eastAsia" w:ascii="仿宋" w:hAnsi="仿宋" w:eastAsia="仿宋" w:cs="仿宋"/>
          <w:b w:val="0"/>
          <w:bCs w:val="0"/>
          <w:i w:val="0"/>
          <w:caps w:val="0"/>
          <w:color w:val="auto"/>
          <w:spacing w:val="0"/>
          <w:sz w:val="32"/>
          <w:szCs w:val="32"/>
          <w:lang w:eastAsia="zh-CN"/>
        </w:rPr>
        <w:t>2025年</w:t>
      </w:r>
      <w:r>
        <w:rPr>
          <w:rFonts w:hint="eastAsia" w:ascii="仿宋" w:hAnsi="仿宋" w:eastAsia="仿宋" w:cs="仿宋"/>
          <w:b w:val="0"/>
          <w:bCs w:val="0"/>
          <w:i w:val="0"/>
          <w:caps w:val="0"/>
          <w:color w:val="auto"/>
          <w:spacing w:val="0"/>
          <w:sz w:val="32"/>
          <w:szCs w:val="32"/>
        </w:rPr>
        <w:t>“三公”经费预算情况说明</w:t>
      </w:r>
    </w:p>
    <w:p w14:paraId="2554D0A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2025年安排三公经费支出预算35.72万元，较上年减少4.59万元。其中因公出国（境）费用0万元。</w:t>
      </w:r>
    </w:p>
    <w:p w14:paraId="0B8DA0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w:t>
      </w:r>
      <w:r>
        <w:rPr>
          <w:rFonts w:hint="eastAsia" w:ascii="宋体" w:hAnsi="宋体" w:eastAsia="宋体" w:cs="宋体"/>
          <w:b/>
          <w:i w:val="0"/>
          <w:caps w:val="0"/>
          <w:color w:val="000000"/>
          <w:spacing w:val="0"/>
          <w:sz w:val="32"/>
          <w:szCs w:val="32"/>
        </w:rPr>
        <w:t>　第三部分</w:t>
      </w:r>
      <w:r>
        <w:rPr>
          <w:rFonts w:hint="eastAsia" w:ascii="宋体" w:hAnsi="宋体" w:eastAsia="宋体" w:cs="宋体"/>
          <w:b/>
          <w:i w:val="0"/>
          <w:caps w:val="0"/>
          <w:color w:val="000000"/>
          <w:spacing w:val="0"/>
          <w:sz w:val="32"/>
          <w:szCs w:val="32"/>
          <w:u w:val="single"/>
        </w:rPr>
        <w:t>浮梁县市场监督管理局</w:t>
      </w:r>
      <w:r>
        <w:rPr>
          <w:rFonts w:hint="eastAsia" w:ascii="宋体" w:hAnsi="宋体" w:eastAsia="宋体" w:cs="宋体"/>
          <w:b/>
          <w:i w:val="0"/>
          <w:caps w:val="0"/>
          <w:color w:val="000000"/>
          <w:spacing w:val="0"/>
          <w:sz w:val="32"/>
          <w:szCs w:val="32"/>
          <w:lang w:eastAsia="zh-CN"/>
        </w:rPr>
        <w:t>2025年</w:t>
      </w:r>
      <w:r>
        <w:rPr>
          <w:rFonts w:hint="eastAsia" w:ascii="宋体" w:hAnsi="宋体" w:eastAsia="宋体" w:cs="宋体"/>
          <w:b/>
          <w:i w:val="0"/>
          <w:caps w:val="0"/>
          <w:color w:val="000000"/>
          <w:spacing w:val="0"/>
          <w:sz w:val="32"/>
          <w:szCs w:val="32"/>
        </w:rPr>
        <w:t>部门预算表</w:t>
      </w:r>
    </w:p>
    <w:p w14:paraId="6F4416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十张表(详见附表)</w:t>
      </w:r>
    </w:p>
    <w:p w14:paraId="75FE4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2"/>
          <w:szCs w:val="32"/>
        </w:rPr>
        <w:t>第四部分名词解释</w:t>
      </w:r>
    </w:p>
    <w:p w14:paraId="385044E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（一）财政拨款：指县级财政当年拨付的资金。</w:t>
      </w:r>
    </w:p>
    <w:p w14:paraId="60B0F07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（二）事业收入：指事业单位开展专业业务活动及辅助活动取得的收入。</w:t>
      </w:r>
    </w:p>
    <w:p w14:paraId="0E695D2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（三）行政运行：反映行政单位（包括参公单位）的基本支出。</w:t>
      </w:r>
    </w:p>
    <w:p w14:paraId="19BCDB3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68777F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414B8A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s="Times New Roman"/>
          <w:snapToGrid/>
          <w:kern w:val="2"/>
          <w:sz w:val="32"/>
          <w:szCs w:val="32"/>
          <w:lang w:val="en-US" w:eastAsia="zh-CN" w:bidi="ar-SA"/>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WU4OWQyZGZmNzYzZGY3OGJjOWIxZjI3NDFkMTYxZGQifQ=="/>
  </w:docVars>
  <w:rsids>
    <w:rsidRoot w:val="00000000"/>
    <w:rsid w:val="10450D70"/>
    <w:rsid w:val="180A0D7A"/>
    <w:rsid w:val="263E486E"/>
    <w:rsid w:val="28B74E8B"/>
    <w:rsid w:val="2FCA4408"/>
    <w:rsid w:val="30DA7896"/>
    <w:rsid w:val="325D7BAC"/>
    <w:rsid w:val="3BEB1259"/>
    <w:rsid w:val="474E6296"/>
    <w:rsid w:val="476D2917"/>
    <w:rsid w:val="4C8B1F8F"/>
    <w:rsid w:val="535A3AA7"/>
    <w:rsid w:val="5F0C42BC"/>
    <w:rsid w:val="69C432E1"/>
    <w:rsid w:val="69EE0FFB"/>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4429</Words>
  <Characters>4582</Characters>
  <TotalTime>45</TotalTime>
  <ScaleCrop>false</ScaleCrop>
  <LinksUpToDate>false</LinksUpToDate>
  <CharactersWithSpaces>4616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如风 、</cp:lastModifiedBy>
  <dcterms:modified xsi:type="dcterms:W3CDTF">2025-06-12T07:03:17Z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88DC4E5DA5774A45A9990BB4EE0325F1</vt:lpwstr>
  </property>
  <property fmtid="{D5CDD505-2E9C-101B-9397-08002B2CF9AE}" pid="6" name="KSOTemplateDocerSaveRecord">
    <vt:lpwstr>eyJoZGlkIjoiOWU4OWQyZGZmNzYzZGY3OGJjOWIxZjI3NDFkMTYxZGQiLCJ1c2VySWQiOiI0NTkxMTczMDQifQ==</vt:lpwstr>
  </property>
</Properties>
</file>