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eastAsia" w:ascii="方正小标宋简体" w:hAnsi="方正小标宋简体" w:eastAsia="方正小标宋简体"/>
          <w:b w:val="0"/>
          <w:bCs w:val="0"/>
          <w:sz w:val="44"/>
          <w:szCs w:val="32"/>
        </w:rPr>
      </w:pPr>
      <w:r>
        <w:rPr>
          <w:rFonts w:hint="eastAsia" w:ascii="方正小标宋简体" w:hAnsi="方正小标宋简体" w:eastAsia="方正小标宋简体"/>
          <w:b w:val="0"/>
          <w:bCs w:val="0"/>
          <w:sz w:val="44"/>
          <w:szCs w:val="32"/>
        </w:rPr>
        <w:t>部门整体支出绩效自评报告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eastAsia" w:ascii="楷体_GB2312" w:hAnsi="楷体_GB2312" w:eastAsia="楷体_GB2312"/>
          <w:sz w:val="32"/>
        </w:rPr>
      </w:pPr>
      <w:r>
        <w:rPr>
          <w:rFonts w:hint="eastAsia" w:ascii="楷体_GB2312" w:hAnsi="楷体_GB2312" w:eastAsia="楷体_GB2312"/>
          <w:sz w:val="32"/>
          <w:szCs w:val="32"/>
        </w:rPr>
        <w:t>（</w:t>
      </w:r>
      <w:r>
        <w:rPr>
          <w:rFonts w:hint="eastAsia" w:ascii="楷体_GB2312" w:hAnsi="楷体_GB2312" w:eastAsia="楷体_GB2312"/>
          <w:sz w:val="32"/>
          <w:szCs w:val="32"/>
          <w:lang w:val="en-US" w:eastAsia="zh-CN"/>
        </w:rPr>
        <w:t>2022</w:t>
      </w:r>
      <w:r>
        <w:rPr>
          <w:rFonts w:hint="eastAsia" w:ascii="楷体_GB2312" w:hAnsi="楷体_GB2312" w:eastAsia="楷体_GB2312"/>
          <w:sz w:val="32"/>
          <w:szCs w:val="32"/>
        </w:rPr>
        <w:t>年度）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eastAsia" w:ascii="仿宋" w:hAnsi="仿宋" w:eastAsia="仿宋"/>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一、部门概况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（一）部门主要职责职能</w:t>
      </w:r>
      <w:r>
        <w:rPr>
          <w:rFonts w:hint="eastAsia"/>
          <w:sz w:val="32"/>
          <w:lang w:eastAsia="zh-CN"/>
        </w:rPr>
        <w:t>、</w:t>
      </w:r>
      <w:r>
        <w:rPr>
          <w:rFonts w:hint="eastAsia" w:ascii="仿宋_GB2312" w:hAnsi="仿宋_GB2312" w:eastAsia="仿宋_GB2312"/>
          <w:sz w:val="32"/>
        </w:rPr>
        <w:t>组织架构、人员及资产等基本情况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sz w:val="32"/>
          <w:szCs w:val="32"/>
          <w:lang w:eastAsia="zh-CN"/>
        </w:rPr>
        <w:t>根据我单位三定方案政府职能设置情况，对我单位职责范围市场进行各项监督管理工作，</w:t>
      </w:r>
      <w:r>
        <w:rPr>
          <w:rFonts w:hint="eastAsia" w:ascii="仿宋_GB2312" w:eastAsia="仿宋_GB2312"/>
          <w:sz w:val="32"/>
          <w:szCs w:val="32"/>
        </w:rPr>
        <w:t>贯彻执行国家、省、市有关市场监督管理的方针、政策和有关法律法规，拟定市场监督管理的有关政策</w:t>
      </w:r>
      <w:bookmarkStart w:id="0" w:name="_GoBack"/>
      <w:bookmarkEnd w:id="0"/>
      <w:r>
        <w:rPr>
          <w:rFonts w:hint="eastAsia" w:ascii="仿宋_GB2312" w:eastAsia="仿宋_GB2312"/>
          <w:sz w:val="32"/>
          <w:szCs w:val="32"/>
        </w:rPr>
        <w:t>，组织实施质量强县战略、食品药品安全战略、标准化战略和商标品牌战略，拟订并组织实施有关规划，规范和维护市场秩序，营造诚实守信、公平竞争的市场环境。</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当年部门履职总体目标、工作任务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pP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一是坚持综合施策，政务效能有速度</w:t>
      </w:r>
      <w:r>
        <w:rPr>
          <w:rFonts w:hint="eastAsia" w:cs="Times New Roman"/>
          <w:b w:val="0"/>
          <w:bCs w:val="0"/>
          <w:color w:val="000000" w:themeColor="text1"/>
          <w:kern w:val="0"/>
          <w:sz w:val="32"/>
          <w:szCs w:val="32"/>
          <w:lang w:val="en-US" w:eastAsia="zh-CN"/>
          <w14:textFill>
            <w14:solidFill>
              <w14:schemeClr w14:val="tx1"/>
            </w14:solidFill>
          </w14:textFill>
        </w:rPr>
        <w:t>,</w:t>
      </w: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持续压缩企业开办与注销时间</w:t>
      </w:r>
      <w:r>
        <w:rPr>
          <w:rFonts w:hint="eastAsia" w:cs="Times New Roman"/>
          <w:b w:val="0"/>
          <w:bCs w:val="0"/>
          <w:color w:val="000000" w:themeColor="text1"/>
          <w:kern w:val="0"/>
          <w:sz w:val="32"/>
          <w:szCs w:val="32"/>
          <w:lang w:val="en-US" w:eastAsia="zh-CN"/>
          <w14:textFill>
            <w14:solidFill>
              <w14:schemeClr w14:val="tx1"/>
            </w14:solidFill>
          </w14:textFill>
        </w:rPr>
        <w:t>;</w:t>
      </w: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践行一线服务、引领发展有力度</w:t>
      </w:r>
      <w:r>
        <w:rPr>
          <w:rFonts w:hint="eastAsia" w:cs="Times New Roman"/>
          <w:b w:val="0"/>
          <w:bCs w:val="0"/>
          <w:color w:val="000000" w:themeColor="text1"/>
          <w:kern w:val="0"/>
          <w:sz w:val="32"/>
          <w:szCs w:val="32"/>
          <w:lang w:val="en-US" w:eastAsia="zh-CN"/>
          <w14:textFill>
            <w14:solidFill>
              <w14:schemeClr w14:val="tx1"/>
            </w14:solidFill>
          </w14:textFill>
        </w:rPr>
        <w:t>,</w:t>
      </w: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高效推进知识产权投融资服务</w:t>
      </w:r>
      <w:r>
        <w:rPr>
          <w:rFonts w:hint="eastAsia" w:cs="Times New Roman"/>
          <w:b w:val="0"/>
          <w:bCs w:val="0"/>
          <w:color w:val="000000" w:themeColor="text1"/>
          <w:kern w:val="0"/>
          <w:sz w:val="32"/>
          <w:szCs w:val="32"/>
          <w:lang w:val="en-US" w:eastAsia="zh-CN"/>
          <w14:textFill>
            <w14:solidFill>
              <w14:schemeClr w14:val="tx1"/>
            </w14:solidFill>
          </w14:textFill>
        </w:rPr>
        <w:t>;</w:t>
      </w: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贯彻宽严相济，行政处罚有温度</w:t>
      </w:r>
      <w:r>
        <w:rPr>
          <w:rFonts w:hint="eastAsia" w:cs="Times New Roman"/>
          <w:b w:val="0"/>
          <w:bCs w:val="0"/>
          <w:color w:val="000000" w:themeColor="text1"/>
          <w:kern w:val="0"/>
          <w:sz w:val="32"/>
          <w:szCs w:val="32"/>
          <w:lang w:val="en-US" w:eastAsia="zh-CN"/>
          <w14:textFill>
            <w14:solidFill>
              <w14:schemeClr w14:val="tx1"/>
            </w14:solidFill>
          </w14:textFill>
        </w:rPr>
        <w:t>,</w:t>
      </w: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积极推进信用监管体系建设，全面推行“双随机、一公开”检查模式，落实“首违不罚”制度。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pP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二是狠抓食品安全。加大食品安全知识宣传力度，服务食品企业发展，扎实开展“守底线、查隐患、保安全”等系列食品安全专项整治行动。狠抓药品及医疗器械安全。开展春节期间药品安全大检查、2022年“安全用妆，携手‘童’行”化妆品安全宣传周活动。狠抓特种设备安全。强化节假日、重大活动期间特种设备安全监管，开展住宅电梯安全、城镇燃气安全、三年行动“巩固提升”专项整治。狠抓工业产品质量安全。围绕消防器材、儿童文具、食盐、电动车、燃气具等产品开展各类专项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pP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三是扎实推进综合执法</w:t>
      </w:r>
      <w:r>
        <w:rPr>
          <w:rFonts w:hint="eastAsia" w:cs="Times New Roman"/>
          <w:b w:val="0"/>
          <w:bCs w:val="0"/>
          <w:color w:val="000000" w:themeColor="text1"/>
          <w:kern w:val="0"/>
          <w:sz w:val="32"/>
          <w:szCs w:val="32"/>
          <w:lang w:val="en-US" w:eastAsia="zh-CN"/>
          <w14:textFill>
            <w14:solidFill>
              <w14:schemeClr w14:val="tx1"/>
            </w14:solidFill>
          </w14:textFill>
        </w:rPr>
        <w:t>，</w:t>
      </w: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切实加强市场监管领域监督执法力度，深入推进首违不罚制度。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s="Times New Roman"/>
          <w:b w:val="0"/>
          <w:bCs w:val="0"/>
          <w:color w:val="000000" w:themeColor="text1"/>
          <w:kern w:val="0"/>
          <w:sz w:val="32"/>
          <w:szCs w:val="32"/>
          <w:lang w:val="en-US" w:eastAsia="zh-CN"/>
          <w14:textFill>
            <w14:solidFill>
              <w14:schemeClr w14:val="tx1"/>
            </w14:solidFill>
          </w14:textFill>
        </w:rPr>
      </w:pPr>
      <w:r>
        <w:rPr>
          <w:rFonts w:hint="eastAsia" w:cs="Times New Roman"/>
          <w:b w:val="0"/>
          <w:bCs w:val="0"/>
          <w:color w:val="000000" w:themeColor="text1"/>
          <w:kern w:val="0"/>
          <w:sz w:val="32"/>
          <w:szCs w:val="32"/>
          <w:lang w:val="en-US" w:eastAsia="zh-CN"/>
          <w14:textFill>
            <w14:solidFill>
              <w14:schemeClr w14:val="tx1"/>
            </w14:solidFill>
          </w14:textFill>
        </w:rPr>
        <w:t>四是</w:t>
      </w:r>
      <w:r>
        <w:rPr>
          <w:rFonts w:hint="eastAsia" w:ascii="仿宋_GB2312" w:eastAsia="仿宋_GB2312" w:cs="Times New Roman"/>
          <w:b w:val="0"/>
          <w:bCs w:val="0"/>
          <w:color w:val="000000" w:themeColor="text1"/>
          <w:kern w:val="0"/>
          <w:sz w:val="32"/>
          <w:szCs w:val="32"/>
          <w:lang w:val="en-US" w:eastAsia="zh-CN"/>
          <w14:textFill>
            <w14:solidFill>
              <w14:schemeClr w14:val="tx1"/>
            </w14:solidFill>
          </w14:textFill>
        </w:rPr>
        <w:t>切实做好12315消费维权工作</w:t>
      </w:r>
      <w:r>
        <w:rPr>
          <w:rFonts w:hint="eastAsia" w:cs="Times New Roman"/>
          <w:b w:val="0"/>
          <w:bCs w:val="0"/>
          <w:color w:val="000000" w:themeColor="text1"/>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s="Times New Roman"/>
          <w:b w:val="0"/>
          <w:bCs w:val="0"/>
          <w:color w:val="000000" w:themeColor="text1"/>
          <w:kern w:val="0"/>
          <w:sz w:val="32"/>
          <w:szCs w:val="32"/>
          <w:lang w:val="en-US" w:eastAsia="zh-CN"/>
          <w14:textFill>
            <w14:solidFill>
              <w14:schemeClr w14:val="tx1"/>
            </w14:solidFill>
          </w14:textFill>
        </w:rPr>
      </w:pPr>
      <w:r>
        <w:rPr>
          <w:rFonts w:hint="eastAsia" w:cs="Times New Roman"/>
          <w:b w:val="0"/>
          <w:bCs w:val="0"/>
          <w:color w:val="000000" w:themeColor="text1"/>
          <w:kern w:val="0"/>
          <w:sz w:val="32"/>
          <w:szCs w:val="32"/>
          <w:lang w:val="en-US" w:eastAsia="zh-CN"/>
          <w14:textFill>
            <w14:solidFill>
              <w14:schemeClr w14:val="tx1"/>
            </w14:solidFill>
          </w14:textFill>
        </w:rPr>
        <w:t>五是</w:t>
      </w:r>
      <w:r>
        <w:rPr>
          <w:rFonts w:hint="eastAsia" w:ascii="仿宋" w:hAnsi="仿宋" w:eastAsia="仿宋" w:cs="仿宋"/>
          <w:b w:val="0"/>
          <w:bCs w:val="0"/>
          <w:color w:val="auto"/>
          <w:sz w:val="32"/>
          <w:szCs w:val="32"/>
          <w:lang w:val="en-US" w:eastAsia="zh-CN"/>
        </w:rPr>
        <w:t>有序推进食品检测、计量检定、食品快检及计量监督。</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rPr>
        <w:t>当年部门</w:t>
      </w:r>
      <w:r>
        <w:rPr>
          <w:rFonts w:hint="eastAsia" w:ascii="仿宋_GB2312" w:hAnsi="仿宋_GB2312" w:eastAsia="仿宋_GB2312"/>
          <w:sz w:val="32"/>
          <w:szCs w:val="30"/>
        </w:rPr>
        <w:t>年度整体支出绩效目标</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eastAsia="仿宋_GB2312"/>
          <w:sz w:val="32"/>
          <w:szCs w:val="32"/>
          <w:lang w:eastAsia="zh-CN"/>
        </w:rPr>
        <w:t>开展强化食品市场监督管理专项整治活动，严厉打击制售假劣食品行为；加强“双随机一公开”监管工作；开展“三无”食品专项整治工作；疫情防控期间学校食品安全工作；重点时段和关键节点的安全专项整治活动；处理特种设备投诉举报事件。大力提升食品质量安全整体水平；加大药械经营市场监管力度；显著提升优化营商环境；切实保障公众食品消费安全和保障食品安全环境卫生；有效维护消费者的合法权益。及时将药品抽验数据录入“抽验信息管理系统”；保证报送扫黑除恶每月工作总结</w:t>
      </w:r>
      <w:r>
        <w:rPr>
          <w:rFonts w:hint="eastAsia" w:ascii="仿宋_GB2312" w:eastAsia="仿宋_GB2312"/>
          <w:sz w:val="32"/>
          <w:szCs w:val="32"/>
          <w:lang w:val="en-US" w:eastAsia="zh-CN"/>
        </w:rPr>
        <w:t>。通过抽验发现假冒伪劣产品，及时开展核查处置和稽查执法，净化市场，间接提升合格产品市场份额，增加企业销售收入。逐步提高市场总体安全水平和市场综合监管意识及队伍监管能力；不断完善门户网站建设，提升网上办公、网上受理和公众浏览效率；降低假冒伪劣产品制售行为； 推进“五型”政府建设及时开展检查处置执法，有效预防和控制危害隐患出现或扩大。日常监管体制机制建设较期初有较大完善；长期进行技术支撑体系建设以及食品安全监管、药品检查员及产品质量监管人员队伍能力建设，进一步提高行业自律，促进市场质量提高。努力将公众对我局市场监管工作的满意程度以及相对人对我局市场监管工作满意度提升至80%以上。</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szCs w:val="30"/>
        </w:rPr>
        <w:t>部门预算绩效管理开展情况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绩效评价目的：1.对本单位专项工作开展监督并为及时纠正偏差提供依据。2.总结经验，为提升本单位职责范围的工作效率、提高工作效果，落实专项资金的实际用途。</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绩效评价原则：遵循客观、公平、公正原则；评价指标体系（详见附表说明）：局制定的绩效评价表。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绩效评价工作过程。前期：制定本单位绩效评价方案及目标；中期：对本单位专项进行监控并及时纠偏，保证专项工作顺利开展；后期：对本单位专项工作进行绩效考评并总结经验。</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rPr>
        <w:t>当年部门</w:t>
      </w:r>
      <w:r>
        <w:rPr>
          <w:rFonts w:hint="eastAsia" w:ascii="仿宋_GB2312" w:hAnsi="仿宋_GB2312" w:eastAsia="仿宋_GB2312"/>
          <w:sz w:val="32"/>
          <w:szCs w:val="30"/>
        </w:rPr>
        <w:t>预算及执行情况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eastAsia="仿宋_GB2312"/>
          <w:sz w:val="32"/>
          <w:szCs w:val="32"/>
          <w:lang w:val="en-US" w:eastAsia="zh-CN"/>
        </w:rPr>
        <w:t>（附相关评分表）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二、部门整体支出绩效实现情况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（一）履职完成情况：从数量、质量、时效等方面归纳反映年度主要计划任务完成情况。</w:t>
      </w:r>
    </w:p>
    <w:p>
      <w:pPr>
        <w:pStyle w:val="5"/>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b w:val="0"/>
          <w:bCs w:val="0"/>
          <w:sz w:val="32"/>
          <w:lang w:val="en-US" w:eastAsia="zh-CN"/>
        </w:rPr>
      </w:pPr>
      <w:r>
        <w:rPr>
          <w:rFonts w:hint="eastAsia" w:ascii="仿宋_GB2312" w:hAnsi="仿宋_GB2312"/>
          <w:b w:val="0"/>
          <w:bCs w:val="0"/>
          <w:sz w:val="32"/>
          <w:lang w:eastAsia="zh-CN"/>
        </w:rPr>
        <w:t>数量方面：在大型活动现场食品安全保障出车</w:t>
      </w:r>
      <w:r>
        <w:rPr>
          <w:rFonts w:hint="eastAsia" w:ascii="仿宋_GB2312" w:hAnsi="仿宋_GB2312"/>
          <w:b w:val="0"/>
          <w:bCs w:val="0"/>
          <w:sz w:val="32"/>
          <w:lang w:val="en-US" w:eastAsia="zh-CN"/>
        </w:rPr>
        <w:t>7次；县级食品安全匹配监督抽检340批次，抽检场所涵盖5个场所；针对工业产品质量监督抽查54批次，涵盖22小类。</w:t>
      </w:r>
    </w:p>
    <w:p>
      <w:pPr>
        <w:pStyle w:val="5"/>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b w:val="0"/>
          <w:bCs w:val="0"/>
          <w:sz w:val="32"/>
          <w:lang w:val="en-US" w:eastAsia="zh-CN"/>
        </w:rPr>
      </w:pPr>
      <w:r>
        <w:rPr>
          <w:rFonts w:hint="eastAsia" w:ascii="仿宋_GB2312" w:hAnsi="仿宋_GB2312"/>
          <w:b w:val="0"/>
          <w:bCs w:val="0"/>
          <w:sz w:val="32"/>
          <w:lang w:eastAsia="zh-CN"/>
        </w:rPr>
        <w:t>质量方面：针对食品、工业产品监督抽查过程中发现的不合格产品处置率为</w:t>
      </w:r>
      <w:r>
        <w:rPr>
          <w:rFonts w:hint="eastAsia" w:ascii="仿宋_GB2312" w:hAnsi="仿宋_GB2312"/>
          <w:b w:val="0"/>
          <w:bCs w:val="0"/>
          <w:sz w:val="32"/>
          <w:lang w:val="en-US" w:eastAsia="zh-CN"/>
        </w:rPr>
        <w:t>100%；大型活动现场食品安全出动率为90%；价格收费违法违规行为查处率为100%。</w:t>
      </w:r>
    </w:p>
    <w:p>
      <w:pPr>
        <w:pStyle w:val="5"/>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b w:val="0"/>
          <w:bCs w:val="0"/>
          <w:sz w:val="32"/>
          <w:lang w:val="en-US" w:eastAsia="zh-CN"/>
        </w:rPr>
      </w:pPr>
      <w:r>
        <w:rPr>
          <w:rFonts w:hint="eastAsia" w:ascii="仿宋_GB2312" w:hAnsi="仿宋_GB2312"/>
          <w:b w:val="0"/>
          <w:bCs w:val="0"/>
          <w:sz w:val="32"/>
          <w:lang w:eastAsia="zh-CN"/>
        </w:rPr>
        <w:t>时效方面：在十个工作日内配合市局反垄断下达任务；在</w:t>
      </w:r>
      <w:r>
        <w:rPr>
          <w:rFonts w:hint="eastAsia" w:ascii="仿宋_GB2312" w:hAnsi="仿宋_GB2312"/>
          <w:b w:val="0"/>
          <w:bCs w:val="0"/>
          <w:sz w:val="32"/>
          <w:lang w:val="en-US" w:eastAsia="zh-CN"/>
        </w:rPr>
        <w:t>2020年12月31日前完成县级食品安全匹配监督抽检；15个工作日内公示动态等级评定结果。</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履职效果情况：从社会效益、经济效益（如有）、生态效益（如有）等方面反映部门履职效果的实现情况。</w:t>
      </w:r>
    </w:p>
    <w:p>
      <w:pPr>
        <w:pStyle w:val="5"/>
        <w:keepNext w:val="0"/>
        <w:keepLines w:val="0"/>
        <w:pageBreakBefore w:val="0"/>
        <w:widowControl w:val="0"/>
        <w:kinsoku/>
        <w:wordWrap/>
        <w:overflowPunct/>
        <w:topLinePunct w:val="0"/>
        <w:bidi w:val="0"/>
        <w:adjustRightInd/>
        <w:snapToGrid/>
        <w:spacing w:line="600" w:lineRule="exact"/>
        <w:ind w:firstLine="440" w:firstLineChars="200"/>
        <w:textAlignment w:val="auto"/>
        <w:rPr>
          <w:rFonts w:hint="eastAsia" w:ascii="仿宋_GB2312" w:hAnsi="仿宋_GB2312"/>
          <w:sz w:val="32"/>
          <w:lang w:val="en-US" w:eastAsia="zh-CN"/>
        </w:rPr>
      </w:pPr>
      <w:r>
        <w:rPr>
          <w:rFonts w:hint="eastAsia"/>
          <w:lang w:val="en-US" w:eastAsia="zh-CN"/>
        </w:rPr>
        <w:t xml:space="preserve"> </w:t>
      </w:r>
      <w:r>
        <w:rPr>
          <w:rFonts w:hint="eastAsia" w:ascii="仿宋_GB2312" w:hAnsi="仿宋_GB2312"/>
          <w:sz w:val="32"/>
          <w:lang w:val="en-US" w:eastAsia="zh-CN"/>
        </w:rPr>
        <w:t>通过我局日常工作，加强食品安全监管，提高监管效能及水平；通过抽检发现伪冒伪劣产品，及时开展核查处置执法，有效防御和控制危害隐患。</w:t>
      </w:r>
    </w:p>
    <w:p>
      <w:pPr>
        <w:pStyle w:val="5"/>
        <w:keepNext w:val="0"/>
        <w:keepLines w:val="0"/>
        <w:pageBreakBefore w:val="0"/>
        <w:widowControl w:val="0"/>
        <w:numPr>
          <w:ilvl w:val="0"/>
          <w:numId w:val="2"/>
        </w:numPr>
        <w:kinsoku/>
        <w:wordWrap/>
        <w:overflowPunct/>
        <w:topLinePunct w:val="0"/>
        <w:bidi w:val="0"/>
        <w:adjustRightInd/>
        <w:snapToGrid/>
        <w:spacing w:line="600" w:lineRule="exact"/>
        <w:ind w:left="0" w:leftChars="0" w:firstLine="640" w:firstLineChars="200"/>
        <w:textAlignment w:val="auto"/>
        <w:rPr>
          <w:rFonts w:hint="eastAsia" w:ascii="仿宋_GB2312" w:hAnsi="仿宋_GB2312"/>
          <w:sz w:val="32"/>
          <w:lang w:val="en-US" w:eastAsia="zh-CN"/>
        </w:rPr>
      </w:pPr>
      <w:r>
        <w:rPr>
          <w:rFonts w:hint="eastAsia" w:ascii="仿宋_GB2312" w:hAnsi="仿宋_GB2312"/>
          <w:sz w:val="32"/>
          <w:lang w:val="en-US" w:eastAsia="zh-CN"/>
        </w:rPr>
        <w:t>社会满意度及可持续性影响（如有）</w:t>
      </w:r>
    </w:p>
    <w:p>
      <w:pPr>
        <w:pStyle w:val="5"/>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sz w:val="32"/>
          <w:lang w:val="en-US" w:eastAsia="zh-CN"/>
        </w:rPr>
      </w:pPr>
      <w:r>
        <w:rPr>
          <w:rFonts w:hint="eastAsia" w:ascii="仿宋_GB2312" w:hAnsi="仿宋_GB2312"/>
          <w:sz w:val="32"/>
          <w:lang w:val="en-US" w:eastAsia="zh-CN"/>
        </w:rPr>
        <w:t>通过日常工作，保障辖区内食品药品安全水平、及时监督商品价格水平，提高企业和群众的满意度。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三、部门整体支出绩效中存在问题及改进措施</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（一）主要问题及原因分析</w:t>
      </w:r>
    </w:p>
    <w:p>
      <w:pPr>
        <w:pStyle w:val="5"/>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sz w:val="32"/>
          <w:lang w:val="en-US" w:eastAsia="zh-CN"/>
        </w:rPr>
      </w:pPr>
      <w:r>
        <w:rPr>
          <w:rFonts w:hint="eastAsia" w:ascii="仿宋_GB2312" w:hAnsi="仿宋_GB2312"/>
          <w:sz w:val="32"/>
          <w:lang w:val="en-US" w:eastAsia="zh-CN"/>
        </w:rPr>
        <w:t>一是思想认识应提升。存在重投入轻管理、重支出轻绩效的意识；二是可操作性待增强。个别指标填报口径不够明晰，考虑不全面，或生搬硬套，与评价项目脱轨，使其不具备可行性。三是工作措施需细化。需及时协调、督促，才能完成项目自评。</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改进的方向和具体措施</w:t>
      </w:r>
    </w:p>
    <w:p>
      <w:pPr>
        <w:pStyle w:val="5"/>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仿宋_GB2312" w:hAnsi="仿宋_GB2312"/>
          <w:sz w:val="32"/>
          <w:lang w:val="en-US" w:eastAsia="zh-CN"/>
        </w:rPr>
      </w:pPr>
      <w:r>
        <w:rPr>
          <w:rFonts w:hint="eastAsia" w:ascii="仿宋_GB2312" w:hAnsi="仿宋_GB2312"/>
          <w:sz w:val="32"/>
          <w:lang w:val="en-US" w:eastAsia="zh-CN"/>
        </w:rPr>
        <w:t>一是加强培训和交流工作，修改完善预算绩效评价指标体系，开展预算绩效调研。二是深入开展财政支出绩效评价，扩大自评范围。三是修订绩效评价指标体系。根据行业特性制定针对性较强的指标体系。</w:t>
      </w:r>
    </w:p>
    <w:p>
      <w:pPr>
        <w:pStyle w:val="4"/>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黑体" w:hAnsi="黑体" w:eastAsia="黑体"/>
          <w:sz w:val="32"/>
        </w:rPr>
      </w:pPr>
      <w:r>
        <w:rPr>
          <w:rFonts w:hint="eastAsia" w:ascii="黑体" w:hAnsi="黑体" w:eastAsia="黑体"/>
          <w:sz w:val="32"/>
        </w:rPr>
        <w:t>四、绩效自评结果拟应用和公开情况</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sz w:val="32"/>
          <w:szCs w:val="32"/>
          <w:lang w:val="en-US" w:eastAsia="zh-CN"/>
        </w:rPr>
      </w:pPr>
      <w:r>
        <w:rPr>
          <w:rFonts w:hint="eastAsia" w:ascii="仿宋_GB2312" w:eastAsia="仿宋_GB2312"/>
          <w:sz w:val="32"/>
          <w:szCs w:val="32"/>
          <w:lang w:val="en-US" w:eastAsia="zh-CN"/>
        </w:rPr>
        <w:t>针对整体支出绩效评价过程中发现的问题，我单位将</w:t>
      </w:r>
      <w:r>
        <w:rPr>
          <w:rFonts w:hint="eastAsia"/>
          <w:sz w:val="32"/>
          <w:szCs w:val="32"/>
          <w:lang w:val="en-US" w:eastAsia="zh-CN"/>
        </w:rPr>
        <w:t>积极整改，将工作落到实处。</w:t>
      </w:r>
    </w:p>
    <w:p>
      <w:pPr>
        <w:pStyle w:val="5"/>
        <w:keepNext w:val="0"/>
        <w:keepLines w:val="0"/>
        <w:pageBreakBefore w:val="0"/>
        <w:widowControl w:val="0"/>
        <w:kinsoku/>
        <w:overflowPunct/>
        <w:topLinePunct w:val="0"/>
        <w:bidi w:val="0"/>
        <w:adjustRightInd/>
        <w:snapToGrid/>
        <w:spacing w:line="600" w:lineRule="exact"/>
        <w:textAlignment w:val="auto"/>
        <w:rPr>
          <w:rFonts w:hint="eastAsia"/>
          <w:sz w:val="32"/>
          <w:szCs w:val="32"/>
          <w:lang w:val="en-US" w:eastAsia="zh-CN"/>
        </w:rPr>
      </w:pPr>
    </w:p>
    <w:p>
      <w:pPr>
        <w:pStyle w:val="5"/>
        <w:keepNext w:val="0"/>
        <w:keepLines w:val="0"/>
        <w:pageBreakBefore w:val="0"/>
        <w:widowControl w:val="0"/>
        <w:kinsoku/>
        <w:overflowPunct/>
        <w:topLinePunct w:val="0"/>
        <w:bidi w:val="0"/>
        <w:adjustRightInd/>
        <w:snapToGrid/>
        <w:spacing w:line="600" w:lineRule="exact"/>
        <w:textAlignment w:val="auto"/>
        <w:rPr>
          <w:rFonts w:hint="eastAsia"/>
          <w:sz w:val="32"/>
          <w:szCs w:val="32"/>
          <w:lang w:val="en-US" w:eastAsia="zh-CN"/>
        </w:rPr>
      </w:pPr>
    </w:p>
    <w:p>
      <w:pPr>
        <w:pStyle w:val="5"/>
        <w:keepNext w:val="0"/>
        <w:keepLines w:val="0"/>
        <w:pageBreakBefore w:val="0"/>
        <w:widowControl w:val="0"/>
        <w:kinsoku/>
        <w:overflowPunct/>
        <w:topLinePunct w:val="0"/>
        <w:bidi w:val="0"/>
        <w:adjustRightInd/>
        <w:snapToGrid/>
        <w:spacing w:line="600" w:lineRule="exact"/>
        <w:textAlignment w:val="auto"/>
        <w:rPr>
          <w:rFonts w:hint="eastAsia"/>
          <w:sz w:val="32"/>
          <w:szCs w:val="32"/>
          <w:lang w:val="en-US" w:eastAsia="zh-CN"/>
        </w:rPr>
      </w:pPr>
    </w:p>
    <w:p>
      <w:pPr>
        <w:pStyle w:val="5"/>
        <w:keepNext w:val="0"/>
        <w:keepLines w:val="0"/>
        <w:pageBreakBefore w:val="0"/>
        <w:widowControl w:val="0"/>
        <w:kinsoku/>
        <w:overflowPunct/>
        <w:topLinePunct w:val="0"/>
        <w:bidi w:val="0"/>
        <w:adjustRightInd/>
        <w:snapToGrid/>
        <w:spacing w:line="600" w:lineRule="exact"/>
        <w:textAlignment w:val="auto"/>
        <w:rPr>
          <w:rFonts w:hint="eastAsia"/>
          <w:sz w:val="32"/>
          <w:szCs w:val="32"/>
          <w:lang w:val="en-US" w:eastAsia="zh-CN"/>
        </w:rPr>
      </w:pPr>
    </w:p>
    <w:p>
      <w:pPr>
        <w:pStyle w:val="5"/>
        <w:keepNext w:val="0"/>
        <w:keepLines w:val="0"/>
        <w:pageBreakBefore w:val="0"/>
        <w:widowControl w:val="0"/>
        <w:kinsoku/>
        <w:overflowPunct/>
        <w:topLinePunct w:val="0"/>
        <w:bidi w:val="0"/>
        <w:adjustRightInd/>
        <w:snapToGrid/>
        <w:spacing w:line="600" w:lineRule="exact"/>
        <w:textAlignment w:val="auto"/>
        <w:rPr>
          <w:rFonts w:hint="eastAsia"/>
          <w:sz w:val="32"/>
          <w:szCs w:val="32"/>
          <w:lang w:val="en-US" w:eastAsia="zh-CN"/>
        </w:rPr>
      </w:pPr>
    </w:p>
    <w:p>
      <w:pPr>
        <w:pStyle w:val="5"/>
        <w:keepNext w:val="0"/>
        <w:keepLines w:val="0"/>
        <w:pageBreakBefore w:val="0"/>
        <w:widowControl w:val="0"/>
        <w:kinsoku/>
        <w:overflowPunct/>
        <w:topLinePunct w:val="0"/>
        <w:autoSpaceDE w:val="0"/>
        <w:autoSpaceDN w:val="0"/>
        <w:bidi w:val="0"/>
        <w:adjustRightInd/>
        <w:snapToGrid/>
        <w:spacing w:line="600" w:lineRule="exact"/>
        <w:jc w:val="right"/>
        <w:textAlignment w:val="auto"/>
        <w:rPr>
          <w:rFonts w:hint="eastAsia"/>
          <w:sz w:val="32"/>
          <w:szCs w:val="32"/>
          <w:lang w:val="en-US" w:eastAsia="zh-CN"/>
        </w:rPr>
      </w:pPr>
      <w:r>
        <w:rPr>
          <w:rFonts w:hint="eastAsia"/>
          <w:sz w:val="32"/>
          <w:szCs w:val="32"/>
          <w:lang w:val="en-US" w:eastAsia="zh-CN"/>
        </w:rPr>
        <w:t>浮梁县市场监督管理局</w:t>
      </w:r>
    </w:p>
    <w:p>
      <w:pPr>
        <w:pStyle w:val="5"/>
        <w:keepNext w:val="0"/>
        <w:keepLines w:val="0"/>
        <w:pageBreakBefore w:val="0"/>
        <w:widowControl w:val="0"/>
        <w:kinsoku/>
        <w:wordWrap w:val="0"/>
        <w:overflowPunct/>
        <w:topLinePunct w:val="0"/>
        <w:autoSpaceDE w:val="0"/>
        <w:autoSpaceDN w:val="0"/>
        <w:bidi w:val="0"/>
        <w:adjustRightInd/>
        <w:snapToGrid/>
        <w:spacing w:line="600" w:lineRule="exact"/>
        <w:jc w:val="right"/>
        <w:textAlignment w:val="auto"/>
        <w:rPr>
          <w:rFonts w:hint="default"/>
          <w:sz w:val="32"/>
          <w:szCs w:val="32"/>
          <w:lang w:val="en-US" w:eastAsia="zh-CN"/>
        </w:rPr>
      </w:pPr>
      <w:r>
        <w:rPr>
          <w:rFonts w:hint="eastAsia"/>
          <w:sz w:val="32"/>
          <w:szCs w:val="32"/>
          <w:lang w:val="en-US" w:eastAsia="zh-CN"/>
        </w:rPr>
        <w:t xml:space="preserve">2023年3月20日   </w:t>
      </w:r>
    </w:p>
    <w:p>
      <w:pPr>
        <w:pStyle w:val="4"/>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黑体" w:hAnsi="黑体" w:eastAsia="黑体"/>
          <w:sz w:val="32"/>
        </w:rPr>
      </w:pPr>
    </w:p>
    <w:p>
      <w:pPr>
        <w:pStyle w:val="4"/>
        <w:keepNext w:val="0"/>
        <w:keepLines w:val="0"/>
        <w:pageBreakBefore w:val="0"/>
        <w:widowControl w:val="0"/>
        <w:kinsoku/>
        <w:wordWrap/>
        <w:overflowPunct/>
        <w:topLinePunct w:val="0"/>
        <w:bidi w:val="0"/>
        <w:adjustRightInd/>
        <w:snapToGrid/>
        <w:spacing w:line="600" w:lineRule="exact"/>
        <w:textAlignment w:val="auto"/>
        <w:rPr>
          <w:rFonts w:hint="eastAsia" w:ascii="黑体" w:hAnsi="黑体" w:eastAsia="黑体"/>
          <w:sz w:val="32"/>
        </w:rPr>
      </w:pPr>
    </w:p>
    <w:p>
      <w:pPr>
        <w:pStyle w:val="4"/>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黑体" w:hAnsi="黑体" w:eastAsia="黑体"/>
          <w:sz w:val="32"/>
        </w:rPr>
      </w:pPr>
    </w:p>
    <w:p>
      <w:pPr>
        <w:pStyle w:val="4"/>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黑体" w:hAnsi="黑体" w:eastAsia="黑体"/>
          <w:sz w:val="32"/>
        </w:rPr>
      </w:pPr>
    </w:p>
    <w:p>
      <w:pPr>
        <w:pStyle w:val="4"/>
        <w:keepNext w:val="0"/>
        <w:keepLines w:val="0"/>
        <w:pageBreakBefore w:val="0"/>
        <w:widowControl w:val="0"/>
        <w:kinsoku/>
        <w:wordWrap/>
        <w:overflowPunct/>
        <w:topLinePunct w:val="0"/>
        <w:bidi w:val="0"/>
        <w:adjustRightInd/>
        <w:snapToGrid/>
        <w:spacing w:line="600" w:lineRule="exact"/>
        <w:ind w:firstLine="640" w:firstLineChars="200"/>
        <w:textAlignment w:val="auto"/>
        <w:rPr>
          <w:rFonts w:hint="eastAsia" w:ascii="黑体" w:hAnsi="黑体" w:eastAsia="黑体"/>
          <w:sz w:val="32"/>
        </w:rPr>
      </w:pPr>
    </w:p>
    <w:p>
      <w:pPr>
        <w:keepNext w:val="0"/>
        <w:keepLines w:val="0"/>
        <w:pageBreakBefore w:val="0"/>
        <w:widowControl w:val="0"/>
        <w:kinsoku/>
        <w:wordWrap/>
        <w:overflowPunct/>
        <w:topLinePunct w:val="0"/>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A6634"/>
    <w:multiLevelType w:val="singleLevel"/>
    <w:tmpl w:val="D0CA6634"/>
    <w:lvl w:ilvl="0" w:tentative="0">
      <w:start w:val="2"/>
      <w:numFmt w:val="chineseCounting"/>
      <w:suff w:val="nothing"/>
      <w:lvlText w:val="（%1）"/>
      <w:lvlJc w:val="left"/>
      <w:rPr>
        <w:rFonts w:hint="eastAsia"/>
      </w:rPr>
    </w:lvl>
  </w:abstractNum>
  <w:abstractNum w:abstractNumId="1">
    <w:nsid w:val="D2E1C5D0"/>
    <w:multiLevelType w:val="singleLevel"/>
    <w:tmpl w:val="D2E1C5D0"/>
    <w:lvl w:ilvl="0" w:tentative="0">
      <w:start w:val="2"/>
      <w:numFmt w:val="chineseCounting"/>
      <w:suff w:val="nothing"/>
      <w:lvlText w:val="（%1）"/>
      <w:lvlJc w:val="left"/>
      <w:rPr>
        <w:rFonts w:hint="eastAsia"/>
      </w:rPr>
    </w:lvl>
  </w:abstractNum>
  <w:abstractNum w:abstractNumId="2">
    <w:nsid w:val="67786522"/>
    <w:multiLevelType w:val="singleLevel"/>
    <w:tmpl w:val="6778652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jhjMjdiMDE2NDM2MTNlYzdiMmFiZjkxNDI3OTIifQ=="/>
  </w:docVars>
  <w:rsids>
    <w:rsidRoot w:val="3D3C5E3C"/>
    <w:rsid w:val="054C221A"/>
    <w:rsid w:val="08DD43D0"/>
    <w:rsid w:val="12C876E3"/>
    <w:rsid w:val="1CEA74EF"/>
    <w:rsid w:val="219C0EBC"/>
    <w:rsid w:val="3D3C5E3C"/>
    <w:rsid w:val="408A3066"/>
    <w:rsid w:val="41676674"/>
    <w:rsid w:val="41B45FAA"/>
    <w:rsid w:val="41D13616"/>
    <w:rsid w:val="4ABF43EB"/>
    <w:rsid w:val="4DD26658"/>
    <w:rsid w:val="5C6E40DE"/>
    <w:rsid w:val="64B7270C"/>
    <w:rsid w:val="6B2B4BF0"/>
    <w:rsid w:val="7A3C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3">
    <w:name w:val="heading 1"/>
    <w:basedOn w:val="1"/>
    <w:next w:val="1"/>
    <w:qFormat/>
    <w:uiPriority w:val="1"/>
    <w:pPr>
      <w:ind w:left="128"/>
      <w:outlineLvl w:val="1"/>
    </w:pPr>
    <w:rPr>
      <w:rFonts w:ascii="方正小标宋简体" w:hAnsi="方正小标宋简体" w:eastAsia="方正小标宋简体" w:cs="方正小标宋简体"/>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4">
    <w:name w:val="Body Text"/>
    <w:basedOn w:val="1"/>
    <w:qFormat/>
    <w:uiPriority w:val="1"/>
    <w:rPr>
      <w:rFonts w:ascii="仿宋_GB2312" w:hAnsi="仿宋_GB2312" w:eastAsia="仿宋_GB2312" w:cs="仿宋_GB2312"/>
      <w:sz w:val="32"/>
      <w:szCs w:val="32"/>
    </w:rPr>
  </w:style>
  <w:style w:type="paragraph" w:styleId="5">
    <w:name w:val="Plain Text"/>
    <w:basedOn w:val="1"/>
    <w:qFormat/>
    <w:uiPriority w:val="99"/>
    <w:rPr>
      <w:rFonts w:ascii="宋体" w:hAnsi="Courier New" w:cs="Courier New"/>
      <w:szCs w:val="21"/>
    </w:rPr>
  </w:style>
  <w:style w:type="character" w:customStyle="1" w:styleId="8">
    <w:name w:val="bjh-p"/>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2137</Words>
  <Characters>2174</Characters>
  <Lines>0</Lines>
  <Paragraphs>0</Paragraphs>
  <TotalTime>42</TotalTime>
  <ScaleCrop>false</ScaleCrop>
  <LinksUpToDate>false</LinksUpToDate>
  <CharactersWithSpaces>2179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2021-07-09T03:48:00Z</dcterms:created>
  <dc:creator>Administrator</dc:creator>
  <cp:lastModifiedBy>如风 、</cp:lastModifiedBy>
  <cp:lastPrinted>2023-03-20T03:14:03Z</cp:lastPrinted>
  <dcterms:modified xsi:type="dcterms:W3CDTF">2023-03-20T03:14:35Z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0D60D8ABE11744DAA8DF329EDD3A121E</vt:lpwstr>
  </property>
</Properties>
</file>