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spacing w:line="600" w:lineRule="exact"/>
        <w:outlineLvl w:val="9"/>
        <w:rPr>
          <w:rFonts w:ascii="Arial"/>
          <w:sz w:val="21"/>
        </w:rPr>
      </w:pPr>
    </w:p>
    <w:p>
      <w:pPr>
        <w:keepNext w:val="0"/>
        <w:keepLines w:val="0"/>
        <w:pageBreakBefore w:val="0"/>
        <w:wordWrap/>
        <w:overflowPunct/>
        <w:topLinePunct w:val="0"/>
        <w:bidi w:val="0"/>
        <w:spacing w:line="600" w:lineRule="exact"/>
        <w:outlineLvl w:val="9"/>
        <w:rPr>
          <w:rFonts w:ascii="Arial"/>
          <w:sz w:val="21"/>
        </w:rPr>
      </w:pPr>
    </w:p>
    <w:p>
      <w:pPr>
        <w:keepNext w:val="0"/>
        <w:keepLines w:val="0"/>
        <w:pageBreakBefore w:val="0"/>
        <w:wordWrap/>
        <w:overflowPunct/>
        <w:topLinePunct w:val="0"/>
        <w:bidi w:val="0"/>
        <w:spacing w:before="110" w:line="600" w:lineRule="exact"/>
        <w:ind w:firstLine="14"/>
        <w:outlineLvl w:val="9"/>
        <w:rPr>
          <w:rFonts w:ascii="Arial"/>
          <w:sz w:val="21"/>
        </w:rPr>
      </w:pPr>
      <w:r>
        <w:rPr>
          <w:rFonts w:ascii="黑体" w:hAnsi="黑体" w:eastAsia="黑体" w:cs="黑体"/>
          <w:spacing w:val="3"/>
          <w:sz w:val="34"/>
          <w:szCs w:val="34"/>
          <w14:textOutline w14:w="6172" w14:cap="flat" w14:cmpd="sng">
            <w14:solidFill>
              <w14:srgbClr w14:val="000000"/>
            </w14:solidFill>
            <w14:prstDash w14:val="solid"/>
            <w14:miter w14:val="0"/>
          </w14:textOutline>
        </w:rPr>
        <w:t>附件</w:t>
      </w:r>
      <w:r>
        <w:rPr>
          <w:rFonts w:hint="eastAsia" w:ascii="黑体" w:hAnsi="黑体" w:eastAsia="黑体" w:cs="黑体"/>
          <w:spacing w:val="3"/>
          <w:sz w:val="34"/>
          <w:szCs w:val="34"/>
          <w:lang w:val="en-US" w:eastAsia="zh-CN"/>
          <w14:textOutline w14:w="6172" w14:cap="flat" w14:cmpd="sng">
            <w14:solidFill>
              <w14:srgbClr w14:val="000000"/>
            </w14:solidFill>
            <w14:prstDash w14:val="solid"/>
            <w14:miter w14:val="0"/>
          </w14:textOutline>
        </w:rPr>
        <w:t>1</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Arial" w:eastAsia="宋体"/>
          <w:sz w:val="21"/>
          <w:lang w:eastAsia="zh-CN"/>
        </w:rPr>
      </w:pPr>
      <w:r>
        <w:rPr>
          <w:rFonts w:hint="eastAsia" w:ascii="方正大标宋简体" w:hAnsi="Times New Roman" w:eastAsia="方正大标宋简体" w:cs="Times New Roman"/>
          <w:snapToGrid/>
          <w:kern w:val="2"/>
          <w:sz w:val="44"/>
          <w:szCs w:val="44"/>
          <w:lang w:val="en-US" w:eastAsia="zh-CN" w:bidi="ar-SA"/>
        </w:rPr>
        <w:t>浮梁县市场监督管理局 2023年部门预算</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黑体" w:hAnsi="黑体" w:eastAsia="黑体" w:cs="黑体"/>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目    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黑体" w:hAnsi="黑体" w:eastAsia="黑体" w:cs="黑体"/>
          <w:snapToGrid/>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both"/>
        <w:outlineLvl w:val="9"/>
        <w:rPr>
          <w:rFonts w:ascii="微软雅黑" w:hAnsi="微软雅黑" w:eastAsia="微软雅黑" w:cs="微软雅黑"/>
          <w:i w:val="0"/>
          <w:caps w:val="0"/>
          <w:color w:val="000000"/>
          <w:spacing w:val="0"/>
          <w:sz w:val="21"/>
          <w:szCs w:val="21"/>
        </w:rPr>
      </w:pPr>
      <w:r>
        <w:rPr>
          <w:rFonts w:ascii="仿宋" w:hAnsi="仿宋" w:eastAsia="仿宋" w:cs="仿宋"/>
          <w:i w:val="0"/>
          <w:caps w:val="0"/>
          <w:color w:val="000000"/>
          <w:spacing w:val="0"/>
          <w:sz w:val="32"/>
          <w:szCs w:val="32"/>
        </w:rPr>
        <w:t>第一部分</w:t>
      </w:r>
      <w:r>
        <w:rPr>
          <w:rFonts w:hint="eastAsia" w:ascii="仿宋" w:hAnsi="仿宋" w:eastAsia="仿宋" w:cs="仿宋"/>
          <w:i w:val="0"/>
          <w:caps w:val="0"/>
          <w:color w:val="000000"/>
          <w:spacing w:val="0"/>
          <w:sz w:val="32"/>
          <w:szCs w:val="32"/>
        </w:rPr>
        <w:t>浮梁县市场监督管理局概况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64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一、部门主要职责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64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二、部门基本情况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第二部分浮梁县市场监督管理局</w:t>
      </w:r>
      <w:r>
        <w:rPr>
          <w:rFonts w:hint="eastAsia" w:ascii="仿宋" w:hAnsi="仿宋" w:eastAsia="仿宋" w:cs="仿宋"/>
          <w:i w:val="0"/>
          <w:caps w:val="0"/>
          <w:color w:val="000000"/>
          <w:spacing w:val="0"/>
          <w:sz w:val="32"/>
          <w:szCs w:val="32"/>
          <w:lang w:eastAsia="zh-CN"/>
        </w:rPr>
        <w:t>2023年</w:t>
      </w:r>
      <w:r>
        <w:rPr>
          <w:rFonts w:hint="eastAsia" w:ascii="仿宋" w:hAnsi="仿宋" w:eastAsia="仿宋" w:cs="仿宋"/>
          <w:i w:val="0"/>
          <w:caps w:val="0"/>
          <w:color w:val="000000"/>
          <w:spacing w:val="0"/>
          <w:sz w:val="32"/>
          <w:szCs w:val="32"/>
        </w:rPr>
        <w:t>部门预算情况说明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一、</w:t>
      </w:r>
      <w:r>
        <w:rPr>
          <w:rFonts w:hint="eastAsia" w:ascii="仿宋" w:hAnsi="仿宋" w:eastAsia="仿宋" w:cs="仿宋"/>
          <w:i w:val="0"/>
          <w:caps w:val="0"/>
          <w:color w:val="000000"/>
          <w:spacing w:val="0"/>
          <w:sz w:val="32"/>
          <w:szCs w:val="32"/>
          <w:lang w:eastAsia="zh-CN"/>
        </w:rPr>
        <w:t>2023年</w:t>
      </w:r>
      <w:r>
        <w:rPr>
          <w:rFonts w:hint="eastAsia" w:ascii="仿宋" w:hAnsi="仿宋" w:eastAsia="仿宋" w:cs="仿宋"/>
          <w:i w:val="0"/>
          <w:caps w:val="0"/>
          <w:color w:val="000000"/>
          <w:spacing w:val="0"/>
          <w:sz w:val="32"/>
          <w:szCs w:val="32"/>
        </w:rPr>
        <w:t>部门预算收支情况说明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二、</w:t>
      </w:r>
      <w:r>
        <w:rPr>
          <w:rFonts w:hint="eastAsia" w:ascii="仿宋" w:hAnsi="仿宋" w:eastAsia="仿宋" w:cs="仿宋"/>
          <w:i w:val="0"/>
          <w:caps w:val="0"/>
          <w:color w:val="000000"/>
          <w:spacing w:val="0"/>
          <w:sz w:val="32"/>
          <w:szCs w:val="32"/>
          <w:lang w:eastAsia="zh-CN"/>
        </w:rPr>
        <w:t>2023年</w:t>
      </w:r>
      <w:r>
        <w:rPr>
          <w:rFonts w:hint="eastAsia" w:ascii="仿宋" w:hAnsi="仿宋" w:eastAsia="仿宋" w:cs="仿宋"/>
          <w:i w:val="0"/>
          <w:caps w:val="0"/>
          <w:color w:val="000000"/>
          <w:spacing w:val="0"/>
          <w:sz w:val="32"/>
          <w:szCs w:val="32"/>
        </w:rPr>
        <w:t>“三公”经费预算情况说明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第三部分浮梁县市场监督管理局</w:t>
      </w:r>
      <w:r>
        <w:rPr>
          <w:rFonts w:hint="eastAsia" w:ascii="仿宋" w:hAnsi="仿宋" w:eastAsia="仿宋" w:cs="仿宋"/>
          <w:i w:val="0"/>
          <w:caps w:val="0"/>
          <w:color w:val="000000"/>
          <w:spacing w:val="0"/>
          <w:sz w:val="32"/>
          <w:szCs w:val="32"/>
          <w:lang w:eastAsia="zh-CN"/>
        </w:rPr>
        <w:t>2023年</w:t>
      </w:r>
      <w:r>
        <w:rPr>
          <w:rFonts w:hint="eastAsia" w:ascii="仿宋" w:hAnsi="仿宋" w:eastAsia="仿宋" w:cs="仿宋"/>
          <w:i w:val="0"/>
          <w:caps w:val="0"/>
          <w:color w:val="000000"/>
          <w:spacing w:val="0"/>
          <w:sz w:val="32"/>
          <w:szCs w:val="32"/>
        </w:rPr>
        <w:t>部门预算表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一、收支预算总表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二、部门收入总表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三、部门支出总表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四、财政拨款收支总表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五、一般公共预算支出表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六、一般公共预算基本支出表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七、一般公共预算“三公”经费支出表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八、政府性基金预算支出表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第四部分名词解释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center"/>
        <w:outlineLvl w:val="9"/>
        <w:rPr>
          <w:rFonts w:hint="eastAsia" w:ascii="微软雅黑" w:hAnsi="微软雅黑" w:eastAsia="微软雅黑" w:cs="微软雅黑"/>
          <w:i w:val="0"/>
          <w:caps w:val="0"/>
          <w:color w:val="000000"/>
          <w:spacing w:val="0"/>
          <w:sz w:val="21"/>
          <w:szCs w:val="21"/>
        </w:rPr>
      </w:pPr>
      <w:r>
        <w:rPr>
          <w:rFonts w:hint="eastAsia" w:ascii="宋体" w:hAnsi="宋体" w:eastAsia="宋体" w:cs="宋体"/>
          <w:b/>
          <w:i w:val="0"/>
          <w:caps w:val="0"/>
          <w:snapToGrid w:val="0"/>
          <w:color w:val="000000"/>
          <w:spacing w:val="0"/>
          <w:kern w:val="0"/>
          <w:sz w:val="32"/>
          <w:szCs w:val="32"/>
          <w:lang w:val="en-US" w:eastAsia="zh-CN" w:bidi="ar"/>
        </w:rPr>
        <w:t>第一部分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center"/>
        <w:outlineLvl w:val="9"/>
        <w:rPr>
          <w:rFonts w:hint="eastAsia" w:ascii="微软雅黑" w:hAnsi="微软雅黑" w:eastAsia="微软雅黑" w:cs="微软雅黑"/>
          <w:i w:val="0"/>
          <w:caps w:val="0"/>
          <w:color w:val="000000"/>
          <w:spacing w:val="0"/>
          <w:sz w:val="21"/>
          <w:szCs w:val="21"/>
        </w:rPr>
      </w:pPr>
      <w:r>
        <w:rPr>
          <w:rFonts w:hint="eastAsia" w:ascii="宋体" w:hAnsi="宋体" w:eastAsia="宋体" w:cs="宋体"/>
          <w:b/>
          <w:i w:val="0"/>
          <w:caps w:val="0"/>
          <w:snapToGrid w:val="0"/>
          <w:color w:val="000000"/>
          <w:spacing w:val="0"/>
          <w:kern w:val="0"/>
          <w:sz w:val="32"/>
          <w:szCs w:val="32"/>
          <w:lang w:val="en-US" w:eastAsia="zh-CN" w:bidi="ar"/>
        </w:rPr>
        <w:t>浮梁县市场监督管理局概况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64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一、部门主要职责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县市场监督管理局贯彻落实党中央关于市场监督管理工作的方针政策和决策部署，在履行职责过程中坚持和加强党对市场监督管理工作的集中统一领导。主要职责是：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一）负责市场综合监督管理。贯彻执行国家、省、市有关市场监督管理的方针、政策和有关法律法规，拟定市场监督管理的有关政策，组织实施质量强县战略、食品药品安全战略、标准化战略和商标品牌战略，拟订并组织实施有关规划，规范和维护市场秩序，营造诚实守信、公平竞争的市场环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二）负责市场主体统一登记注册。负责并指导全县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（三）负责指导和监督市场监管综合执法工作。整合建设市场监管综合执法队伍，推动实行统一的市场监管。组织查处重大违法案件。规范市场监管行政执法行为。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（四）依据授权，承担负责反垄断执法调查工作。统筹推进竞争政策实施，组织实施公平竞争审查制度。依法依授权进行反垄断调查及执法工作。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五）负责监督管理市场秩序。依法监督管理市场交易、网络商品交易及有关服务的行为。组织查处价格收费违法违规、不正当竞争、违法直销、传销、侵犯商标专利知识产权和制售假冒伪劣行为。指导广告业发展，监督管理广告活动。承担依法查处无照生产经营和相关无证生产经营行为。营造安全放心的消费环境，指导开展消费维权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六）负责宏观质量管理。拟定并组织实施质量发展的制度措施，会同有关部门组织实施重大工程设备质量监理制度，统筹质量基础设施建设及应用。组织重大产品质量事故调查处理，落实缺陷产品召回制度，监督管理产品防伪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（七）负责产品质量安全监督管理。负责全县产品质量安全风险监控、监督抽查工作。组织实施质量分级制度、质量安全追溯制度。负责工业产品生产许可管理。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（八）负责特种设备安全监督管理。综合管理特种设备安全监察、监督工作，监督检查高耗能特种设备节能标准和锅炉环境保护标准的执行情况。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九）负责食品安全监督管理综合协调。贯彻落实并组织实施食品安全重大政策。负责食品安全应急体系建设，组织指导重大食品安全事件应急处置和调查处理工作。健全落实食品安全重要信息直报制度。承担县食品安全委员会日常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工作。组织实施特殊食品监督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（十一）负责统一管理计量工作。推行并执行法定计量单位和国家计量制度，管理计量器具及量值传递和比对工作。规范、监督商品量和市场计量行为。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（十二）负责统一管理标准化工作。依法承担地方标准的立项、编号和发布等工作，依法协调指导和监督地方标准、团体标准制定工作，管理全县标准化技术委员会。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（十三）负责统一管理认证认可与检验检测工作。落实认证认可与检验检测监督管理制度、措施，指导协调认证认可与检验检测行业发展，依法监督管理认证认可与检验检测工作。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十四）负责知识产权工作。拟订全县知识产权发展战略和加强知识产权强县建设的发展规划并组织实施。负责保护知识产权，组织实施并监督严格保护知识产权的制度，推动建设知识产权保护体系。负责促进知识产权运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十五）负责药品、医疗器械和化妆品经营、使用环节安全监督管理。贯彻执行国家药品、医疗器械和化妆品安全监督管理的法律法规和规章，负责药品、医疗器械和化妆品经营、使用环节的标准管理、质量管理、上市后风险管理、不良反应监测、评价和处置、安全应急管理和违法行为的查处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（十六）负责市场监督管理科技和信息化建设、新闻宣传。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（十七）完成县委、县政府交办的其他任务。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（十八）职能转变。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１.大力推进质量提升。加强全面质量管理和质量基础设施体系建设，完善质量激励制度，推进品牌建设。落实企业产品质量安全事故强制报告制度及经营者首问和赔偿先付制度，创新第三方质量评价，强化生产经营者主体责任，推广先进的质量管理方法。全面实施企业产品与服务标准自我声明公开和监督制度，培育和发展技术先进的团体标准，对标国际提高标准整体水平，以标准化促进质量强县建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２.深入推进简政放权。深化商事制度改革，改革企业名称核准、市场主体退出等制度，深化“证照分离”改革，推动“照后减证”，压缩企业开办时间。加快检验检测机构市场化社会化改革。进一步减少评比达标、认定奖励、示范创建等活动，减少行政审批事项，大幅压减工业产品生产许可证，促进优化营商环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３.严守安全底线。遵循“最严谨的标准、最严格的监管、最严厉的处罚、最严肃的问责”要求，依法加强食品安全、工业产品质量安全、特种设备安全监管，强化现场检查，严惩违法违规行为，有效防范系统性风险，让人民群众买得放心、用得放心、吃得放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４.加强事中事后监管。加快清理废除妨碍统一市场和公平竞争的各种规定和做法，加强反垄断、反不正当竞争统一执法。强化依据标准监管，强化风险管理，全面推行“双随机、一公开”和“互联网＋监管”，加快推进监管信息共享，构建以信息公示为手段、以信用监管为核心的新型市场监管体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５.提高服务水平。加快整合消费者投诉、质量监督举报、食品药品投诉、知识产权投诉、价格举报专线。推进市场主体准入到退出全过程便利化，主动服务新技术新产业新业态新模式发展，运用大数据加强对市场主体服务，积极服务个体工商户、私营企业和办事群众，促进大众创业，万众创新。加快建设知识产权信息公共服务平台，为创业创新提供便捷咨询等服务，实现信息免费或低成本开放，提高全社会知识产权保护和风险防范意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（二十）有关职责分工。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1.与县公安局的有关职责分工。县市场监督管理局与县公安局建立行政执法和刑事司法工作衔接机制。市场监督管理部门发现违法行为涉嫌犯罪的，应当按照有关规定及时移送公安机关，公安机关应当迅速进行审查，并依法作出立案或者不予立案的决定。公安机关依法提请市场监督管理部门作出检验、鉴定、认定等协助的，市场监督管理部门应当予以协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2.与县农业农村局的有关职责分工。（1）县农业农村局负责食用农产品从种植养殖环节到进入批发、零售市场或者生产加工企业前的质量安全监督管理。食用农产品进入批发、零售市场或者生产加工企业后，由县市场监督管理局监督管理。（2）县农业农村局负责动植物疫病防控、畜禽屠宰环节、生鲜乳收购环节质量安全的监督管理。（3）两部门要建立食品安全产地准出、市场准入和追溯机制，加强协调配合和工作衔接，形成监管合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FF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3.与县卫生健康委员会的有关职责分工。县卫生健康委员会负责食品安全风险评估工作，会同县市场监督管理局等部门制定、实施食品安全风险监测计划，建立重大药品不良反应和医疗器械不良事件相互通报联合处置机制。县卫生健康委员会对通过食品安全风险监测或者接到举报发现食品可能存在安全隐患的，应当立即组织进行检验和食品安全风险评估，并及时向县市场监督管理局通报食品安全风险评估结果，对于得出不安全结论的食品，县市场监督管理局应当立即采取措施。县市场监督管理局在监督管理工作中发现需要进行食品安全风险评估</w:t>
      </w:r>
      <w:r>
        <w:rPr>
          <w:rFonts w:hint="eastAsia" w:ascii="仿宋" w:hAnsi="仿宋" w:eastAsia="仿宋" w:cs="仿宋"/>
          <w:i w:val="0"/>
          <w:caps w:val="0"/>
          <w:snapToGrid w:val="0"/>
          <w:color w:val="auto"/>
          <w:spacing w:val="0"/>
          <w:kern w:val="0"/>
          <w:sz w:val="32"/>
          <w:szCs w:val="32"/>
          <w:lang w:val="en-US" w:eastAsia="zh-CN" w:bidi="ar"/>
        </w:rPr>
        <w:t>的，应当及时向县卫生健康委员会提出建议。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640" w:right="0" w:firstLine="0"/>
        <w:jc w:val="both"/>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color w:val="auto"/>
          <w:spacing w:val="0"/>
          <w:sz w:val="32"/>
          <w:szCs w:val="32"/>
        </w:rPr>
        <w:t>三、部门基本情况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color w:val="auto"/>
          <w:spacing w:val="0"/>
          <w:sz w:val="32"/>
          <w:szCs w:val="32"/>
        </w:rPr>
        <w:t>    本部门含下属单位共有编制数为</w:t>
      </w:r>
      <w:r>
        <w:rPr>
          <w:rFonts w:hint="eastAsia" w:ascii="仿宋" w:hAnsi="仿宋" w:eastAsia="仿宋" w:cs="仿宋"/>
          <w:i w:val="0"/>
          <w:caps w:val="0"/>
          <w:color w:val="auto"/>
          <w:spacing w:val="0"/>
          <w:sz w:val="32"/>
          <w:szCs w:val="32"/>
          <w:lang w:val="en-US" w:eastAsia="zh-CN"/>
        </w:rPr>
        <w:t>105</w:t>
      </w:r>
      <w:r>
        <w:rPr>
          <w:rFonts w:hint="eastAsia" w:ascii="仿宋" w:hAnsi="仿宋" w:eastAsia="仿宋" w:cs="仿宋"/>
          <w:i w:val="0"/>
          <w:caps w:val="0"/>
          <w:color w:val="auto"/>
          <w:spacing w:val="0"/>
          <w:sz w:val="32"/>
          <w:szCs w:val="32"/>
        </w:rPr>
        <w:t>个，其中公务员</w:t>
      </w:r>
      <w:r>
        <w:rPr>
          <w:rFonts w:hint="eastAsia" w:ascii="仿宋" w:hAnsi="仿宋" w:eastAsia="仿宋" w:cs="仿宋"/>
          <w:i w:val="0"/>
          <w:caps w:val="0"/>
          <w:color w:val="auto"/>
          <w:spacing w:val="0"/>
          <w:sz w:val="32"/>
          <w:szCs w:val="32"/>
          <w:lang w:val="en-US" w:eastAsia="zh-CN"/>
        </w:rPr>
        <w:t>69</w:t>
      </w:r>
      <w:r>
        <w:rPr>
          <w:rFonts w:hint="eastAsia" w:ascii="仿宋" w:hAnsi="仿宋" w:eastAsia="仿宋" w:cs="仿宋"/>
          <w:i w:val="0"/>
          <w:caps w:val="0"/>
          <w:color w:val="auto"/>
          <w:spacing w:val="0"/>
          <w:sz w:val="32"/>
          <w:szCs w:val="32"/>
        </w:rPr>
        <w:t>个，全部补助事业编制36个。实有人数</w:t>
      </w:r>
      <w:r>
        <w:rPr>
          <w:rFonts w:hint="eastAsia" w:ascii="仿宋" w:hAnsi="仿宋" w:eastAsia="仿宋" w:cs="仿宋"/>
          <w:i w:val="0"/>
          <w:caps w:val="0"/>
          <w:color w:val="auto"/>
          <w:spacing w:val="0"/>
          <w:sz w:val="32"/>
          <w:szCs w:val="32"/>
          <w:lang w:val="en-US" w:eastAsia="zh-CN"/>
        </w:rPr>
        <w:t>124</w:t>
      </w:r>
      <w:r>
        <w:rPr>
          <w:rFonts w:hint="eastAsia" w:ascii="仿宋" w:hAnsi="仿宋" w:eastAsia="仿宋" w:cs="仿宋"/>
          <w:i w:val="0"/>
          <w:caps w:val="0"/>
          <w:color w:val="auto"/>
          <w:spacing w:val="0"/>
          <w:sz w:val="32"/>
          <w:szCs w:val="32"/>
        </w:rPr>
        <w:t>人，其中在职</w:t>
      </w:r>
      <w:r>
        <w:rPr>
          <w:rFonts w:hint="eastAsia" w:ascii="仿宋" w:hAnsi="仿宋" w:eastAsia="仿宋" w:cs="仿宋"/>
          <w:i w:val="0"/>
          <w:caps w:val="0"/>
          <w:color w:val="auto"/>
          <w:spacing w:val="0"/>
          <w:sz w:val="32"/>
          <w:szCs w:val="32"/>
          <w:lang w:eastAsia="zh-CN"/>
        </w:rPr>
        <w:t>人数</w:t>
      </w:r>
      <w:r>
        <w:rPr>
          <w:rFonts w:hint="eastAsia" w:ascii="仿宋" w:hAnsi="仿宋" w:eastAsia="仿宋" w:cs="仿宋"/>
          <w:i w:val="0"/>
          <w:caps w:val="0"/>
          <w:color w:val="auto"/>
          <w:spacing w:val="0"/>
          <w:sz w:val="32"/>
          <w:szCs w:val="32"/>
          <w:lang w:val="en-US" w:eastAsia="zh-CN"/>
        </w:rPr>
        <w:t>91</w:t>
      </w:r>
      <w:r>
        <w:rPr>
          <w:rFonts w:hint="eastAsia" w:ascii="仿宋" w:hAnsi="仿宋" w:eastAsia="仿宋" w:cs="仿宋"/>
          <w:i w:val="0"/>
          <w:caps w:val="0"/>
          <w:color w:val="auto"/>
          <w:spacing w:val="0"/>
          <w:sz w:val="32"/>
          <w:szCs w:val="32"/>
        </w:rPr>
        <w:t>人，</w:t>
      </w:r>
      <w:r>
        <w:rPr>
          <w:rFonts w:hint="eastAsia" w:ascii="仿宋" w:hAnsi="仿宋" w:eastAsia="仿宋" w:cs="仿宋"/>
          <w:i w:val="0"/>
          <w:caps w:val="0"/>
          <w:color w:val="auto"/>
          <w:spacing w:val="0"/>
          <w:sz w:val="32"/>
          <w:szCs w:val="32"/>
          <w:lang w:eastAsia="zh-CN"/>
        </w:rPr>
        <w:t>编外人员</w:t>
      </w:r>
      <w:r>
        <w:rPr>
          <w:rFonts w:hint="eastAsia" w:ascii="仿宋" w:hAnsi="仿宋" w:eastAsia="仿宋" w:cs="仿宋"/>
          <w:i w:val="0"/>
          <w:caps w:val="0"/>
          <w:color w:val="auto"/>
          <w:spacing w:val="0"/>
          <w:sz w:val="32"/>
          <w:szCs w:val="32"/>
          <w:lang w:val="en-US" w:eastAsia="zh-CN"/>
        </w:rPr>
        <w:t>33人</w:t>
      </w:r>
      <w:r>
        <w:rPr>
          <w:rFonts w:hint="eastAsia" w:ascii="仿宋" w:hAnsi="仿宋" w:eastAsia="仿宋" w:cs="仿宋"/>
          <w:i w:val="0"/>
          <w:caps w:val="0"/>
          <w:color w:val="auto"/>
          <w:spacing w:val="0"/>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center"/>
        <w:outlineLvl w:val="9"/>
        <w:rPr>
          <w:rFonts w:hint="eastAsia" w:ascii="微软雅黑" w:hAnsi="微软雅黑" w:eastAsia="微软雅黑" w:cs="微软雅黑"/>
          <w:i w:val="0"/>
          <w:caps w:val="0"/>
          <w:color w:val="000000"/>
          <w:spacing w:val="0"/>
          <w:sz w:val="21"/>
          <w:szCs w:val="21"/>
        </w:rPr>
      </w:pPr>
      <w:r>
        <w:rPr>
          <w:rFonts w:hint="eastAsia" w:ascii="宋体" w:hAnsi="宋体" w:eastAsia="宋体" w:cs="宋体"/>
          <w:b/>
          <w:i w:val="0"/>
          <w:caps w:val="0"/>
          <w:color w:val="000000"/>
          <w:spacing w:val="0"/>
          <w:sz w:val="32"/>
          <w:szCs w:val="32"/>
        </w:rPr>
        <w:t>第二部分浮梁县市场监督管理局</w:t>
      </w:r>
      <w:r>
        <w:rPr>
          <w:rFonts w:hint="eastAsia" w:ascii="宋体" w:hAnsi="宋体" w:eastAsia="宋体" w:cs="宋体"/>
          <w:b/>
          <w:i w:val="0"/>
          <w:caps w:val="0"/>
          <w:color w:val="000000"/>
          <w:spacing w:val="0"/>
          <w:sz w:val="32"/>
          <w:szCs w:val="32"/>
          <w:lang w:eastAsia="zh-CN"/>
        </w:rPr>
        <w:t>2023年</w:t>
      </w:r>
      <w:r>
        <w:rPr>
          <w:rFonts w:hint="eastAsia" w:ascii="宋体" w:hAnsi="宋体" w:eastAsia="宋体" w:cs="宋体"/>
          <w:b/>
          <w:i w:val="0"/>
          <w:caps w:val="0"/>
          <w:color w:val="000000"/>
          <w:spacing w:val="0"/>
          <w:sz w:val="32"/>
          <w:szCs w:val="32"/>
        </w:rPr>
        <w:t>部门预算情况说明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both"/>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color w:val="auto"/>
          <w:spacing w:val="0"/>
          <w:sz w:val="32"/>
          <w:szCs w:val="32"/>
        </w:rPr>
        <w:t>一、</w:t>
      </w:r>
      <w:r>
        <w:rPr>
          <w:rFonts w:hint="eastAsia" w:ascii="仿宋" w:hAnsi="仿宋" w:eastAsia="仿宋" w:cs="仿宋"/>
          <w:i w:val="0"/>
          <w:caps w:val="0"/>
          <w:color w:val="auto"/>
          <w:spacing w:val="0"/>
          <w:sz w:val="32"/>
          <w:szCs w:val="32"/>
          <w:lang w:eastAsia="zh-CN"/>
        </w:rPr>
        <w:t>2023年</w:t>
      </w:r>
      <w:r>
        <w:rPr>
          <w:rFonts w:hint="eastAsia" w:ascii="仿宋" w:hAnsi="仿宋" w:eastAsia="仿宋" w:cs="仿宋"/>
          <w:i w:val="0"/>
          <w:caps w:val="0"/>
          <w:color w:val="auto"/>
          <w:spacing w:val="0"/>
          <w:sz w:val="32"/>
          <w:szCs w:val="32"/>
        </w:rPr>
        <w:t>部门预算收支情况说明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snapToGrid w:val="0"/>
          <w:color w:val="auto"/>
          <w:spacing w:val="0"/>
          <w:kern w:val="0"/>
          <w:sz w:val="32"/>
          <w:szCs w:val="32"/>
          <w:lang w:val="en-US" w:eastAsia="zh-CN" w:bidi="ar"/>
        </w:rPr>
        <w:t>1、收入预算情况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FF0000"/>
          <w:spacing w:val="0"/>
          <w:sz w:val="21"/>
          <w:szCs w:val="21"/>
        </w:rPr>
      </w:pPr>
      <w:r>
        <w:rPr>
          <w:rFonts w:hint="eastAsia" w:ascii="仿宋" w:hAnsi="仿宋" w:eastAsia="仿宋" w:cs="仿宋"/>
          <w:i w:val="0"/>
          <w:caps w:val="0"/>
          <w:snapToGrid w:val="0"/>
          <w:color w:val="auto"/>
          <w:spacing w:val="0"/>
          <w:kern w:val="0"/>
          <w:sz w:val="32"/>
          <w:szCs w:val="32"/>
          <w:lang w:val="en-US" w:eastAsia="zh-CN" w:bidi="ar"/>
        </w:rPr>
        <w:t>2023年收入预算总额2239.13万元，其中公共财政拨款收入</w:t>
      </w:r>
      <w:r>
        <w:rPr>
          <w:rFonts w:hint="eastAsia" w:ascii="仿宋" w:hAnsi="仿宋" w:eastAsia="仿宋" w:cs="仿宋"/>
          <w:i w:val="0"/>
          <w:caps w:val="0"/>
          <w:snapToGrid w:val="0"/>
          <w:color w:val="auto"/>
          <w:spacing w:val="0"/>
          <w:kern w:val="0"/>
          <w:sz w:val="32"/>
          <w:szCs w:val="32"/>
          <w:lang w:val="en-US" w:eastAsia="zh-CN" w:bidi="ar"/>
        </w:rPr>
        <w:t>2059.13</w:t>
      </w:r>
      <w:r>
        <w:rPr>
          <w:rFonts w:hint="eastAsia" w:ascii="仿宋" w:hAnsi="仿宋" w:eastAsia="仿宋" w:cs="仿宋"/>
          <w:i w:val="0"/>
          <w:caps w:val="0"/>
          <w:snapToGrid w:val="0"/>
          <w:color w:val="auto"/>
          <w:spacing w:val="0"/>
          <w:kern w:val="0"/>
          <w:sz w:val="32"/>
          <w:szCs w:val="32"/>
          <w:lang w:val="en-US" w:eastAsia="zh-CN" w:bidi="ar"/>
        </w:rPr>
        <w:t>万元，财政拨款结转0万元。预算总额比去年增加662.46万元，主要由于零基预算、专项调整。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snapToGrid w:val="0"/>
          <w:color w:val="auto"/>
          <w:spacing w:val="0"/>
          <w:kern w:val="0"/>
          <w:sz w:val="32"/>
          <w:szCs w:val="32"/>
          <w:lang w:val="en-US" w:eastAsia="zh-CN" w:bidi="ar"/>
        </w:rPr>
        <w:t>2、支出预算情况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snapToGrid w:val="0"/>
          <w:color w:val="auto"/>
          <w:spacing w:val="0"/>
          <w:kern w:val="0"/>
          <w:sz w:val="32"/>
          <w:szCs w:val="32"/>
          <w:lang w:val="en-US" w:eastAsia="zh-CN" w:bidi="ar"/>
        </w:rPr>
        <w:t>2023年支出预算总额为</w:t>
      </w:r>
      <w:r>
        <w:rPr>
          <w:rFonts w:hint="eastAsia" w:ascii="仿宋" w:hAnsi="仿宋" w:eastAsia="仿宋" w:cs="仿宋"/>
          <w:i w:val="0"/>
          <w:caps w:val="0"/>
          <w:snapToGrid w:val="0"/>
          <w:color w:val="auto"/>
          <w:spacing w:val="0"/>
          <w:kern w:val="0"/>
          <w:sz w:val="32"/>
          <w:szCs w:val="32"/>
          <w:lang w:val="en-US" w:eastAsia="zh-CN" w:bidi="ar"/>
        </w:rPr>
        <w:t>2239.13</w:t>
      </w:r>
      <w:r>
        <w:rPr>
          <w:rFonts w:hint="eastAsia" w:ascii="仿宋" w:hAnsi="仿宋" w:eastAsia="仿宋" w:cs="仿宋"/>
          <w:i w:val="0"/>
          <w:caps w:val="0"/>
          <w:snapToGrid w:val="0"/>
          <w:color w:val="auto"/>
          <w:spacing w:val="0"/>
          <w:kern w:val="0"/>
          <w:sz w:val="32"/>
          <w:szCs w:val="32"/>
          <w:lang w:val="en-US" w:eastAsia="zh-CN" w:bidi="ar"/>
        </w:rPr>
        <w:t>万元，比去年支出</w:t>
      </w:r>
      <w:r>
        <w:rPr>
          <w:rFonts w:hint="eastAsia" w:ascii="仿宋" w:hAnsi="仿宋" w:eastAsia="仿宋" w:cs="仿宋"/>
          <w:i w:val="0"/>
          <w:caps w:val="0"/>
          <w:snapToGrid w:val="0"/>
          <w:color w:val="auto"/>
          <w:spacing w:val="0"/>
          <w:kern w:val="0"/>
          <w:sz w:val="32"/>
          <w:szCs w:val="32"/>
          <w:lang w:val="en-US" w:eastAsia="zh-CN" w:bidi="ar"/>
        </w:rPr>
        <w:t>增加662.46</w:t>
      </w:r>
      <w:r>
        <w:rPr>
          <w:rFonts w:hint="eastAsia" w:ascii="仿宋" w:hAnsi="仿宋" w:eastAsia="仿宋" w:cs="仿宋"/>
          <w:i w:val="0"/>
          <w:caps w:val="0"/>
          <w:snapToGrid w:val="0"/>
          <w:color w:val="auto"/>
          <w:spacing w:val="0"/>
          <w:kern w:val="0"/>
          <w:sz w:val="32"/>
          <w:szCs w:val="32"/>
          <w:lang w:val="en-US" w:eastAsia="zh-CN" w:bidi="ar"/>
        </w:rPr>
        <w:t>万元，</w:t>
      </w:r>
      <w:r>
        <w:rPr>
          <w:rFonts w:hint="eastAsia" w:ascii="仿宋" w:hAnsi="仿宋" w:eastAsia="仿宋" w:cs="仿宋"/>
          <w:i w:val="0"/>
          <w:caps w:val="0"/>
          <w:snapToGrid w:val="0"/>
          <w:color w:val="auto"/>
          <w:spacing w:val="0"/>
          <w:kern w:val="0"/>
          <w:sz w:val="32"/>
          <w:szCs w:val="32"/>
          <w:lang w:val="en-US" w:eastAsia="zh-CN" w:bidi="ar"/>
        </w:rPr>
        <w:t>主要由于零基预算、专项调整</w:t>
      </w:r>
      <w:r>
        <w:rPr>
          <w:rFonts w:hint="eastAsia" w:ascii="仿宋" w:hAnsi="仿宋" w:eastAsia="仿宋" w:cs="仿宋"/>
          <w:i w:val="0"/>
          <w:caps w:val="0"/>
          <w:snapToGrid w:val="0"/>
          <w:color w:val="auto"/>
          <w:spacing w:val="0"/>
          <w:kern w:val="0"/>
          <w:sz w:val="32"/>
          <w:szCs w:val="32"/>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snapToGrid w:val="0"/>
          <w:color w:val="auto"/>
          <w:spacing w:val="0"/>
          <w:kern w:val="0"/>
          <w:sz w:val="32"/>
          <w:szCs w:val="32"/>
          <w:lang w:val="en-US" w:eastAsia="zh-CN" w:bidi="ar"/>
        </w:rPr>
        <w:t>按支出项目类别划分：基本支出1795.13万元，项目支出444万元。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snapToGrid w:val="0"/>
          <w:color w:val="auto"/>
          <w:spacing w:val="0"/>
          <w:kern w:val="0"/>
          <w:sz w:val="32"/>
          <w:szCs w:val="32"/>
          <w:lang w:val="en-US" w:eastAsia="zh-CN" w:bidi="ar"/>
        </w:rPr>
        <w:t>按支出功能科目分类：部门支出总表内一般公共服务支出</w:t>
      </w:r>
      <w:r>
        <w:rPr>
          <w:rFonts w:hint="eastAsia" w:ascii="仿宋" w:hAnsi="仿宋" w:eastAsia="仿宋" w:cs="仿宋"/>
          <w:i w:val="0"/>
          <w:caps w:val="0"/>
          <w:snapToGrid w:val="0"/>
          <w:color w:val="auto"/>
          <w:spacing w:val="0"/>
          <w:kern w:val="0"/>
          <w:sz w:val="32"/>
          <w:szCs w:val="32"/>
          <w:lang w:val="en-US" w:eastAsia="zh-CN" w:bidi="ar"/>
        </w:rPr>
        <w:t>1890.49</w:t>
      </w:r>
      <w:r>
        <w:rPr>
          <w:rFonts w:hint="eastAsia" w:ascii="仿宋" w:hAnsi="仿宋" w:eastAsia="仿宋" w:cs="仿宋"/>
          <w:i w:val="0"/>
          <w:caps w:val="0"/>
          <w:snapToGrid w:val="0"/>
          <w:color w:val="auto"/>
          <w:spacing w:val="0"/>
          <w:kern w:val="0"/>
          <w:sz w:val="32"/>
          <w:szCs w:val="32"/>
          <w:lang w:val="en-US" w:eastAsia="zh-CN" w:bidi="ar"/>
        </w:rPr>
        <w:t>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snapToGrid w:val="0"/>
          <w:color w:val="auto"/>
          <w:spacing w:val="0"/>
          <w:kern w:val="0"/>
          <w:sz w:val="32"/>
          <w:szCs w:val="32"/>
          <w:lang w:val="en-US" w:eastAsia="zh-CN" w:bidi="ar"/>
        </w:rPr>
        <w:t>按经济功能科目分类：工资福利支出1447.19万元，商品服务支出346.78万元，对个人和家庭补助支出1.17万元。项目支出444万元。行政事业性项目支出0万元。基本建设支出0万元。项目支出</w:t>
      </w:r>
      <w:r>
        <w:rPr>
          <w:rFonts w:hint="eastAsia" w:ascii="仿宋" w:hAnsi="仿宋" w:eastAsia="仿宋" w:cs="仿宋"/>
          <w:i w:val="0"/>
          <w:caps w:val="0"/>
          <w:snapToGrid w:val="0"/>
          <w:color w:val="auto"/>
          <w:spacing w:val="0"/>
          <w:kern w:val="0"/>
          <w:sz w:val="32"/>
          <w:szCs w:val="32"/>
          <w:lang w:val="en-US" w:eastAsia="zh-CN" w:bidi="ar"/>
        </w:rPr>
        <w:t>444</w:t>
      </w:r>
      <w:r>
        <w:rPr>
          <w:rFonts w:hint="eastAsia" w:ascii="仿宋" w:hAnsi="仿宋" w:eastAsia="仿宋" w:cs="仿宋"/>
          <w:i w:val="0"/>
          <w:caps w:val="0"/>
          <w:snapToGrid w:val="0"/>
          <w:color w:val="auto"/>
          <w:spacing w:val="0"/>
          <w:kern w:val="0"/>
          <w:sz w:val="32"/>
          <w:szCs w:val="32"/>
          <w:lang w:val="en-US" w:eastAsia="zh-CN" w:bidi="ar"/>
        </w:rPr>
        <w:t>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snapToGrid w:val="0"/>
          <w:color w:val="auto"/>
          <w:spacing w:val="0"/>
          <w:kern w:val="0"/>
          <w:sz w:val="32"/>
          <w:szCs w:val="32"/>
          <w:lang w:val="en-US" w:eastAsia="zh-CN" w:bidi="ar"/>
        </w:rPr>
        <w:t>3、2023年公共财政拨款支出预算情况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snapToGrid w:val="0"/>
          <w:color w:val="auto"/>
          <w:spacing w:val="0"/>
          <w:kern w:val="0"/>
          <w:sz w:val="32"/>
          <w:szCs w:val="32"/>
          <w:lang w:val="en-US" w:eastAsia="zh-CN" w:bidi="ar"/>
        </w:rPr>
        <w:t>2023年公共财政拨款支出预算为</w:t>
      </w:r>
      <w:r>
        <w:rPr>
          <w:rFonts w:hint="eastAsia" w:ascii="仿宋" w:hAnsi="仿宋" w:eastAsia="仿宋" w:cs="仿宋"/>
          <w:i w:val="0"/>
          <w:caps w:val="0"/>
          <w:snapToGrid w:val="0"/>
          <w:color w:val="auto"/>
          <w:spacing w:val="0"/>
          <w:kern w:val="0"/>
          <w:sz w:val="32"/>
          <w:szCs w:val="32"/>
          <w:lang w:val="en-US" w:eastAsia="zh-CN" w:bidi="ar"/>
        </w:rPr>
        <w:t>2239.13万元，比去年支出增加662.46万元</w:t>
      </w:r>
      <w:r>
        <w:rPr>
          <w:rFonts w:hint="eastAsia" w:ascii="仿宋" w:hAnsi="仿宋" w:eastAsia="仿宋" w:cs="仿宋"/>
          <w:i w:val="0"/>
          <w:caps w:val="0"/>
          <w:snapToGrid w:val="0"/>
          <w:color w:val="auto"/>
          <w:spacing w:val="0"/>
          <w:kern w:val="0"/>
          <w:sz w:val="32"/>
          <w:szCs w:val="32"/>
          <w:lang w:val="en-US" w:eastAsia="zh-CN" w:bidi="ar"/>
        </w:rPr>
        <w:t>。按支出项目类别划分：</w:t>
      </w:r>
      <w:r>
        <w:rPr>
          <w:rFonts w:hint="eastAsia" w:ascii="仿宋" w:hAnsi="仿宋" w:eastAsia="仿宋" w:cs="仿宋"/>
          <w:i w:val="0"/>
          <w:caps w:val="0"/>
          <w:snapToGrid w:val="0"/>
          <w:color w:val="auto"/>
          <w:spacing w:val="0"/>
          <w:kern w:val="0"/>
          <w:sz w:val="32"/>
          <w:szCs w:val="32"/>
          <w:lang w:val="en-US" w:eastAsia="zh-CN" w:bidi="ar"/>
        </w:rPr>
        <w:t>工资福利支出1447.19万元，商品服务支出346.78万元，对个人和家庭补助支出1.17万元。项目支出444万元。行政事业性项目支出0万元。基本建设支出0万元。项目支出444万元。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i w:val="0"/>
          <w:caps w:val="0"/>
          <w:color w:val="FF0000"/>
          <w:spacing w:val="0"/>
          <w:sz w:val="21"/>
          <w:szCs w:val="21"/>
        </w:rPr>
      </w:pPr>
      <w:bookmarkStart w:id="0" w:name="_GoBack"/>
      <w:bookmarkEnd w:id="0"/>
      <w:r>
        <w:rPr>
          <w:rFonts w:hint="eastAsia" w:ascii="仿宋" w:hAnsi="仿宋" w:eastAsia="仿宋" w:cs="仿宋"/>
          <w:i w:val="0"/>
          <w:caps w:val="0"/>
          <w:snapToGrid w:val="0"/>
          <w:color w:val="auto"/>
          <w:spacing w:val="0"/>
          <w:kern w:val="0"/>
          <w:sz w:val="32"/>
          <w:szCs w:val="32"/>
          <w:lang w:val="en-US" w:eastAsia="zh-CN" w:bidi="ar"/>
        </w:rPr>
        <w:t>4、机关运行经费等重要事项的说明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left"/>
        <w:outlineLvl w:val="9"/>
        <w:rPr>
          <w:rFonts w:hint="eastAsia" w:ascii="微软雅黑" w:hAnsi="微软雅黑" w:eastAsia="微软雅黑" w:cs="微软雅黑"/>
          <w:i w:val="0"/>
          <w:caps w:val="0"/>
          <w:color w:val="auto"/>
          <w:spacing w:val="0"/>
          <w:sz w:val="21"/>
          <w:szCs w:val="21"/>
        </w:rPr>
      </w:pPr>
      <w:r>
        <w:rPr>
          <w:rFonts w:hint="eastAsia" w:ascii="仿宋" w:hAnsi="仿宋" w:eastAsia="仿宋" w:cs="仿宋"/>
          <w:i w:val="0"/>
          <w:caps w:val="0"/>
          <w:snapToGrid w:val="0"/>
          <w:color w:val="FF0000"/>
          <w:spacing w:val="0"/>
          <w:kern w:val="0"/>
          <w:sz w:val="32"/>
          <w:szCs w:val="32"/>
          <w:lang w:val="en-US" w:eastAsia="zh-CN" w:bidi="ar"/>
        </w:rPr>
        <w:t xml:space="preserve">　 </w:t>
      </w:r>
      <w:r>
        <w:rPr>
          <w:rFonts w:hint="eastAsia" w:ascii="仿宋" w:hAnsi="仿宋" w:eastAsia="仿宋" w:cs="仿宋"/>
          <w:i w:val="0"/>
          <w:caps w:val="0"/>
          <w:snapToGrid w:val="0"/>
          <w:color w:val="auto"/>
          <w:spacing w:val="0"/>
          <w:kern w:val="0"/>
          <w:sz w:val="32"/>
          <w:szCs w:val="32"/>
          <w:lang w:val="en-US" w:eastAsia="zh-CN" w:bidi="ar"/>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b w:val="0"/>
          <w:bCs w:val="0"/>
          <w:i w:val="0"/>
          <w:caps w:val="0"/>
          <w:color w:val="auto"/>
          <w:spacing w:val="0"/>
          <w:sz w:val="21"/>
          <w:szCs w:val="21"/>
        </w:rPr>
      </w:pPr>
      <w:r>
        <w:rPr>
          <w:rFonts w:hint="eastAsia" w:ascii="仿宋" w:hAnsi="仿宋" w:eastAsia="仿宋" w:cs="仿宋"/>
          <w:b w:val="0"/>
          <w:bCs w:val="0"/>
          <w:i w:val="0"/>
          <w:caps w:val="0"/>
          <w:snapToGrid w:val="0"/>
          <w:color w:val="auto"/>
          <w:spacing w:val="0"/>
          <w:kern w:val="0"/>
          <w:sz w:val="32"/>
          <w:szCs w:val="32"/>
          <w:lang w:val="en-US" w:eastAsia="zh-CN" w:bidi="ar"/>
        </w:rPr>
        <w:t>5、政府性基金支出预算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b w:val="0"/>
          <w:bCs w:val="0"/>
          <w:i w:val="0"/>
          <w:caps w:val="0"/>
          <w:color w:val="auto"/>
          <w:spacing w:val="0"/>
          <w:sz w:val="21"/>
          <w:szCs w:val="21"/>
        </w:rPr>
      </w:pPr>
      <w:r>
        <w:rPr>
          <w:rFonts w:hint="eastAsia" w:ascii="仿宋" w:hAnsi="仿宋" w:eastAsia="仿宋" w:cs="仿宋"/>
          <w:b w:val="0"/>
          <w:bCs w:val="0"/>
          <w:i w:val="0"/>
          <w:caps w:val="0"/>
          <w:snapToGrid w:val="0"/>
          <w:color w:val="auto"/>
          <w:spacing w:val="0"/>
          <w:kern w:val="0"/>
          <w:sz w:val="32"/>
          <w:szCs w:val="32"/>
          <w:lang w:val="en-US" w:eastAsia="zh-CN" w:bidi="ar"/>
        </w:rPr>
        <w:t>2023年没有政府性基金预算支出。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both"/>
        <w:outlineLvl w:val="9"/>
        <w:rPr>
          <w:rFonts w:hint="eastAsia" w:ascii="微软雅黑" w:hAnsi="微软雅黑" w:eastAsia="微软雅黑" w:cs="微软雅黑"/>
          <w:b w:val="0"/>
          <w:bCs w:val="0"/>
          <w:i w:val="0"/>
          <w:caps w:val="0"/>
          <w:color w:val="auto"/>
          <w:spacing w:val="0"/>
          <w:sz w:val="21"/>
          <w:szCs w:val="21"/>
        </w:rPr>
      </w:pPr>
      <w:r>
        <w:rPr>
          <w:rFonts w:hint="eastAsia" w:ascii="仿宋" w:hAnsi="仿宋" w:eastAsia="仿宋" w:cs="仿宋"/>
          <w:b w:val="0"/>
          <w:bCs w:val="0"/>
          <w:i w:val="0"/>
          <w:caps w:val="0"/>
          <w:color w:val="auto"/>
          <w:spacing w:val="0"/>
          <w:sz w:val="32"/>
          <w:szCs w:val="32"/>
        </w:rPr>
        <w:t>二、</w:t>
      </w:r>
      <w:r>
        <w:rPr>
          <w:rFonts w:hint="eastAsia" w:ascii="仿宋" w:hAnsi="仿宋" w:eastAsia="仿宋" w:cs="仿宋"/>
          <w:b w:val="0"/>
          <w:bCs w:val="0"/>
          <w:i w:val="0"/>
          <w:caps w:val="0"/>
          <w:color w:val="auto"/>
          <w:spacing w:val="0"/>
          <w:sz w:val="32"/>
          <w:szCs w:val="32"/>
          <w:lang w:eastAsia="zh-CN"/>
        </w:rPr>
        <w:t>2023年</w:t>
      </w:r>
      <w:r>
        <w:rPr>
          <w:rFonts w:hint="eastAsia" w:ascii="仿宋" w:hAnsi="仿宋" w:eastAsia="仿宋" w:cs="仿宋"/>
          <w:b w:val="0"/>
          <w:bCs w:val="0"/>
          <w:i w:val="0"/>
          <w:caps w:val="0"/>
          <w:color w:val="auto"/>
          <w:spacing w:val="0"/>
          <w:sz w:val="32"/>
          <w:szCs w:val="32"/>
        </w:rPr>
        <w:t>“三公”经费预算情况说明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left"/>
        <w:outlineLvl w:val="9"/>
        <w:rPr>
          <w:rFonts w:hint="eastAsia" w:ascii="微软雅黑" w:hAnsi="微软雅黑" w:eastAsia="微软雅黑" w:cs="微软雅黑"/>
          <w:b w:val="0"/>
          <w:bCs w:val="0"/>
          <w:i w:val="0"/>
          <w:caps w:val="0"/>
          <w:color w:val="auto"/>
          <w:spacing w:val="0"/>
          <w:sz w:val="21"/>
          <w:szCs w:val="21"/>
        </w:rPr>
      </w:pPr>
      <w:r>
        <w:rPr>
          <w:rFonts w:hint="eastAsia" w:ascii="仿宋" w:hAnsi="仿宋" w:eastAsia="仿宋" w:cs="仿宋"/>
          <w:b w:val="0"/>
          <w:bCs w:val="0"/>
          <w:i w:val="0"/>
          <w:caps w:val="0"/>
          <w:snapToGrid w:val="0"/>
          <w:color w:val="auto"/>
          <w:spacing w:val="0"/>
          <w:kern w:val="0"/>
          <w:sz w:val="32"/>
          <w:szCs w:val="32"/>
          <w:lang w:val="en-US" w:eastAsia="zh-CN" w:bidi="ar"/>
        </w:rPr>
        <w:t>2023年安排三公经费支出预算6万元，较上年减少14.72万元。其中因公出国（境）费用0万元。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w:t>
      </w:r>
      <w:r>
        <w:rPr>
          <w:rFonts w:hint="eastAsia" w:ascii="宋体" w:hAnsi="宋体" w:eastAsia="宋体" w:cs="宋体"/>
          <w:b/>
          <w:i w:val="0"/>
          <w:caps w:val="0"/>
          <w:color w:val="000000"/>
          <w:spacing w:val="0"/>
          <w:sz w:val="32"/>
          <w:szCs w:val="32"/>
        </w:rPr>
        <w:t>　第三部分</w:t>
      </w:r>
      <w:r>
        <w:rPr>
          <w:rFonts w:hint="eastAsia" w:ascii="宋体" w:hAnsi="宋体" w:eastAsia="宋体" w:cs="宋体"/>
          <w:b/>
          <w:i w:val="0"/>
          <w:caps w:val="0"/>
          <w:color w:val="000000"/>
          <w:spacing w:val="0"/>
          <w:sz w:val="32"/>
          <w:szCs w:val="32"/>
          <w:u w:val="single"/>
        </w:rPr>
        <w:t>浮梁县市场监督管理局</w:t>
      </w:r>
      <w:r>
        <w:rPr>
          <w:rFonts w:hint="eastAsia" w:ascii="宋体" w:hAnsi="宋体" w:eastAsia="宋体" w:cs="宋体"/>
          <w:b/>
          <w:i w:val="0"/>
          <w:caps w:val="0"/>
          <w:color w:val="000000"/>
          <w:spacing w:val="0"/>
          <w:sz w:val="32"/>
          <w:szCs w:val="32"/>
          <w:lang w:eastAsia="zh-CN"/>
        </w:rPr>
        <w:t>2023年</w:t>
      </w:r>
      <w:r>
        <w:rPr>
          <w:rFonts w:hint="eastAsia" w:ascii="宋体" w:hAnsi="宋体" w:eastAsia="宋体" w:cs="宋体"/>
          <w:b/>
          <w:i w:val="0"/>
          <w:caps w:val="0"/>
          <w:color w:val="000000"/>
          <w:spacing w:val="0"/>
          <w:sz w:val="32"/>
          <w:szCs w:val="32"/>
        </w:rPr>
        <w:t>部门预算表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sz w:val="32"/>
          <w:szCs w:val="32"/>
        </w:rPr>
        <w:t>　　十张表(详见附表)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both"/>
        <w:outlineLvl w:val="9"/>
        <w:rPr>
          <w:rFonts w:hint="eastAsia" w:ascii="微软雅黑" w:hAnsi="微软雅黑" w:eastAsia="微软雅黑" w:cs="微软雅黑"/>
          <w:i w:val="0"/>
          <w:caps w:val="0"/>
          <w:color w:val="000000"/>
          <w:spacing w:val="0"/>
          <w:sz w:val="21"/>
          <w:szCs w:val="21"/>
        </w:rPr>
      </w:pPr>
      <w:r>
        <w:rPr>
          <w:rFonts w:hint="eastAsia" w:ascii="宋体" w:hAnsi="宋体" w:eastAsia="宋体" w:cs="宋体"/>
          <w:b/>
          <w:i w:val="0"/>
          <w:caps w:val="0"/>
          <w:color w:val="000000"/>
          <w:spacing w:val="0"/>
          <w:sz w:val="32"/>
          <w:szCs w:val="32"/>
        </w:rPr>
        <w:t>第四部分名词解释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0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（一）财政拨款：指县级财政当年拨付的资金。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0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（二）事业收入：指事业单位开展专业业务活动及辅助活动取得的收入。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0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（三）行政运行：反映行政单位（包括参公单位）的基本支出。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0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四）“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spacing w:before="0" w:beforeAutospacing="0" w:after="0" w:afterAutospacing="0" w:line="600" w:lineRule="exact"/>
        <w:ind w:left="0" w:right="0" w:firstLine="640"/>
        <w:jc w:val="both"/>
        <w:outlineLvl w:val="9"/>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snapToGrid w:val="0"/>
          <w:color w:val="000000"/>
          <w:spacing w:val="0"/>
          <w:kern w:val="0"/>
          <w:sz w:val="32"/>
          <w:szCs w:val="32"/>
          <w:lang w:val="en-US" w:eastAsia="zh-CN" w:bidi="ar"/>
        </w:rPr>
        <w:t>（五）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Times New Roman" w:eastAsia="仿宋_GB2312" w:cs="Times New Roman"/>
          <w:snapToGrid/>
          <w:kern w:val="2"/>
          <w:sz w:val="32"/>
          <w:szCs w:val="32"/>
          <w:lang w:val="en-US" w:eastAsia="zh-CN" w:bidi="ar-SA"/>
        </w:rPr>
      </w:pPr>
    </w:p>
    <w:sectPr>
      <w:pgSz w:w="11900" w:h="16820"/>
      <w:pgMar w:top="1429" w:right="1647" w:bottom="1319" w:left="1539" w:header="0" w:footer="109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ZmUzNjhjMjdiMDE2NDM2MTNlYzdiMmFiZjkxNDI3OTIifQ=="/>
  </w:docVars>
  <w:rsids>
    <w:rsidRoot w:val="00000000"/>
    <w:rsid w:val="180A0D7A"/>
    <w:rsid w:val="28B74E8B"/>
    <w:rsid w:val="325D7BAC"/>
    <w:rsid w:val="3BEB1259"/>
    <w:rsid w:val="474E6296"/>
    <w:rsid w:val="476D2917"/>
    <w:rsid w:val="535A3AA7"/>
    <w:rsid w:val="5F0C42BC"/>
    <w:rsid w:val="69C432E1"/>
    <w:rsid w:val="6C0006DE"/>
    <w:rsid w:val="7D0678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4403</Words>
  <Characters>4569</Characters>
  <TotalTime>0</TotalTime>
  <ScaleCrop>false</ScaleCrop>
  <LinksUpToDate>false</LinksUpToDate>
  <CharactersWithSpaces>4610</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2022-02-17T11:46:00Z</dcterms:created>
  <dc:creator>Administrator</dc:creator>
  <cp:lastModifiedBy>如风 、</cp:lastModifiedBy>
  <dcterms:modified xsi:type="dcterms:W3CDTF">2023-03-30T07:48:23Z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wqlLaW5nc29mdCBQREYgdG8gV1BTIDcw</vt:lpwstr>
  </property>
  <property fmtid="{D5CDD505-2E9C-101B-9397-08002B2CF9AE}" pid="3" name="Created">
    <vt:filetime>2022-02-17T19:44:23Z</vt:filetime>
  </property>
  <property fmtid="{D5CDD505-2E9C-101B-9397-08002B2CF9AE}" pid="4" name="KSOProductBuildVer">
    <vt:lpwstr>2052-11.1.0.13703</vt:lpwstr>
  </property>
  <property fmtid="{D5CDD505-2E9C-101B-9397-08002B2CF9AE}" pid="5" name="ICV">
    <vt:lpwstr>88DC4E5DA5774A45A9990BB4EE0325F1</vt:lpwstr>
  </property>
</Properties>
</file>