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3F4C42CC">
      <w:pPr>
        <w:pStyle w:val="style0"/>
        <w:keepNext w:val="false"/>
        <w:keepLines w:val="false"/>
        <w:pageBreakBefore w:val="false"/>
        <w:kinsoku/>
        <w:wordWrap/>
        <w:overflowPunct/>
        <w:topLinePunct w:val="false"/>
        <w:autoSpaceDE/>
        <w:autoSpaceDN/>
        <w:bidi w:val="false"/>
        <w:adjustRightInd/>
        <w:snapToGrid/>
        <w:spacing w:lineRule="exact" w:line="560"/>
        <w:jc w:val="center"/>
        <w:textAlignment w:val="auto"/>
        <w:rPr>
          <w:rFonts w:ascii="方正小标宋简体" w:cs="方正小标宋简体" w:eastAsia="方正小标宋简体" w:hAnsi="方正小标宋简体" w:hint="eastAsia"/>
          <w:sz w:val="44"/>
          <w:szCs w:val="44"/>
          <w:lang w:val="en-US" w:eastAsia="zh-CN"/>
        </w:rPr>
      </w:pPr>
    </w:p>
    <w:p w14:paraId="408BF49E">
      <w:pPr>
        <w:pStyle w:val="style0"/>
        <w:keepNext w:val="false"/>
        <w:keepLines w:val="false"/>
        <w:pageBreakBefore w:val="false"/>
        <w:kinsoku/>
        <w:wordWrap/>
        <w:overflowPunct/>
        <w:topLinePunct w:val="false"/>
        <w:autoSpaceDE/>
        <w:autoSpaceDN/>
        <w:bidi w:val="false"/>
        <w:adjustRightInd/>
        <w:snapToGrid/>
        <w:spacing w:lineRule="exact" w:line="560"/>
        <w:jc w:val="center"/>
        <w:textAlignment w:val="auto"/>
        <w:rPr>
          <w:rFonts w:ascii="方正小标宋简体" w:cs="方正小标宋简体" w:eastAsia="方正小标宋简体" w:hAnsi="方正小标宋简体" w:hint="eastAsia"/>
          <w:sz w:val="44"/>
          <w:szCs w:val="44"/>
          <w:lang w:val="en-US" w:eastAsia="zh-CN"/>
        </w:rPr>
      </w:pPr>
    </w:p>
    <w:p w14:paraId="6B378C15">
      <w:pPr>
        <w:pStyle w:val="style0"/>
        <w:keepNext w:val="false"/>
        <w:keepLines w:val="false"/>
        <w:pageBreakBefore w:val="false"/>
        <w:kinsoku/>
        <w:wordWrap/>
        <w:overflowPunct/>
        <w:topLinePunct w:val="false"/>
        <w:autoSpaceDE/>
        <w:autoSpaceDN/>
        <w:bidi w:val="false"/>
        <w:adjustRightInd/>
        <w:snapToGrid/>
        <w:spacing w:lineRule="exact" w:line="560"/>
        <w:jc w:val="center"/>
        <w:textAlignment w:val="auto"/>
        <w:rPr>
          <w:rFonts w:ascii="方正小标宋简体" w:cs="方正小标宋简体" w:eastAsia="方正小标宋简体" w:hAnsi="方正小标宋简体" w:hint="eastAsia"/>
          <w:sz w:val="44"/>
          <w:szCs w:val="44"/>
          <w:lang w:val="en-US" w:eastAsia="zh-CN"/>
        </w:rPr>
      </w:pPr>
    </w:p>
    <w:p w14:paraId="52B744DE">
      <w:pPr>
        <w:pStyle w:val="style0"/>
        <w:keepNext w:val="false"/>
        <w:keepLines w:val="false"/>
        <w:pageBreakBefore w:val="false"/>
        <w:kinsoku/>
        <w:wordWrap/>
        <w:overflowPunct/>
        <w:topLinePunct w:val="false"/>
        <w:autoSpaceDE/>
        <w:autoSpaceDN/>
        <w:bidi w:val="false"/>
        <w:adjustRightInd/>
        <w:snapToGrid/>
        <w:spacing w:lineRule="exact" w:line="560"/>
        <w:jc w:val="center"/>
        <w:textAlignment w:val="auto"/>
        <w:rPr>
          <w:rFonts w:ascii="方正小标宋简体" w:cs="方正小标宋简体" w:eastAsia="方正小标宋简体" w:hAnsi="方正小标宋简体" w:hint="eastAsia"/>
          <w:sz w:val="44"/>
          <w:szCs w:val="44"/>
          <w:lang w:val="en-US" w:eastAsia="zh-CN"/>
        </w:rPr>
      </w:pPr>
    </w:p>
    <w:p w14:paraId="3CE34FEA">
      <w:pPr>
        <w:pStyle w:val="style0"/>
        <w:keepNext w:val="false"/>
        <w:keepLines w:val="false"/>
        <w:pageBreakBefore w:val="false"/>
        <w:kinsoku/>
        <w:wordWrap/>
        <w:overflowPunct/>
        <w:topLinePunct w:val="false"/>
        <w:autoSpaceDE/>
        <w:autoSpaceDN/>
        <w:bidi w:val="false"/>
        <w:adjustRightInd/>
        <w:snapToGrid/>
        <w:spacing w:lineRule="exact" w:line="560"/>
        <w:jc w:val="center"/>
        <w:textAlignment w:val="auto"/>
        <w:rPr>
          <w:rFonts w:ascii="方正小标宋简体" w:cs="方正小标宋简体" w:eastAsia="方正小标宋简体" w:hAnsi="方正小标宋简体" w:hint="eastAsia"/>
          <w:sz w:val="44"/>
          <w:szCs w:val="44"/>
          <w:lang w:val="en-US" w:eastAsia="zh-CN"/>
        </w:rPr>
      </w:pPr>
    </w:p>
    <w:p w14:paraId="040CA881">
      <w:pPr>
        <w:pStyle w:val="style0"/>
        <w:keepNext w:val="false"/>
        <w:keepLines w:val="false"/>
        <w:pageBreakBefore w:val="false"/>
        <w:kinsoku/>
        <w:wordWrap/>
        <w:overflowPunct/>
        <w:topLinePunct w:val="false"/>
        <w:autoSpaceDE/>
        <w:autoSpaceDN/>
        <w:bidi w:val="false"/>
        <w:adjustRightInd/>
        <w:snapToGrid/>
        <w:spacing w:lineRule="exact" w:line="560"/>
        <w:jc w:val="center"/>
        <w:textAlignment w:val="auto"/>
        <w:rPr>
          <w:rFonts w:ascii="方正小标宋简体" w:cs="方正小标宋简体" w:eastAsia="方正小标宋简体" w:hAnsi="方正小标宋简体" w:hint="eastAsia"/>
          <w:sz w:val="44"/>
          <w:szCs w:val="44"/>
          <w:lang w:val="en-US" w:eastAsia="zh-CN"/>
        </w:rPr>
      </w:pPr>
    </w:p>
    <w:p w14:paraId="6CAABF2D">
      <w:pPr>
        <w:pStyle w:val="style0"/>
        <w:keepNext w:val="false"/>
        <w:keepLines w:val="false"/>
        <w:pageBreakBefore w:val="false"/>
        <w:kinsoku/>
        <w:wordWrap/>
        <w:overflowPunct/>
        <w:topLinePunct w:val="false"/>
        <w:autoSpaceDE/>
        <w:autoSpaceDN/>
        <w:bidi w:val="false"/>
        <w:adjustRightInd/>
        <w:snapToGrid/>
        <w:spacing w:lineRule="exact" w:line="560"/>
        <w:jc w:val="center"/>
        <w:textAlignment w:val="auto"/>
        <w:rPr>
          <w:rFonts w:ascii="方正小标宋简体" w:cs="方正小标宋简体" w:eastAsia="方正小标宋简体" w:hAnsi="方正小标宋简体" w:hint="eastAsia"/>
          <w:sz w:val="44"/>
          <w:szCs w:val="44"/>
          <w:lang w:val="en-US" w:eastAsia="zh-CN"/>
        </w:rPr>
      </w:pPr>
    </w:p>
    <w:p w14:paraId="5B6D1E1B">
      <w:pPr>
        <w:pStyle w:val="style0"/>
        <w:keepNext w:val="false"/>
        <w:keepLines w:val="false"/>
        <w:pageBreakBefore w:val="false"/>
        <w:kinsoku/>
        <w:wordWrap/>
        <w:overflowPunct/>
        <w:topLinePunct w:val="false"/>
        <w:autoSpaceDE/>
        <w:autoSpaceDN/>
        <w:bidi w:val="false"/>
        <w:adjustRightInd/>
        <w:snapToGrid/>
        <w:spacing w:lineRule="exact" w:line="560"/>
        <w:jc w:val="center"/>
        <w:textAlignment w:val="auto"/>
        <w:rPr>
          <w:rFonts w:ascii="方正小标宋简体" w:cs="方正小标宋简体" w:eastAsia="方正小标宋简体" w:hAnsi="方正小标宋简体" w:hint="eastAsia"/>
          <w:sz w:val="44"/>
          <w:szCs w:val="44"/>
          <w:lang w:val="en-US" w:eastAsia="zh-CN"/>
        </w:rPr>
      </w:pPr>
    </w:p>
    <w:p w14:paraId="4896A0E8">
      <w:pPr>
        <w:pStyle w:val="style0"/>
        <w:keepNext w:val="false"/>
        <w:keepLines w:val="false"/>
        <w:pageBreakBefore w:val="false"/>
        <w:kinsoku/>
        <w:wordWrap/>
        <w:overflowPunct/>
        <w:topLinePunct w:val="false"/>
        <w:autoSpaceDE/>
        <w:autoSpaceDN/>
        <w:bidi w:val="false"/>
        <w:adjustRightInd/>
        <w:snapToGrid/>
        <w:spacing w:lineRule="exact" w:line="560"/>
        <w:jc w:val="center"/>
        <w:textAlignment w:val="auto"/>
        <w:rPr>
          <w:rFonts w:ascii="方正小标宋简体" w:cs="方正小标宋简体" w:eastAsia="方正小标宋简体" w:hAnsi="方正小标宋简体" w:hint="eastAsia"/>
          <w:sz w:val="44"/>
          <w:szCs w:val="44"/>
          <w:lang w:val="en-US" w:eastAsia="zh-CN"/>
        </w:rPr>
      </w:pPr>
    </w:p>
    <w:p w14:paraId="690DB6FC">
      <w:pPr>
        <w:pStyle w:val="style0"/>
        <w:keepNext w:val="false"/>
        <w:keepLines w:val="false"/>
        <w:pageBreakBefore w:val="false"/>
        <w:kinsoku/>
        <w:wordWrap/>
        <w:overflowPunct/>
        <w:topLinePunct w:val="false"/>
        <w:autoSpaceDE/>
        <w:autoSpaceDN/>
        <w:bidi w:val="false"/>
        <w:adjustRightInd/>
        <w:snapToGrid/>
        <w:spacing w:lineRule="exact" w:line="560"/>
        <w:jc w:val="center"/>
        <w:textAlignment w:val="auto"/>
        <w:rPr>
          <w:rFonts w:ascii="方正小标宋简体" w:cs="方正小标宋简体" w:eastAsia="方正小标宋简体" w:hAnsi="方正小标宋简体" w:hint="eastAsia"/>
          <w:sz w:val="44"/>
          <w:szCs w:val="44"/>
          <w:lang w:val="en-US" w:eastAsia="zh-CN"/>
        </w:rPr>
      </w:pPr>
    </w:p>
    <w:p w14:paraId="5EB2A995">
      <w:pPr>
        <w:pStyle w:val="style0"/>
        <w:keepNext w:val="false"/>
        <w:keepLines w:val="false"/>
        <w:pageBreakBefore w:val="false"/>
        <w:kinsoku/>
        <w:wordWrap/>
        <w:overflowPunct/>
        <w:topLinePunct w:val="false"/>
        <w:autoSpaceDE/>
        <w:autoSpaceDN/>
        <w:bidi w:val="false"/>
        <w:adjustRightInd/>
        <w:snapToGrid/>
        <w:spacing w:lineRule="exact" w:line="560"/>
        <w:jc w:val="center"/>
        <w:textAlignment w:val="auto"/>
        <w:rPr>
          <w:rFonts w:ascii="方正小标宋简体" w:cs="方正小标宋简体" w:eastAsia="方正小标宋简体" w:hAnsi="方正小标宋简体" w:hint="eastAsia"/>
          <w:sz w:val="44"/>
          <w:szCs w:val="44"/>
          <w:lang w:val="en-US" w:eastAsia="zh-CN"/>
        </w:rPr>
      </w:pPr>
    </w:p>
    <w:p w14:paraId="3A33B6F7">
      <w:pPr>
        <w:pStyle w:val="style0"/>
        <w:keepNext w:val="false"/>
        <w:keepLines w:val="false"/>
        <w:pageBreakBefore w:val="false"/>
        <w:kinsoku/>
        <w:wordWrap/>
        <w:overflowPunct/>
        <w:topLinePunct w:val="false"/>
        <w:autoSpaceDE/>
        <w:autoSpaceDN/>
        <w:bidi w:val="false"/>
        <w:adjustRightInd/>
        <w:snapToGrid/>
        <w:spacing w:lineRule="exact" w:line="560"/>
        <w:jc w:val="center"/>
        <w:textAlignment w:val="auto"/>
        <w:rPr>
          <w:rFonts w:ascii="方正小标宋简体" w:cs="方正小标宋简体" w:hAnsi="方正小标宋简体" w:hint="default"/>
          <w:sz w:val="44"/>
          <w:szCs w:val="44"/>
          <w:lang w:val="en-US" w:eastAsia="zh-CN"/>
        </w:rPr>
      </w:pPr>
      <w:r>
        <w:rPr>
          <w:rFonts w:ascii="方正小标宋简体" w:cs="方正小标宋简体" w:eastAsia="方正小标宋简体" w:hAnsi="方正小标宋简体" w:hint="eastAsia"/>
          <w:sz w:val="44"/>
          <w:szCs w:val="44"/>
          <w:lang w:val="en-US" w:eastAsia="zh-CN"/>
        </w:rPr>
        <w:t>浮梁县司法局2025年</w:t>
      </w:r>
      <w:bookmarkStart w:id="0" w:name="_GoBack"/>
      <w:bookmarkEnd w:id="0"/>
      <w:r>
        <w:rPr>
          <w:rFonts w:ascii="方正小标宋简体" w:cs="方正小标宋简体" w:hAnsi="方正小标宋简体" w:hint="default"/>
          <w:sz w:val="44"/>
          <w:szCs w:val="44"/>
          <w:lang w:val="en-US" w:eastAsia="zh-CN"/>
        </w:rPr>
        <w:t>法治政府建设</w:t>
      </w:r>
    </w:p>
    <w:p w14:paraId="6E9E5DEB">
      <w:pPr>
        <w:pStyle w:val="style0"/>
        <w:keepNext w:val="false"/>
        <w:keepLines w:val="false"/>
        <w:pageBreakBefore w:val="false"/>
        <w:kinsoku/>
        <w:wordWrap/>
        <w:overflowPunct/>
        <w:topLinePunct w:val="false"/>
        <w:autoSpaceDE/>
        <w:autoSpaceDN/>
        <w:bidi w:val="false"/>
        <w:adjustRightInd/>
        <w:snapToGrid/>
        <w:spacing w:lineRule="exact" w:line="560"/>
        <w:jc w:val="center"/>
        <w:textAlignment w:val="auto"/>
        <w:rPr>
          <w:rFonts w:ascii="方正小标宋简体" w:cs="方正小标宋简体" w:eastAsia="方正小标宋简体" w:hAnsi="方正小标宋简体" w:hint="eastAsia"/>
          <w:sz w:val="44"/>
          <w:szCs w:val="44"/>
          <w:lang w:val="en-US" w:eastAsia="zh-CN"/>
        </w:rPr>
      </w:pPr>
      <w:r>
        <w:rPr>
          <w:rFonts w:ascii="方正小标宋简体" w:cs="方正小标宋简体" w:hAnsi="方正小标宋简体" w:hint="default"/>
          <w:sz w:val="44"/>
          <w:szCs w:val="44"/>
          <w:lang w:val="en-US" w:eastAsia="zh-CN"/>
        </w:rPr>
        <w:t>情况报告</w:t>
      </w:r>
    </w:p>
    <w:p w14:paraId="5038C0AE">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仿宋_GB2312" w:cs="仿宋_GB2312" w:eastAsia="仿宋_GB2312" w:hAnsi="仿宋_GB2312" w:hint="eastAsia"/>
          <w:sz w:val="32"/>
          <w:szCs w:val="32"/>
          <w:lang w:val="en-US" w:eastAsia="zh-CN"/>
        </w:rPr>
      </w:pPr>
    </w:p>
    <w:p w14:paraId="034509C9">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2025年，在县委、县政府的坚强领导下，浮梁县司法局坚持以习近平新时代中国特色社会主义思想为指导，深入贯彻落实党的二十大和二十届历次全会精神，</w:t>
      </w:r>
      <w:r>
        <w:rPr>
          <w:rFonts w:ascii="仿宋_GB2312" w:cs="宋体" w:eastAsia="仿宋_GB2312" w:hAnsi="宋体" w:hint="eastAsia"/>
          <w:kern w:val="0"/>
          <w:sz w:val="32"/>
          <w:szCs w:val="32"/>
          <w:lang w:val="en-US" w:eastAsia="zh-CN"/>
        </w:rPr>
        <w:t>学思践悟习近平法治思想，</w:t>
      </w:r>
      <w:r>
        <w:rPr>
          <w:rFonts w:ascii="仿宋_GB2312" w:cs="仿宋_GB2312" w:eastAsia="仿宋_GB2312" w:hAnsi="仿宋_GB2312" w:hint="eastAsia"/>
          <w:sz w:val="32"/>
          <w:szCs w:val="32"/>
          <w:lang w:val="en-US" w:eastAsia="zh-CN"/>
        </w:rPr>
        <w:t>紧扣年度工作目标任务，团结带领全体干部职工凝心聚力、真抓实干，全面履职取得明显成效。现将全年工作情况总结如下：</w:t>
      </w:r>
    </w:p>
    <w:p w14:paraId="2A261504">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黑体" w:cs="黑体" w:eastAsia="黑体" w:hAnsi="黑体" w:hint="eastAsia"/>
          <w:sz w:val="32"/>
          <w:szCs w:val="32"/>
          <w:lang w:val="en-US" w:eastAsia="zh-CN"/>
        </w:rPr>
      </w:pPr>
      <w:r>
        <w:rPr>
          <w:rFonts w:ascii="黑体" w:cs="黑体" w:eastAsia="黑体" w:hAnsi="黑体" w:hint="eastAsia"/>
          <w:sz w:val="32"/>
          <w:szCs w:val="32"/>
          <w:lang w:val="en-US" w:eastAsia="zh-CN"/>
        </w:rPr>
        <w:t>一、2025年度工作情况</w:t>
      </w:r>
    </w:p>
    <w:p w14:paraId="28210B99">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楷体_GB2312" w:cs="楷体_GB2312" w:eastAsia="楷体_GB2312" w:hAnsi="楷体_GB2312" w:hint="eastAsia"/>
          <w:sz w:val="32"/>
          <w:szCs w:val="32"/>
        </w:rPr>
      </w:pPr>
      <w:r>
        <w:rPr>
          <w:rFonts w:ascii="楷体_GB2312" w:cs="楷体_GB2312" w:eastAsia="楷体_GB2312" w:hAnsi="楷体_GB2312" w:hint="eastAsia"/>
          <w:sz w:val="32"/>
          <w:szCs w:val="32"/>
        </w:rPr>
        <w:t>（一）法治护航，助推高质量发展</w:t>
      </w:r>
    </w:p>
    <w:p w14:paraId="0F8FD380">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3" w:firstLineChars="200"/>
        <w:textAlignment w:val="auto"/>
        <w:rPr>
          <w:rFonts w:ascii="仿宋_GB2312" w:cs="仿宋_GB2312" w:eastAsia="仿宋_GB2312" w:hAnsi="仿宋_GB2312" w:hint="eastAsia"/>
          <w:color w:val="auto"/>
          <w:sz w:val="32"/>
          <w:szCs w:val="32"/>
        </w:rPr>
      </w:pPr>
      <w:r>
        <w:rPr>
          <w:rFonts w:ascii="仿宋_GB2312" w:cs="仿宋_GB2312" w:eastAsia="仿宋_GB2312" w:hAnsi="仿宋_GB2312" w:hint="eastAsia"/>
          <w:b/>
          <w:bCs/>
          <w:color w:val="auto"/>
          <w:sz w:val="32"/>
          <w:szCs w:val="32"/>
        </w:rPr>
        <w:t>一是完善依法治</w:t>
      </w:r>
      <w:r>
        <w:rPr>
          <w:rFonts w:ascii="仿宋_GB2312" w:cs="仿宋_GB2312" w:eastAsia="仿宋_GB2312" w:hAnsi="仿宋_GB2312" w:hint="eastAsia"/>
          <w:b/>
          <w:bCs/>
          <w:color w:val="auto"/>
          <w:sz w:val="32"/>
          <w:szCs w:val="32"/>
          <w:lang w:val="en-US" w:eastAsia="zh-CN"/>
        </w:rPr>
        <w:t>县</w:t>
      </w:r>
      <w:r>
        <w:rPr>
          <w:rFonts w:ascii="仿宋_GB2312" w:cs="仿宋_GB2312" w:eastAsia="仿宋_GB2312" w:hAnsi="仿宋_GB2312" w:hint="eastAsia"/>
          <w:b/>
          <w:bCs/>
          <w:color w:val="auto"/>
          <w:sz w:val="32"/>
          <w:szCs w:val="32"/>
        </w:rPr>
        <w:t>工作机制。</w:t>
      </w:r>
      <w:r>
        <w:rPr>
          <w:rFonts w:ascii="仿宋_GB2312" w:cs="仿宋_GB2312" w:eastAsia="仿宋_GB2312" w:hAnsi="仿宋_GB2312" w:hint="eastAsia"/>
          <w:color w:val="auto"/>
          <w:sz w:val="32"/>
          <w:szCs w:val="32"/>
          <w:lang w:val="en-US" w:eastAsia="zh-CN"/>
        </w:rPr>
        <w:t>召开十届县委全面依法治县委员会第四次会议，印发《县委全面依法治县委员会2025年工作要点》《县委全面依法治县委员会关于贯彻落实2024年度全面依法治省实地督察发现典型问题的整改方案》等文件，开展浮梁县2025年度法治督察暨2024年度法治督察“回头看”。</w:t>
      </w:r>
    </w:p>
    <w:p w14:paraId="4CE1C6FC">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3"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b/>
          <w:bCs/>
          <w:color w:val="auto"/>
          <w:sz w:val="32"/>
          <w:szCs w:val="32"/>
        </w:rPr>
        <w:t>二是攻坚法治建设稳进提质</w:t>
      </w:r>
      <w:r>
        <w:rPr>
          <w:rFonts w:ascii="仿宋_GB2312" w:cs="仿宋_GB2312" w:eastAsia="仿宋_GB2312" w:hAnsi="仿宋_GB2312" w:hint="eastAsia"/>
          <w:color w:val="auto"/>
          <w:sz w:val="32"/>
          <w:szCs w:val="32"/>
        </w:rPr>
        <w:t>。完成法治建设考核评估</w:t>
      </w:r>
      <w:r>
        <w:rPr>
          <w:rFonts w:ascii="仿宋_GB2312" w:cs="仿宋_GB2312" w:eastAsia="仿宋_GB2312" w:hAnsi="仿宋_GB2312" w:hint="eastAsia"/>
          <w:color w:val="auto"/>
          <w:sz w:val="32"/>
          <w:szCs w:val="32"/>
          <w:lang w:val="en-US" w:eastAsia="zh-CN"/>
        </w:rPr>
        <w:t>和</w:t>
      </w:r>
      <w:r>
        <w:rPr>
          <w:rFonts w:ascii="仿宋_GB2312" w:cs="仿宋_GB2312" w:eastAsia="仿宋_GB2312" w:hAnsi="仿宋_GB2312" w:hint="eastAsia"/>
          <w:color w:val="auto"/>
          <w:sz w:val="32"/>
          <w:szCs w:val="32"/>
        </w:rPr>
        <w:t>“一规划两纲要”法治督察整改工作，根据督察问题清单所涉及的单位和问题逐一认领，有针对性地制定整改方案并切实落实整改工作。</w:t>
      </w:r>
    </w:p>
    <w:p w14:paraId="42FD5449">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3" w:firstLineChars="200"/>
        <w:textAlignment w:val="auto"/>
        <w:rPr>
          <w:rFonts w:ascii="仿宋_GB2312" w:cs="仿宋_GB2312" w:eastAsia="仿宋_GB2312" w:hAnsi="仿宋_GB2312" w:hint="default"/>
          <w:sz w:val="32"/>
          <w:szCs w:val="32"/>
          <w:lang w:val="en-US"/>
        </w:rPr>
      </w:pPr>
      <w:r>
        <w:rPr>
          <w:rFonts w:ascii="仿宋_GB2312" w:cs="仿宋_GB2312" w:eastAsia="仿宋_GB2312" w:hAnsi="仿宋_GB2312" w:hint="eastAsia"/>
          <w:b/>
          <w:bCs/>
          <w:sz w:val="32"/>
          <w:szCs w:val="32"/>
        </w:rPr>
        <w:t>三是</w:t>
      </w:r>
      <w:r>
        <w:rPr>
          <w:rFonts w:ascii="仿宋_GB2312" w:cs="仿宋_GB2312" w:eastAsia="仿宋_GB2312" w:hAnsi="仿宋_GB2312" w:hint="eastAsia"/>
          <w:b/>
          <w:bCs/>
          <w:sz w:val="32"/>
          <w:szCs w:val="32"/>
          <w:lang w:val="en-US" w:eastAsia="zh-CN"/>
        </w:rPr>
        <w:t>进一步优化</w:t>
      </w:r>
      <w:r>
        <w:rPr>
          <w:rFonts w:ascii="仿宋_GB2312" w:cs="仿宋_GB2312" w:eastAsia="仿宋_GB2312" w:hAnsi="仿宋_GB2312" w:hint="eastAsia"/>
          <w:b/>
          <w:bCs/>
          <w:sz w:val="32"/>
          <w:szCs w:val="32"/>
        </w:rPr>
        <w:t>法治化营商环境。</w:t>
      </w:r>
      <w:r>
        <w:rPr>
          <w:rFonts w:ascii="仿宋_GB2312" w:cs="仿宋_GB2312" w:eastAsia="仿宋_GB2312" w:hAnsi="仿宋_GB2312" w:hint="eastAsia"/>
          <w:b w:val="false"/>
          <w:bCs w:val="false"/>
          <w:sz w:val="32"/>
          <w:szCs w:val="32"/>
          <w:lang w:val="en-US" w:eastAsia="zh-CN"/>
        </w:rPr>
        <w:t>开展全县规范涉企行政执法专项行动和</w:t>
      </w:r>
      <w:r>
        <w:rPr>
          <w:rFonts w:ascii="仿宋_GB2312" w:cs="仿宋_GB2312" w:eastAsia="仿宋_GB2312" w:hAnsi="仿宋_GB2312" w:hint="eastAsia"/>
          <w:color w:val="auto"/>
          <w:sz w:val="32"/>
          <w:szCs w:val="32"/>
        </w:rPr>
        <w:t>整治违规异地执法、趋利性执法以及乱收费、乱罚款、乱检查、乱查封等问题</w:t>
      </w:r>
      <w:r>
        <w:rPr>
          <w:rFonts w:ascii="仿宋_GB2312" w:cs="仿宋_GB2312" w:eastAsia="仿宋_GB2312" w:hAnsi="仿宋_GB2312" w:hint="eastAsia"/>
          <w:color w:val="auto"/>
          <w:sz w:val="32"/>
          <w:szCs w:val="32"/>
          <w:lang w:val="en-US" w:eastAsia="zh-CN"/>
        </w:rPr>
        <w:t>，</w:t>
      </w:r>
      <w:r>
        <w:rPr>
          <w:rFonts w:ascii="仿宋_GB2312" w:cs="仿宋_GB2312" w:eastAsia="仿宋_GB2312" w:hAnsi="仿宋_GB2312" w:hint="eastAsia"/>
          <w:color w:val="000000"/>
          <w:kern w:val="0"/>
          <w:sz w:val="32"/>
          <w:szCs w:val="32"/>
          <w:lang w:val="en-US" w:bidi="ar-SA" w:eastAsia="zh-CN"/>
        </w:rPr>
        <w:t>印发《规范涉企行政执法推进群众身边具体实事专项行动工作实施方案》，</w:t>
      </w:r>
      <w:r>
        <w:rPr>
          <w:rFonts w:ascii="仿宋_GB2312" w:cs="仿宋_GB2312" w:eastAsia="仿宋_GB2312" w:hAnsi="仿宋_GB2312" w:hint="default"/>
          <w:color w:val="000000"/>
          <w:kern w:val="0"/>
          <w:sz w:val="32"/>
          <w:szCs w:val="32"/>
          <w:lang w:val="en-US" w:bidi="ar-SA" w:eastAsia="zh-CN"/>
        </w:rPr>
        <w:t>成立</w:t>
      </w:r>
      <w:r>
        <w:rPr>
          <w:rFonts w:ascii="仿宋_GB2312" w:cs="仿宋_GB2312" w:eastAsia="仿宋_GB2312" w:hAnsi="仿宋_GB2312" w:hint="eastAsia"/>
          <w:color w:val="000000"/>
          <w:kern w:val="0"/>
          <w:sz w:val="32"/>
          <w:szCs w:val="32"/>
          <w:lang w:val="en-US" w:bidi="ar-SA" w:eastAsia="zh-CN"/>
        </w:rPr>
        <w:t>专项行动工作专班，</w:t>
      </w:r>
      <w:r>
        <w:rPr>
          <w:rFonts w:ascii="仿宋_GB2312" w:cs="仿宋_GB2312" w:eastAsia="仿宋_GB2312" w:hAnsi="仿宋_GB2312" w:hint="eastAsia"/>
          <w:i w:val="false"/>
          <w:iCs w:val="false"/>
          <w:caps w:val="false"/>
          <w:color w:val="auto"/>
          <w:spacing w:val="0"/>
          <w:sz w:val="32"/>
          <w:szCs w:val="32"/>
          <w:shd w:val="clear" w:color="auto" w:fill="ffffff"/>
        </w:rPr>
        <w:t>发布线索征集公告20条</w:t>
      </w:r>
      <w:r>
        <w:rPr>
          <w:rFonts w:ascii="仿宋_GB2312" w:cs="仿宋_GB2312" w:eastAsia="仿宋_GB2312" w:hAnsi="仿宋_GB2312" w:hint="eastAsia"/>
          <w:sz w:val="32"/>
          <w:szCs w:val="32"/>
        </w:rPr>
        <w:t>。</w:t>
      </w:r>
      <w:r>
        <w:rPr>
          <w:rFonts w:ascii="仿宋_GB2312" w:cs="仿宋_GB2312" w:eastAsia="仿宋_GB2312" w:hAnsi="仿宋_GB2312" w:hint="eastAsia"/>
          <w:sz w:val="32"/>
          <w:szCs w:val="32"/>
          <w:lang w:val="en-US" w:eastAsia="zh-CN"/>
        </w:rPr>
        <w:t>5月县政府</w:t>
      </w:r>
      <w:r>
        <w:rPr>
          <w:rFonts w:ascii="仿宋_GB2312" w:cs="仿宋_GB2312" w:eastAsia="仿宋_GB2312" w:hAnsi="仿宋_GB2312" w:hint="eastAsia"/>
          <w:color w:val="000000"/>
          <w:kern w:val="0"/>
          <w:sz w:val="32"/>
          <w:szCs w:val="32"/>
          <w:lang w:val="en-US" w:bidi="ar-SA" w:eastAsia="zh-CN"/>
        </w:rPr>
        <w:t>召开全县规范涉企行政执法专项行动推进会，9月向县政府常务会作专题汇报。专项行动以来</w:t>
      </w:r>
      <w:r>
        <w:rPr>
          <w:rFonts w:ascii="仿宋_GB2312" w:cs="仿宋_GB2312" w:eastAsia="仿宋_GB2312" w:hAnsi="仿宋_GB2312" w:hint="eastAsia"/>
          <w:i w:val="false"/>
          <w:iCs w:val="false"/>
          <w:caps w:val="false"/>
          <w:color w:val="auto"/>
          <w:spacing w:val="0"/>
          <w:sz w:val="32"/>
          <w:szCs w:val="32"/>
          <w:shd w:val="clear" w:color="auto" w:fill="ffffff"/>
          <w:lang w:val="en-US" w:eastAsia="zh-CN"/>
        </w:rPr>
        <w:t>累计发现问题线索数52条，3条被司法部列为建议重点跟踪处置问题线索已完成销号，18条移交至县纪委监委，11人被立案调查</w:t>
      </w:r>
      <w:r>
        <w:rPr>
          <w:rFonts w:ascii="仿宋_GB2312" w:cs="仿宋_GB2312" w:eastAsia="仿宋_GB2312" w:hAnsi="仿宋_GB2312" w:hint="eastAsia"/>
          <w:color w:val="000000"/>
          <w:kern w:val="0"/>
          <w:sz w:val="32"/>
          <w:szCs w:val="32"/>
          <w:lang w:val="en-US" w:bidi="ar-SA" w:eastAsia="zh-CN"/>
        </w:rPr>
        <w:t>。</w:t>
      </w:r>
    </w:p>
    <w:p w14:paraId="45B5FAAD">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楷体_GB2312" w:cs="楷体_GB2312" w:eastAsia="楷体_GB2312" w:hAnsi="楷体_GB2312" w:hint="eastAsia"/>
          <w:sz w:val="32"/>
          <w:szCs w:val="32"/>
        </w:rPr>
      </w:pPr>
      <w:r>
        <w:rPr>
          <w:rFonts w:ascii="楷体_GB2312" w:cs="楷体_GB2312" w:eastAsia="楷体_GB2312" w:hAnsi="楷体_GB2312" w:hint="eastAsia"/>
          <w:sz w:val="32"/>
          <w:szCs w:val="32"/>
        </w:rPr>
        <w:t>（二）法治筑基，聚力高效能治理</w:t>
      </w:r>
    </w:p>
    <w:p w14:paraId="1F7916CC">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3" w:firstLineChars="200"/>
        <w:textAlignment w:val="auto"/>
        <w:rPr>
          <w:rFonts w:ascii="仿宋_GB2312" w:cs="仿宋_GB2312" w:eastAsia="仿宋_GB2312" w:hAnsi="仿宋_GB2312" w:hint="eastAsia"/>
          <w:color w:val="0000ff"/>
          <w:sz w:val="32"/>
          <w:szCs w:val="32"/>
        </w:rPr>
      </w:pPr>
      <w:r>
        <w:rPr>
          <w:rFonts w:ascii="仿宋_GB2312" w:cs="仿宋_GB2312" w:eastAsia="仿宋_GB2312" w:hAnsi="仿宋_GB2312" w:hint="eastAsia"/>
          <w:b/>
          <w:bCs/>
          <w:color w:val="auto"/>
          <w:sz w:val="32"/>
          <w:szCs w:val="32"/>
        </w:rPr>
        <w:t>一是健全法治源头保障。</w:t>
      </w:r>
      <w:r>
        <w:rPr>
          <w:rFonts w:ascii="仿宋_GB2312" w:cs="仿宋_GB2312" w:eastAsia="仿宋_GB2312" w:hAnsi="仿宋_GB2312" w:hint="eastAsia"/>
          <w:b w:val="false"/>
          <w:bCs w:val="false"/>
          <w:color w:val="auto"/>
          <w:sz w:val="32"/>
          <w:szCs w:val="32"/>
          <w:lang w:val="en-US" w:eastAsia="zh-CN"/>
        </w:rPr>
        <w:t>贯彻落实《浮梁县政府重大行政决策程序规定》规范重大行政决策程序，制定并公布重大行政决策事项清单。汇总、编制浮梁县2025年度重大行政决策事项目录，收集4件重大行政决策。2025年9月县政府常务会、县委常委会会议审议通过2025年度重大行政决策目录。加强规范性文件制定的监督管理，全年出具合法性审查意见5件。受理行政诉讼案件10件，结案9件，一审胜诉7件，败诉2件，提起上诉5件，其中胜诉4件，1件待审理。</w:t>
      </w:r>
    </w:p>
    <w:p w14:paraId="70CC96C7">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3"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b/>
          <w:bCs/>
          <w:sz w:val="32"/>
          <w:szCs w:val="32"/>
        </w:rPr>
        <w:t>二是</w:t>
      </w:r>
      <w:r>
        <w:rPr>
          <w:rFonts w:ascii="仿宋_GB2312" w:cs="仿宋_GB2312" w:eastAsia="仿宋_GB2312" w:hAnsi="仿宋_GB2312" w:hint="eastAsia"/>
          <w:b/>
          <w:bCs/>
          <w:sz w:val="32"/>
          <w:szCs w:val="32"/>
          <w:lang w:val="en-US" w:eastAsia="zh-CN"/>
        </w:rPr>
        <w:t>强化</w:t>
      </w:r>
      <w:r>
        <w:rPr>
          <w:rFonts w:ascii="仿宋_GB2312" w:cs="仿宋_GB2312" w:eastAsia="仿宋_GB2312" w:hAnsi="仿宋_GB2312" w:hint="eastAsia"/>
          <w:b/>
          <w:bCs/>
          <w:sz w:val="32"/>
          <w:szCs w:val="32"/>
        </w:rPr>
        <w:t>执法监督协调。</w:t>
      </w:r>
      <w:r>
        <w:rPr>
          <w:rStyle w:val="style87"/>
          <w:rFonts w:ascii="仿宋_GB2312" w:cs="仿宋_GB2312" w:eastAsia="仿宋_GB2312" w:hAnsi="仿宋_GB2312" w:hint="eastAsia"/>
          <w:b w:val="false"/>
          <w:bCs w:val="false"/>
          <w:i w:val="false"/>
          <w:iCs w:val="false"/>
          <w:caps w:val="false"/>
          <w:color w:val="auto"/>
          <w:spacing w:val="0"/>
          <w:sz w:val="32"/>
          <w:szCs w:val="32"/>
          <w:shd w:val="clear" w:color="auto" w:fill="ffffff"/>
          <w:lang w:val="en-US" w:eastAsia="zh-CN"/>
        </w:rPr>
        <w:t>强化市级部门联系，坚持市县联动开展行业领域案卷评查，开展卫生健康、市场监管、交通运输领域等重点行政执法领域案卷评查6次，调阅行政处罚案卷120余卷。</w:t>
      </w:r>
      <w:r>
        <w:rPr>
          <w:rFonts w:ascii="仿宋_GB2312" w:cs="仿宋_GB2312" w:eastAsia="仿宋_GB2312" w:hAnsi="仿宋_GB2312" w:hint="eastAsia"/>
          <w:i w:val="false"/>
          <w:iCs w:val="false"/>
          <w:caps w:val="false"/>
          <w:color w:val="auto"/>
          <w:spacing w:val="0"/>
          <w:sz w:val="32"/>
          <w:szCs w:val="32"/>
          <w:shd w:val="clear" w:color="auto" w:fill="ffffff"/>
          <w:lang w:val="en-US" w:eastAsia="zh-CN"/>
        </w:rPr>
        <w:t>制发《行政执法监督意见书》8份，纠正行政处罚案件2件，退还行政处罚金额2万余元</w:t>
      </w:r>
      <w:r>
        <w:rPr>
          <w:rFonts w:ascii="仿宋_GB2312" w:cs="仿宋_GB2312" w:eastAsia="仿宋_GB2312" w:hAnsi="仿宋_GB2312" w:hint="eastAsia"/>
          <w:i w:val="false"/>
          <w:iCs w:val="false"/>
          <w:caps w:val="false"/>
          <w:color w:val="auto"/>
          <w:spacing w:val="0"/>
          <w:sz w:val="32"/>
          <w:szCs w:val="32"/>
          <w:shd w:val="clear" w:color="auto" w:fill="ffffff"/>
        </w:rPr>
        <w:t>。</w:t>
      </w:r>
      <w:r>
        <w:rPr>
          <w:rFonts w:ascii="仿宋_GB2312" w:cs="仿宋_GB2312" w:eastAsia="仿宋_GB2312" w:hAnsi="仿宋_GB2312" w:hint="eastAsia"/>
          <w:color w:val="000000"/>
          <w:kern w:val="0"/>
          <w:sz w:val="32"/>
          <w:szCs w:val="32"/>
          <w:lang w:val="en-US" w:bidi="ar-SA" w:eastAsia="zh-CN"/>
        </w:rPr>
        <w:t>加强与县直有关部门沟通，积极协调县财政局等部门调取全县各行政执法部门处罚收入增长异常、企业群众投诉举报等相关工单1000余件</w:t>
      </w:r>
      <w:r>
        <w:rPr>
          <w:rFonts w:ascii="仿宋_GB2312" w:cs="仿宋_GB2312" w:eastAsia="仿宋_GB2312" w:hAnsi="仿宋_GB2312" w:hint="eastAsia"/>
          <w:sz w:val="32"/>
          <w:szCs w:val="32"/>
        </w:rPr>
        <w:t>。</w:t>
      </w:r>
      <w:r>
        <w:rPr>
          <w:rFonts w:ascii="仿宋_GB2312" w:cs="仿宋_GB2312" w:eastAsia="仿宋_GB2312" w:hAnsi="仿宋_GB2312" w:hint="eastAsia"/>
          <w:sz w:val="32"/>
          <w:szCs w:val="32"/>
          <w:lang w:val="en-US" w:eastAsia="zh-CN"/>
        </w:rPr>
        <w:t>同时，</w:t>
      </w:r>
      <w:r>
        <w:rPr>
          <w:rFonts w:ascii="仿宋_GB2312" w:cs="仿宋_GB2312" w:eastAsia="仿宋_GB2312" w:hAnsi="仿宋_GB2312" w:hint="eastAsia"/>
          <w:b w:val="false"/>
          <w:bCs w:val="false"/>
          <w:sz w:val="32"/>
          <w:szCs w:val="32"/>
          <w:lang w:val="en-US" w:eastAsia="zh-CN"/>
        </w:rPr>
        <w:t>常态化开展行政执法人员业务知识培训，</w:t>
      </w:r>
      <w:r>
        <w:rPr>
          <w:rFonts w:ascii="仿宋_GB2312" w:cs="仿宋_GB2312" w:eastAsia="仿宋_GB2312" w:hAnsi="仿宋_GB2312" w:hint="eastAsia"/>
          <w:sz w:val="32"/>
          <w:szCs w:val="32"/>
          <w:lang w:val="en-US" w:eastAsia="zh-CN"/>
        </w:rPr>
        <w:t>覆盖全县</w:t>
      </w:r>
      <w:r>
        <w:rPr>
          <w:rFonts w:ascii="仿宋_GB2312" w:cs="仿宋_GB2312" w:eastAsia="仿宋_GB2312" w:hAnsi="仿宋_GB2312" w:hint="eastAsia"/>
          <w:b w:val="false"/>
          <w:bCs w:val="false"/>
          <w:sz w:val="32"/>
          <w:szCs w:val="32"/>
          <w:lang w:val="en-US" w:eastAsia="zh-CN"/>
        </w:rPr>
        <w:t>行政执法人员573人次。</w:t>
      </w:r>
    </w:p>
    <w:p w14:paraId="3AF4DA0A">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3" w:firstLineChars="200"/>
        <w:textAlignment w:val="auto"/>
        <w:rPr>
          <w:rFonts w:ascii="仿宋_GB2312" w:cs="仿宋_GB2312" w:eastAsia="仿宋_GB2312" w:hAnsi="仿宋_GB2312" w:hint="eastAsia"/>
          <w:b w:val="false"/>
          <w:bCs w:val="false"/>
          <w:color w:val="auto"/>
          <w:sz w:val="32"/>
          <w:szCs w:val="32"/>
          <w:highlight w:val="none"/>
        </w:rPr>
      </w:pPr>
      <w:r>
        <w:rPr>
          <w:rFonts w:ascii="仿宋_GB2312" w:cs="仿宋_GB2312" w:eastAsia="仿宋_GB2312" w:hAnsi="仿宋_GB2312" w:hint="eastAsia"/>
          <w:b/>
          <w:bCs/>
          <w:color w:val="auto"/>
          <w:sz w:val="32"/>
          <w:szCs w:val="32"/>
          <w:highlight w:val="none"/>
        </w:rPr>
        <w:t>三是深化复议应诉攻坚。</w:t>
      </w:r>
      <w:r>
        <w:rPr>
          <w:rFonts w:ascii="仿宋_GB2312" w:cs="仿宋_GB2312" w:eastAsia="仿宋_GB2312" w:hAnsi="仿宋_GB2312" w:hint="eastAsia"/>
          <w:b w:val="false"/>
          <w:bCs w:val="false"/>
          <w:spacing w:val="0"/>
          <w:kern w:val="2"/>
          <w:sz w:val="32"/>
          <w:szCs w:val="32"/>
          <w:lang w:val="en-US" w:bidi="ar-SA" w:eastAsia="zh-CN"/>
        </w:rPr>
        <w:t>多元化解行政争议，</w:t>
      </w:r>
      <w:r>
        <w:rPr>
          <w:rFonts w:ascii="仿宋_GB2312" w:cs="仿宋_GB2312" w:eastAsia="仿宋_GB2312" w:hAnsi="仿宋_GB2312" w:hint="eastAsia"/>
          <w:b w:val="false"/>
          <w:bCs w:val="false"/>
          <w:color w:val="auto"/>
          <w:sz w:val="32"/>
          <w:szCs w:val="32"/>
          <w:highlight w:val="none"/>
          <w:lang w:val="en-US" w:eastAsia="zh-CN"/>
        </w:rPr>
        <w:t>2025年</w:t>
      </w:r>
      <w:r>
        <w:rPr>
          <w:rFonts w:ascii="仿宋_GB2312" w:cs="仿宋_GB2312" w:eastAsia="仿宋_GB2312" w:hAnsi="仿宋_GB2312" w:hint="eastAsia"/>
          <w:sz w:val="32"/>
          <w:szCs w:val="32"/>
        </w:rPr>
        <w:t>共收到行政复议申请</w:t>
      </w:r>
      <w:r>
        <w:rPr>
          <w:rFonts w:ascii="仿宋_GB2312" w:cs="仿宋_GB2312" w:eastAsia="仿宋_GB2312" w:hAnsi="仿宋_GB2312" w:hint="eastAsia"/>
          <w:sz w:val="32"/>
          <w:szCs w:val="32"/>
          <w:lang w:val="en-US" w:eastAsia="zh-CN"/>
        </w:rPr>
        <w:t>82</w:t>
      </w:r>
      <w:r>
        <w:rPr>
          <w:rFonts w:ascii="仿宋_GB2312" w:cs="仿宋_GB2312" w:eastAsia="仿宋_GB2312" w:hAnsi="仿宋_GB2312" w:hint="eastAsia"/>
          <w:sz w:val="32"/>
          <w:szCs w:val="32"/>
        </w:rPr>
        <w:t>件，审理结案</w:t>
      </w:r>
      <w:r>
        <w:rPr>
          <w:rFonts w:ascii="仿宋_GB2312" w:cs="仿宋_GB2312" w:eastAsia="仿宋_GB2312" w:hAnsi="仿宋_GB2312" w:hint="eastAsia"/>
          <w:sz w:val="32"/>
          <w:szCs w:val="32"/>
          <w:lang w:val="en-US" w:eastAsia="zh-CN"/>
        </w:rPr>
        <w:t>82</w:t>
      </w:r>
      <w:r>
        <w:rPr>
          <w:rFonts w:ascii="仿宋_GB2312" w:cs="仿宋_GB2312" w:eastAsia="仿宋_GB2312" w:hAnsi="仿宋_GB2312" w:hint="eastAsia"/>
          <w:sz w:val="32"/>
          <w:szCs w:val="32"/>
        </w:rPr>
        <w:t>件，</w:t>
      </w:r>
      <w:r>
        <w:rPr>
          <w:rFonts w:ascii="仿宋_GB2312" w:cs="仿宋_GB2312" w:eastAsia="仿宋_GB2312" w:hAnsi="仿宋_GB2312" w:hint="eastAsia"/>
          <w:sz w:val="32"/>
          <w:szCs w:val="32"/>
          <w:lang w:val="en-US" w:eastAsia="zh-CN"/>
        </w:rPr>
        <w:t>调解和解17件，综合纠错率约60%，不断增强市场主体法治获得感。</w:t>
      </w:r>
    </w:p>
    <w:p w14:paraId="5BD04F06">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楷体_GB2312" w:cs="楷体_GB2312" w:eastAsia="楷体_GB2312" w:hAnsi="楷体_GB2312" w:hint="eastAsia"/>
          <w:sz w:val="32"/>
          <w:szCs w:val="32"/>
        </w:rPr>
      </w:pPr>
      <w:r>
        <w:rPr>
          <w:rFonts w:ascii="楷体_GB2312" w:cs="楷体_GB2312" w:eastAsia="楷体_GB2312" w:hAnsi="楷体_GB2312" w:hint="eastAsia"/>
          <w:sz w:val="32"/>
          <w:szCs w:val="32"/>
        </w:rPr>
        <w:t>（三）法治保障，筑牢高水平安全</w:t>
      </w:r>
    </w:p>
    <w:p w14:paraId="68F2595C">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3"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b/>
          <w:bCs/>
          <w:sz w:val="32"/>
          <w:szCs w:val="32"/>
        </w:rPr>
        <w:t>一是筑牢司法行政</w:t>
      </w:r>
      <w:r>
        <w:rPr>
          <w:rFonts w:ascii="仿宋_GB2312" w:cs="仿宋_GB2312" w:eastAsia="仿宋_GB2312" w:hAnsi="仿宋_GB2312" w:hint="eastAsia"/>
          <w:b/>
          <w:bCs/>
          <w:sz w:val="32"/>
          <w:szCs w:val="32"/>
          <w:lang w:val="en-US" w:eastAsia="zh-CN"/>
        </w:rPr>
        <w:t>稳定</w:t>
      </w:r>
      <w:r>
        <w:rPr>
          <w:rFonts w:ascii="仿宋_GB2312" w:cs="仿宋_GB2312" w:eastAsia="仿宋_GB2312" w:hAnsi="仿宋_GB2312" w:hint="eastAsia"/>
          <w:b/>
          <w:bCs/>
          <w:sz w:val="32"/>
          <w:szCs w:val="32"/>
        </w:rPr>
        <w:t>防线。</w:t>
      </w:r>
      <w:r>
        <w:rPr>
          <w:rFonts w:ascii="仿宋_GB2312" w:cs="仿宋_GB2312" w:eastAsia="仿宋_GB2312" w:hAnsi="仿宋_GB2312" w:hint="eastAsia"/>
          <w:sz w:val="32"/>
          <w:szCs w:val="32"/>
        </w:rPr>
        <w:t>聚焦全</w:t>
      </w:r>
      <w:r>
        <w:rPr>
          <w:rFonts w:ascii="仿宋_GB2312" w:cs="仿宋_GB2312" w:eastAsia="仿宋_GB2312" w:hAnsi="仿宋_GB2312" w:hint="eastAsia"/>
          <w:sz w:val="32"/>
          <w:szCs w:val="32"/>
          <w:lang w:val="en-US" w:eastAsia="zh-CN"/>
        </w:rPr>
        <w:t>县</w:t>
      </w:r>
      <w:r>
        <w:rPr>
          <w:rFonts w:ascii="仿宋_GB2312" w:cs="仿宋_GB2312" w:eastAsia="仿宋_GB2312" w:hAnsi="仿宋_GB2312" w:hint="eastAsia"/>
          <w:sz w:val="32"/>
          <w:szCs w:val="32"/>
        </w:rPr>
        <w:t>维稳安保，打好意识形态安全、场所安全稳定、重点人员教育稳控、矛盾纠纷排查化解、信访安全隐患清除和网络安全风险防范等六大领域攻坚战，切实筑牢安全稳定铜墙铁壁。</w:t>
      </w:r>
      <w:r>
        <w:rPr>
          <w:rFonts w:ascii="仿宋_GB2312" w:cs="仿宋_GB2312" w:eastAsia="仿宋_GB2312" w:hAnsi="仿宋_GB2312" w:hint="eastAsia"/>
          <w:sz w:val="32"/>
          <w:szCs w:val="32"/>
          <w:lang w:val="en-US" w:eastAsia="zh-CN"/>
        </w:rPr>
        <w:t>结合“法律明白人”培养工程，</w:t>
      </w:r>
      <w:r>
        <w:rPr>
          <w:rFonts w:ascii="仿宋_GB2312" w:cs="宋体" w:eastAsia="仿宋_GB2312" w:hAnsi="宋体" w:hint="eastAsia"/>
          <w:bCs/>
          <w:kern w:val="0"/>
          <w:sz w:val="32"/>
          <w:szCs w:val="32"/>
          <w:lang w:val="en-US" w:bidi="ar-SA" w:eastAsia="zh-CN"/>
        </w:rPr>
        <w:t>多次组织开展线上线下“双提升”工作宣传活动</w:t>
      </w:r>
      <w:r>
        <w:rPr>
          <w:rFonts w:ascii="仿宋_GB2312" w:cs="仿宋_GB2312" w:eastAsia="仿宋_GB2312" w:hAnsi="仿宋_GB2312" w:hint="eastAsia"/>
          <w:sz w:val="32"/>
          <w:szCs w:val="32"/>
          <w:lang w:val="en-US" w:eastAsia="zh-CN"/>
        </w:rPr>
        <w:t>，畅通群众诉求表达渠道，切实解决群众反映的突出问题，以实际行动提升群众满意度。</w:t>
      </w:r>
    </w:p>
    <w:p w14:paraId="26813769">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3" w:firstLineChars="200"/>
        <w:textAlignment w:val="auto"/>
        <w:rPr>
          <w:rFonts w:ascii="仿宋_GB2312" w:cs="仿宋_GB2312" w:eastAsia="仿宋_GB2312" w:hAnsi="仿宋_GB2312" w:hint="eastAsia"/>
          <w:color w:val="auto"/>
          <w:sz w:val="32"/>
          <w:szCs w:val="32"/>
        </w:rPr>
      </w:pPr>
      <w:r>
        <w:rPr>
          <w:rFonts w:ascii="仿宋_GB2312" w:cs="仿宋_GB2312" w:eastAsia="仿宋_GB2312" w:hAnsi="仿宋_GB2312" w:hint="eastAsia"/>
          <w:b/>
          <w:bCs/>
          <w:color w:val="auto"/>
          <w:sz w:val="32"/>
          <w:szCs w:val="32"/>
        </w:rPr>
        <w:t>二是完善矛盾纠纷多元调解体系</w:t>
      </w:r>
      <w:r>
        <w:rPr>
          <w:rFonts w:ascii="仿宋_GB2312" w:cs="仿宋_GB2312" w:eastAsia="仿宋_GB2312" w:hAnsi="仿宋_GB2312" w:hint="eastAsia"/>
          <w:b/>
          <w:bCs/>
          <w:color w:val="auto"/>
          <w:sz w:val="32"/>
          <w:szCs w:val="32"/>
          <w:lang w:eastAsia="zh-CN"/>
        </w:rPr>
        <w:t>。</w:t>
      </w:r>
      <w:r>
        <w:rPr>
          <w:rFonts w:ascii="仿宋_GB2312" w:cs="仿宋_GB2312" w:eastAsia="仿宋_GB2312" w:hAnsi="仿宋_GB2312" w:hint="eastAsia"/>
          <w:color w:val="auto"/>
          <w:sz w:val="32"/>
          <w:szCs w:val="32"/>
        </w:rPr>
        <w:t>坚持和发展新时代“枫桥经验”，充分发挥调解职能作用，加强矛盾纠纷排查化解。</w:t>
      </w:r>
      <w:r>
        <w:rPr>
          <w:rFonts w:ascii="仿宋_GB2312" w:cs="仿宋_GB2312" w:eastAsia="仿宋_GB2312" w:hAnsi="仿宋_GB2312" w:hint="eastAsia"/>
          <w:color w:val="auto"/>
          <w:sz w:val="32"/>
          <w:szCs w:val="32"/>
          <w:lang w:val="en-US" w:eastAsia="zh-CN"/>
        </w:rPr>
        <w:t>成立浮梁县人民调解协会，</w:t>
      </w:r>
      <w:r>
        <w:rPr>
          <w:rFonts w:ascii="仿宋_GB2312" w:cs="仿宋_GB2312" w:eastAsia="仿宋_GB2312" w:hAnsi="仿宋_GB2312" w:hint="eastAsia"/>
          <w:b w:val="false"/>
          <w:bCs w:val="false"/>
          <w:sz w:val="32"/>
          <w:szCs w:val="32"/>
          <w:lang w:val="en-US" w:eastAsia="zh-CN"/>
        </w:rPr>
        <w:t>登记备案186个乡镇、村（社区）人民调解委员会，6个行业性、专业性人民调解委员会，6个边界联合调解委员会，15个司法所长调解室，4个个人调解工作室，613名人民调解员。今年以来，全县各级各类人民调解组织共受理矛盾纠纷1201件，调解成功1201件，无“民转刑”案件</w:t>
      </w:r>
      <w:r>
        <w:rPr>
          <w:rFonts w:ascii="仿宋_GB2312" w:cs="仿宋_GB2312" w:eastAsia="仿宋_GB2312" w:hAnsi="仿宋_GB2312" w:hint="eastAsia"/>
          <w:color w:val="auto"/>
          <w:sz w:val="32"/>
          <w:szCs w:val="32"/>
          <w:lang w:val="en-US" w:eastAsia="zh-CN"/>
        </w:rPr>
        <w:t>。</w:t>
      </w:r>
    </w:p>
    <w:p w14:paraId="72085250">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3" w:firstLineChars="200"/>
        <w:textAlignment w:val="auto"/>
        <w:rPr>
          <w:rFonts w:ascii="仿宋_GB2312" w:cs="仿宋_GB2312" w:eastAsia="仿宋_GB2312" w:hAnsi="仿宋_GB2312" w:hint="eastAsia"/>
          <w:color w:val="auto"/>
          <w:sz w:val="32"/>
          <w:szCs w:val="32"/>
        </w:rPr>
      </w:pPr>
      <w:r>
        <w:rPr>
          <w:rFonts w:ascii="仿宋_GB2312" w:cs="仿宋_GB2312" w:eastAsia="仿宋_GB2312" w:hAnsi="仿宋_GB2312" w:hint="eastAsia"/>
          <w:b/>
          <w:bCs/>
          <w:color w:val="auto"/>
          <w:sz w:val="32"/>
          <w:szCs w:val="32"/>
        </w:rPr>
        <w:t>三是强化重点人群教育管控。</w:t>
      </w:r>
      <w:r>
        <w:rPr>
          <w:rFonts w:ascii="仿宋_GB2312" w:cs="仿宋_GB2312" w:eastAsia="仿宋_GB2312" w:hAnsi="仿宋_GB2312" w:hint="eastAsia"/>
          <w:color w:val="auto"/>
          <w:sz w:val="32"/>
          <w:szCs w:val="32"/>
        </w:rPr>
        <w:t>全面落实社区矫正</w:t>
      </w:r>
      <w:r>
        <w:rPr>
          <w:rFonts w:ascii="仿宋_GB2312" w:cs="仿宋_GB2312" w:eastAsia="仿宋_GB2312" w:hAnsi="仿宋_GB2312" w:hint="eastAsia"/>
          <w:color w:val="auto"/>
          <w:sz w:val="32"/>
          <w:szCs w:val="32"/>
          <w:lang w:eastAsia="zh-CN"/>
        </w:rPr>
        <w:t>和</w:t>
      </w:r>
      <w:r>
        <w:rPr>
          <w:rFonts w:ascii="仿宋_GB2312" w:cs="仿宋_GB2312" w:eastAsia="仿宋_GB2312" w:hAnsi="仿宋_GB2312" w:hint="eastAsia"/>
          <w:color w:val="auto"/>
          <w:sz w:val="32"/>
          <w:szCs w:val="32"/>
        </w:rPr>
        <w:t>安置帮教对象管控，</w:t>
      </w:r>
      <w:r>
        <w:rPr>
          <w:rFonts w:ascii="仿宋_GB2312" w:cs="仿宋_GB2312" w:eastAsia="仿宋_GB2312" w:hAnsi="仿宋_GB2312" w:hint="eastAsia"/>
          <w:color w:val="auto"/>
          <w:sz w:val="32"/>
          <w:szCs w:val="32"/>
          <w:lang w:val="en-US" w:eastAsia="zh-CN"/>
        </w:rPr>
        <w:t>各司法所</w:t>
      </w:r>
      <w:r>
        <w:rPr>
          <w:rFonts w:ascii="仿宋_GB2312" w:cs="仿宋_GB2312" w:eastAsia="仿宋_GB2312" w:hAnsi="仿宋_GB2312" w:hint="eastAsia"/>
          <w:color w:val="auto"/>
          <w:sz w:val="32"/>
          <w:szCs w:val="32"/>
        </w:rPr>
        <w:t>组织新入矫社区矫正对象集中宣告</w:t>
      </w:r>
      <w:r>
        <w:rPr>
          <w:rFonts w:ascii="仿宋_GB2312" w:cs="仿宋_GB2312" w:eastAsia="仿宋_GB2312" w:hAnsi="仿宋_GB2312" w:hint="eastAsia"/>
          <w:color w:val="auto"/>
          <w:sz w:val="32"/>
          <w:szCs w:val="32"/>
          <w:lang w:eastAsia="zh-CN"/>
        </w:rPr>
        <w:t>，</w:t>
      </w:r>
      <w:r>
        <w:rPr>
          <w:rFonts w:ascii="仿宋_GB2312" w:cs="仿宋_GB2312" w:eastAsia="仿宋_GB2312" w:hAnsi="仿宋_GB2312" w:hint="eastAsia"/>
          <w:color w:val="auto"/>
          <w:sz w:val="32"/>
          <w:szCs w:val="32"/>
        </w:rPr>
        <w:t>并开展公益劳动、</w:t>
      </w:r>
      <w:r>
        <w:rPr>
          <w:rFonts w:ascii="仿宋_GB2312" w:cs="仿宋_GB2312" w:eastAsia="仿宋_GB2312" w:hAnsi="仿宋_GB2312" w:hint="eastAsia"/>
          <w:color w:val="auto"/>
          <w:sz w:val="32"/>
          <w:szCs w:val="32"/>
          <w:lang w:eastAsia="zh-CN"/>
        </w:rPr>
        <w:t>学习</w:t>
      </w:r>
      <w:r>
        <w:rPr>
          <w:rFonts w:ascii="仿宋_GB2312" w:cs="仿宋_GB2312" w:eastAsia="仿宋_GB2312" w:hAnsi="仿宋_GB2312" w:hint="eastAsia"/>
          <w:color w:val="auto"/>
          <w:sz w:val="32"/>
          <w:szCs w:val="32"/>
        </w:rPr>
        <w:t>教育等活动。</w:t>
      </w:r>
      <w:r>
        <w:rPr>
          <w:rFonts w:ascii="仿宋_GB2312" w:cs="仿宋_GB2312" w:eastAsia="仿宋_GB2312" w:hAnsi="仿宋_GB2312" w:hint="eastAsia"/>
          <w:b w:val="false"/>
          <w:bCs w:val="false"/>
          <w:spacing w:val="0"/>
          <w:kern w:val="2"/>
          <w:sz w:val="32"/>
          <w:szCs w:val="32"/>
          <w:lang w:val="en-US" w:bidi="ar-SA" w:eastAsia="zh-CN"/>
        </w:rPr>
        <w:t>提升安置帮教工作质效。强化安置帮教对象教育管控及就业帮扶，组织企业深入“大墙内”开展就业招聘，签订刑释前就业意向书14份，</w:t>
      </w:r>
      <w:r>
        <w:rPr>
          <w:rFonts w:ascii="仿宋_GB2312" w:cs="仿宋_GB2312" w:eastAsia="仿宋_GB2312" w:hAnsi="仿宋_GB2312" w:hint="eastAsia"/>
          <w:sz w:val="32"/>
          <w:szCs w:val="32"/>
        </w:rPr>
        <w:t>体现帮扶就业经验做法的微电影《用爱与责任点亮回归之路》，已被省厅认可</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并报送至司法部参加安置帮教系列宣传报道的评选。</w:t>
      </w:r>
      <w:r>
        <w:rPr>
          <w:rFonts w:ascii="仿宋_GB2312" w:cs="仿宋_GB2312" w:eastAsia="仿宋_GB2312" w:hAnsi="仿宋_GB2312" w:hint="eastAsia"/>
          <w:color w:val="auto"/>
          <w:sz w:val="32"/>
          <w:szCs w:val="32"/>
          <w:lang w:val="en-US" w:eastAsia="zh-CN"/>
        </w:rPr>
        <w:t>今年以来</w:t>
      </w:r>
      <w:r>
        <w:rPr>
          <w:rFonts w:ascii="仿宋_GB2312" w:cs="仿宋_GB2312" w:eastAsia="仿宋_GB2312" w:hAnsi="仿宋_GB2312" w:hint="eastAsia"/>
          <w:color w:val="auto"/>
          <w:sz w:val="32"/>
          <w:szCs w:val="32"/>
        </w:rPr>
        <w:t>，</w:t>
      </w:r>
      <w:r>
        <w:rPr>
          <w:rFonts w:ascii="仿宋_GB2312" w:cs="仿宋_GB2312" w:eastAsia="仿宋_GB2312" w:hAnsi="仿宋_GB2312" w:hint="eastAsia"/>
          <w:color w:val="auto"/>
          <w:sz w:val="32"/>
          <w:szCs w:val="32"/>
          <w:lang w:val="en-US" w:eastAsia="zh-CN"/>
        </w:rPr>
        <w:t>新</w:t>
      </w:r>
      <w:r>
        <w:rPr>
          <w:rFonts w:ascii="仿宋_GB2312" w:cs="仿宋_GB2312" w:eastAsia="仿宋_GB2312" w:hAnsi="仿宋_GB2312" w:hint="eastAsia"/>
          <w:color w:val="auto"/>
          <w:sz w:val="32"/>
          <w:szCs w:val="32"/>
        </w:rPr>
        <w:t>接收社区矫正对象</w:t>
      </w:r>
      <w:r>
        <w:rPr>
          <w:rFonts w:ascii="仿宋_GB2312" w:cs="仿宋_GB2312" w:eastAsia="仿宋_GB2312" w:hAnsi="仿宋_GB2312" w:hint="eastAsia"/>
          <w:color w:val="auto"/>
          <w:sz w:val="32"/>
          <w:szCs w:val="32"/>
          <w:lang w:val="en-US" w:eastAsia="zh-CN"/>
        </w:rPr>
        <w:t>77</w:t>
      </w:r>
      <w:r>
        <w:rPr>
          <w:rFonts w:ascii="仿宋_GB2312" w:cs="仿宋_GB2312" w:eastAsia="仿宋_GB2312" w:hAnsi="仿宋_GB2312" w:hint="eastAsia"/>
          <w:color w:val="auto"/>
          <w:sz w:val="32"/>
          <w:szCs w:val="32"/>
        </w:rPr>
        <w:t>人，解除矫正</w:t>
      </w:r>
      <w:r>
        <w:rPr>
          <w:rFonts w:ascii="仿宋_GB2312" w:cs="仿宋_GB2312" w:eastAsia="仿宋_GB2312" w:hAnsi="仿宋_GB2312" w:hint="eastAsia"/>
          <w:color w:val="auto"/>
          <w:sz w:val="32"/>
          <w:szCs w:val="32"/>
          <w:lang w:val="en-US" w:eastAsia="zh-CN"/>
        </w:rPr>
        <w:t>64</w:t>
      </w:r>
      <w:r>
        <w:rPr>
          <w:rFonts w:ascii="仿宋_GB2312" w:cs="仿宋_GB2312" w:eastAsia="仿宋_GB2312" w:hAnsi="仿宋_GB2312" w:hint="eastAsia"/>
          <w:color w:val="auto"/>
          <w:sz w:val="32"/>
          <w:szCs w:val="32"/>
        </w:rPr>
        <w:t>人，现在矫对象共</w:t>
      </w:r>
      <w:r>
        <w:rPr>
          <w:rFonts w:ascii="仿宋_GB2312" w:cs="仿宋_GB2312" w:eastAsia="仿宋_GB2312" w:hAnsi="仿宋_GB2312" w:hint="eastAsia"/>
          <w:color w:val="auto"/>
          <w:sz w:val="32"/>
          <w:szCs w:val="32"/>
          <w:lang w:val="en-US" w:eastAsia="zh-CN"/>
        </w:rPr>
        <w:t>140</w:t>
      </w:r>
      <w:r>
        <w:rPr>
          <w:rFonts w:ascii="仿宋_GB2312" w:cs="仿宋_GB2312" w:eastAsia="仿宋_GB2312" w:hAnsi="仿宋_GB2312" w:hint="eastAsia"/>
          <w:color w:val="auto"/>
          <w:sz w:val="32"/>
          <w:szCs w:val="32"/>
        </w:rPr>
        <w:t>人。全县在册安置帮教对象</w:t>
      </w:r>
      <w:r>
        <w:rPr>
          <w:rFonts w:ascii="仿宋_GB2312" w:cs="仿宋_GB2312" w:eastAsia="仿宋_GB2312" w:hAnsi="仿宋_GB2312" w:hint="eastAsia"/>
          <w:color w:val="auto"/>
          <w:sz w:val="32"/>
          <w:szCs w:val="32"/>
          <w:lang w:val="en-US" w:eastAsia="zh-CN"/>
        </w:rPr>
        <w:t>755</w:t>
      </w:r>
      <w:r>
        <w:rPr>
          <w:rFonts w:ascii="仿宋_GB2312" w:cs="仿宋_GB2312" w:eastAsia="仿宋_GB2312" w:hAnsi="仿宋_GB2312" w:hint="eastAsia"/>
          <w:color w:val="auto"/>
          <w:sz w:val="32"/>
          <w:szCs w:val="32"/>
        </w:rPr>
        <w:t>人。截至</w:t>
      </w:r>
      <w:r>
        <w:rPr>
          <w:rFonts w:ascii="仿宋_GB2312" w:cs="仿宋_GB2312" w:eastAsia="仿宋_GB2312" w:hAnsi="仿宋_GB2312" w:hint="eastAsia"/>
          <w:color w:val="auto"/>
          <w:sz w:val="32"/>
          <w:szCs w:val="32"/>
          <w:lang w:val="en-US" w:eastAsia="zh-CN"/>
        </w:rPr>
        <w:t>目前</w:t>
      </w:r>
      <w:r>
        <w:rPr>
          <w:rFonts w:ascii="仿宋_GB2312" w:cs="仿宋_GB2312" w:eastAsia="仿宋_GB2312" w:hAnsi="仿宋_GB2312" w:hint="eastAsia"/>
          <w:color w:val="auto"/>
          <w:sz w:val="32"/>
          <w:szCs w:val="32"/>
        </w:rPr>
        <w:t>，共发放接送经费108210元，刑释人员生活补助费103340元。</w:t>
      </w:r>
      <w:r>
        <w:rPr>
          <w:rFonts w:ascii="仿宋_GB2312" w:cs="仿宋_GB2312" w:eastAsia="仿宋_GB2312" w:hAnsi="仿宋_GB2312" w:hint="eastAsia"/>
          <w:color w:val="auto"/>
          <w:sz w:val="32"/>
          <w:szCs w:val="32"/>
          <w:lang w:val="en-US" w:eastAsia="zh-CN"/>
        </w:rPr>
        <w:t>所有</w:t>
      </w:r>
      <w:r>
        <w:rPr>
          <w:rFonts w:ascii="仿宋_GB2312" w:cs="仿宋_GB2312" w:eastAsia="仿宋_GB2312" w:hAnsi="仿宋_GB2312" w:hint="eastAsia"/>
          <w:color w:val="auto"/>
          <w:sz w:val="32"/>
          <w:szCs w:val="32"/>
        </w:rPr>
        <w:t>人员均登记建档，落实帮教措施，衔接率、安置率、帮教率、接送率均达100%。</w:t>
      </w:r>
    </w:p>
    <w:p w14:paraId="47542527">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楷体_GB2312" w:cs="楷体_GB2312" w:eastAsia="楷体_GB2312" w:hAnsi="楷体_GB2312" w:hint="eastAsia"/>
          <w:sz w:val="32"/>
          <w:szCs w:val="32"/>
        </w:rPr>
      </w:pPr>
      <w:r>
        <w:rPr>
          <w:rFonts w:ascii="楷体_GB2312" w:cs="楷体_GB2312" w:eastAsia="楷体_GB2312" w:hAnsi="楷体_GB2312" w:hint="eastAsia"/>
          <w:sz w:val="32"/>
          <w:szCs w:val="32"/>
        </w:rPr>
        <w:t>（四）法治赋能，优化高标准服务</w:t>
      </w:r>
    </w:p>
    <w:p w14:paraId="1D4FD083">
      <w:pPr>
        <w:pStyle w:val="style0"/>
        <w:keepNext w:val="false"/>
        <w:keepLines w:val="false"/>
        <w:pageBreakBefore w:val="false"/>
        <w:widowControl/>
        <w:numPr>
          <w:ilvl w:val="0"/>
          <w:numId w:val="0"/>
        </w:numPr>
        <w:tabs>
          <w:tab w:val="left" w:leader="none" w:pos="8294"/>
        </w:tabs>
        <w:kinsoku/>
        <w:wordWrap/>
        <w:overflowPunct/>
        <w:topLinePunct w:val="false"/>
        <w:autoSpaceDE/>
        <w:autoSpaceDN/>
        <w:bidi w:val="false"/>
        <w:adjustRightInd/>
        <w:snapToGrid/>
        <w:spacing w:beforeAutospacing="false" w:afterAutospacing="false" w:lineRule="exact" w:line="560"/>
        <w:ind w:right="0" w:rightChars="0" w:firstLine="643" w:firstLineChars="200"/>
        <w:jc w:val="both"/>
        <w:textAlignment w:val="auto"/>
        <w:rPr>
          <w:rFonts w:ascii="仿宋_GB2312" w:cs="仿宋_GB2312" w:eastAsia="仿宋_GB2312" w:hAnsi="仿宋_GB2312" w:hint="default"/>
          <w:color w:val="auto"/>
          <w:sz w:val="32"/>
          <w:szCs w:val="32"/>
          <w:lang w:val="en-US" w:eastAsia="zh-CN"/>
        </w:rPr>
      </w:pPr>
      <w:r>
        <w:rPr>
          <w:rFonts w:ascii="仿宋_GB2312" w:cs="仿宋_GB2312" w:eastAsia="仿宋_GB2312" w:hAnsi="仿宋_GB2312" w:hint="eastAsia"/>
          <w:b/>
          <w:bCs/>
          <w:color w:val="auto"/>
          <w:sz w:val="32"/>
          <w:szCs w:val="32"/>
        </w:rPr>
        <w:t>一是加快构建现代公共法律服务体系。</w:t>
      </w:r>
      <w:r>
        <w:rPr>
          <w:rFonts w:ascii="仿宋_GB2312" w:cs="仿宋_GB2312" w:eastAsia="仿宋_GB2312" w:hAnsi="仿宋_GB2312" w:hint="default"/>
          <w:color w:val="auto"/>
          <w:sz w:val="32"/>
          <w:szCs w:val="32"/>
          <w:lang w:val="en-US" w:eastAsia="zh-CN"/>
        </w:rPr>
        <w:t>积极拓展法律援助渠道和方式</w:t>
      </w:r>
      <w:r>
        <w:rPr>
          <w:rFonts w:ascii="仿宋_GB2312" w:cs="仿宋_GB2312" w:eastAsia="仿宋_GB2312" w:hAnsi="仿宋_GB2312" w:hint="eastAsia"/>
          <w:color w:val="auto"/>
          <w:sz w:val="32"/>
          <w:szCs w:val="32"/>
          <w:lang w:val="en-US" w:eastAsia="zh-CN"/>
        </w:rPr>
        <w:t>，</w:t>
      </w:r>
      <w:r>
        <w:rPr>
          <w:rFonts w:ascii="仿宋_GB2312" w:cs="仿宋_GB2312" w:eastAsia="仿宋_GB2312" w:hAnsi="仿宋_GB2312" w:hint="default"/>
          <w:color w:val="auto"/>
          <w:sz w:val="32"/>
          <w:szCs w:val="32"/>
          <w:lang w:val="en-US" w:eastAsia="zh-CN"/>
        </w:rPr>
        <w:t>扩大法律援助覆盖面</w:t>
      </w:r>
      <w:r>
        <w:rPr>
          <w:rFonts w:ascii="仿宋_GB2312" w:cs="仿宋_GB2312" w:eastAsia="仿宋_GB2312" w:hAnsi="仿宋_GB2312" w:hint="eastAsia"/>
          <w:color w:val="auto"/>
          <w:sz w:val="32"/>
          <w:szCs w:val="32"/>
          <w:lang w:val="en-US" w:eastAsia="zh-CN"/>
        </w:rPr>
        <w:t>，</w:t>
      </w:r>
      <w:r>
        <w:rPr>
          <w:rFonts w:ascii="仿宋_GB2312" w:cs="仿宋_GB2312" w:eastAsia="仿宋_GB2312" w:hAnsi="仿宋_GB2312" w:hint="default"/>
          <w:color w:val="auto"/>
          <w:sz w:val="32"/>
          <w:szCs w:val="32"/>
          <w:lang w:val="en-US" w:eastAsia="zh-CN"/>
        </w:rPr>
        <w:t>实现应援尽援</w:t>
      </w:r>
      <w:r>
        <w:rPr>
          <w:rFonts w:ascii="仿宋_GB2312" w:cs="仿宋_GB2312" w:eastAsia="仿宋_GB2312" w:hAnsi="仿宋_GB2312" w:hint="eastAsia"/>
          <w:color w:val="auto"/>
          <w:sz w:val="32"/>
          <w:szCs w:val="32"/>
          <w:lang w:val="en-US" w:eastAsia="zh-CN"/>
        </w:rPr>
        <w:t>。今年以来，全县律师、法律服务工作者、法律援助志愿者共受理法律援助案件413件，法律援助便民服务窗口接待来电来访群众并解答各类法律咨询共7248人次，为受援人避免经济损失50余万元。</w:t>
      </w:r>
    </w:p>
    <w:p w14:paraId="24F7DA8B">
      <w:pPr>
        <w:pStyle w:val="style28"/>
        <w:keepNext w:val="false"/>
        <w:keepLines w:val="false"/>
        <w:pageBreakBefore w:val="false"/>
        <w:widowControl w:val="false"/>
        <w:kinsoku/>
        <w:wordWrap/>
        <w:overflowPunct/>
        <w:topLinePunct w:val="false"/>
        <w:autoSpaceDE/>
        <w:autoSpaceDN/>
        <w:bidi w:val="false"/>
        <w:adjustRightInd/>
        <w:snapToGrid/>
        <w:spacing w:lineRule="exact" w:line="560"/>
        <w:textAlignment w:val="auto"/>
        <w:rPr>
          <w:rFonts w:ascii="仿宋_GB2312" w:cs="仿宋_GB2312" w:eastAsia="仿宋_GB2312" w:hAnsi="仿宋_GB2312" w:hint="eastAsia"/>
          <w:sz w:val="32"/>
          <w:szCs w:val="32"/>
          <w:lang w:eastAsia="zh-CN"/>
        </w:rPr>
      </w:pPr>
      <w:r>
        <w:rPr>
          <w:rFonts w:ascii="仿宋_GB2312" w:cs="仿宋_GB2312" w:eastAsia="仿宋_GB2312" w:hAnsi="仿宋_GB2312" w:hint="eastAsia"/>
          <w:b/>
          <w:bCs/>
          <w:color w:val="auto"/>
          <w:sz w:val="32"/>
          <w:szCs w:val="32"/>
        </w:rPr>
        <w:t>二是加快推进全民法治宣传教育。</w:t>
      </w:r>
      <w:r>
        <w:rPr>
          <w:rFonts w:ascii="仿宋_GB2312" w:cs="仿宋_GB2312" w:eastAsia="仿宋_GB2312" w:hAnsi="仿宋_GB2312" w:hint="eastAsia"/>
          <w:color w:val="auto"/>
          <w:kern w:val="2"/>
          <w:sz w:val="32"/>
          <w:szCs w:val="32"/>
          <w:lang w:val="en-US" w:bidi="ar-SA" w:eastAsia="zh-CN"/>
        </w:rPr>
        <w:t>落实国家工作人员学法用法制度，组织新提任科级领导干部法律知识考试。</w:t>
      </w:r>
      <w:r>
        <w:rPr>
          <w:rFonts w:ascii="仿宋_GB2312" w:cs="仿宋_GB2312" w:eastAsia="仿宋_GB2312" w:hAnsi="仿宋_GB2312" w:hint="eastAsia"/>
          <w:b w:val="false"/>
          <w:bCs w:val="false"/>
          <w:color w:val="auto"/>
          <w:sz w:val="32"/>
          <w:szCs w:val="32"/>
          <w:lang w:val="en-US" w:eastAsia="zh-CN"/>
        </w:rPr>
        <w:t>深化“普法责任田”建设，今年10月在三贤湖建设“谁执法谁普法”普法宣传长廊400米。积极开展各类</w:t>
      </w:r>
      <w:r>
        <w:rPr>
          <w:rFonts w:ascii="仿宋_GB2312" w:cs="仿宋_GB2312" w:eastAsia="仿宋_GB2312" w:hAnsi="仿宋_GB2312" w:hint="eastAsia"/>
          <w:color w:val="auto"/>
          <w:sz w:val="32"/>
          <w:szCs w:val="32"/>
        </w:rPr>
        <w:t>普法宣传教育活动，组织开展国家安全教育日、民法典宣传月、农村法治宣传教育月、法律</w:t>
      </w:r>
      <w:r>
        <w:rPr>
          <w:rFonts w:ascii="仿宋_GB2312" w:cs="仿宋_GB2312" w:eastAsia="仿宋_GB2312" w:hAnsi="仿宋_GB2312" w:hint="eastAsia"/>
          <w:color w:val="auto"/>
          <w:sz w:val="32"/>
          <w:szCs w:val="32"/>
          <w:lang w:val="en-US" w:eastAsia="zh-CN"/>
        </w:rPr>
        <w:t>六</w:t>
      </w:r>
      <w:r>
        <w:rPr>
          <w:rFonts w:ascii="仿宋_GB2312" w:cs="仿宋_GB2312" w:eastAsia="仿宋_GB2312" w:hAnsi="仿宋_GB2312" w:hint="eastAsia"/>
          <w:color w:val="auto"/>
          <w:sz w:val="32"/>
          <w:szCs w:val="32"/>
        </w:rPr>
        <w:t>进等一系列普法活动</w:t>
      </w:r>
      <w:r>
        <w:rPr>
          <w:rFonts w:ascii="仿宋_GB2312" w:cs="仿宋_GB2312" w:eastAsia="仿宋_GB2312" w:hAnsi="仿宋_GB2312" w:hint="eastAsia"/>
          <w:color w:val="auto"/>
          <w:sz w:val="32"/>
          <w:szCs w:val="32"/>
          <w:lang w:val="en-US" w:eastAsia="zh-CN"/>
        </w:rPr>
        <w:t>50余次，普及群众2.3万余人次</w:t>
      </w:r>
      <w:r>
        <w:rPr>
          <w:rFonts w:ascii="仿宋_GB2312" w:cs="仿宋_GB2312" w:eastAsia="仿宋_GB2312" w:hAnsi="仿宋_GB2312" w:hint="eastAsia"/>
          <w:color w:val="auto"/>
          <w:sz w:val="32"/>
          <w:szCs w:val="32"/>
        </w:rPr>
        <w:t>。</w:t>
      </w:r>
      <w:r>
        <w:rPr>
          <w:rFonts w:ascii="仿宋_GB2312" w:cs="仿宋_GB2312" w:eastAsia="仿宋_GB2312" w:hAnsi="仿宋_GB2312" w:hint="eastAsia"/>
          <w:color w:val="auto"/>
          <w:kern w:val="2"/>
          <w:sz w:val="32"/>
          <w:szCs w:val="32"/>
          <w:lang w:val="en-US" w:bidi="ar-SA" w:eastAsia="zh-CN"/>
        </w:rPr>
        <w:t>推荐申报创建第十批“全国民主法治示范村（社区）”1个。深化“普法责任田”建设，建设“谁执法谁普法”普法宣传长廊。打造法治文化阵地17处，营造浓厚法治氛围。</w:t>
      </w:r>
    </w:p>
    <w:p w14:paraId="6EDBE47B">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仿宋_GB2312" w:cs="仿宋_GB2312" w:eastAsia="仿宋_GB2312" w:hAnsi="仿宋_GB2312" w:hint="eastAsia"/>
          <w:sz w:val="32"/>
          <w:szCs w:val="32"/>
        </w:rPr>
      </w:pPr>
      <w:r>
        <w:rPr>
          <w:rFonts w:ascii="楷体_GB2312" w:cs="楷体_GB2312" w:eastAsia="楷体_GB2312" w:hAnsi="楷体_GB2312" w:hint="eastAsia"/>
          <w:sz w:val="32"/>
          <w:szCs w:val="32"/>
        </w:rPr>
        <w:t>（五）法治凝心，锻造高素质铁军</w:t>
      </w:r>
    </w:p>
    <w:p w14:paraId="21173604">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3"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b/>
          <w:bCs/>
          <w:sz w:val="32"/>
          <w:szCs w:val="32"/>
        </w:rPr>
        <w:t>一是夯实政治建设基础。</w:t>
      </w:r>
      <w:r>
        <w:rPr>
          <w:rFonts w:ascii="仿宋_GB2312" w:cs="仿宋_GB2312" w:eastAsia="仿宋_GB2312" w:hAnsi="仿宋_GB2312" w:hint="eastAsia"/>
          <w:sz w:val="32"/>
          <w:szCs w:val="32"/>
        </w:rPr>
        <w:t>严格落实“第一议题”学习制度，注重政治导向，持续学习贯彻党的</w:t>
      </w:r>
      <w:r>
        <w:rPr>
          <w:rFonts w:ascii="仿宋_GB2312" w:cs="仿宋_GB2312" w:eastAsia="仿宋_GB2312" w:hAnsi="仿宋_GB2312" w:hint="eastAsia"/>
          <w:sz w:val="32"/>
          <w:szCs w:val="32"/>
          <w:lang w:eastAsia="zh-CN"/>
        </w:rPr>
        <w:t>二十届三中、</w:t>
      </w:r>
      <w:r>
        <w:rPr>
          <w:rFonts w:ascii="仿宋_GB2312" w:cs="仿宋_GB2312" w:eastAsia="仿宋_GB2312" w:hAnsi="仿宋_GB2312" w:hint="eastAsia"/>
          <w:sz w:val="32"/>
          <w:szCs w:val="32"/>
          <w:lang w:val="en-US" w:eastAsia="zh-CN"/>
        </w:rPr>
        <w:t>四中</w:t>
      </w:r>
      <w:r>
        <w:rPr>
          <w:rFonts w:ascii="仿宋_GB2312" w:cs="仿宋_GB2312" w:eastAsia="仿宋_GB2312" w:hAnsi="仿宋_GB2312" w:hint="eastAsia"/>
          <w:sz w:val="32"/>
          <w:szCs w:val="32"/>
          <w:lang w:eastAsia="zh-CN"/>
        </w:rPr>
        <w:t>全会</w:t>
      </w:r>
      <w:r>
        <w:rPr>
          <w:rFonts w:ascii="仿宋_GB2312" w:cs="仿宋_GB2312" w:eastAsia="仿宋_GB2312" w:hAnsi="仿宋_GB2312" w:hint="eastAsia"/>
          <w:sz w:val="32"/>
          <w:szCs w:val="32"/>
          <w:lang w:val="en-US" w:eastAsia="zh-CN"/>
        </w:rPr>
        <w:t>精神</w:t>
      </w:r>
      <w:r>
        <w:rPr>
          <w:rFonts w:ascii="仿宋_GB2312" w:cs="仿宋_GB2312" w:eastAsia="仿宋_GB2312" w:hAnsi="仿宋_GB2312" w:hint="eastAsia"/>
          <w:sz w:val="32"/>
          <w:szCs w:val="32"/>
        </w:rPr>
        <w:t>。</w:t>
      </w:r>
      <w:r>
        <w:rPr>
          <w:rFonts w:ascii="仿宋_GB2312" w:cs="仿宋_GB2312" w:eastAsia="仿宋_GB2312" w:hAnsi="仿宋_GB2312" w:hint="eastAsia"/>
          <w:sz w:val="32"/>
          <w:szCs w:val="32"/>
          <w:lang w:val="en-US" w:eastAsia="zh-CN"/>
        </w:rPr>
        <w:t>持续深入推进巡察反馈问题整改工作，完成县委书记点评问题整改和阶段整改。深入贯彻中央八项规定精神学习教育，做到局党组、党支部和党员干部三级全覆盖，坚持开门教育，一体推进学查改，共排查集体问题23个，个人问题125个，</w:t>
      </w:r>
      <w:r>
        <w:rPr>
          <w:rFonts w:ascii="仿宋_GB2312" w:cs="仿宋_GB2312" w:eastAsia="仿宋_GB2312" w:hAnsi="仿宋_GB2312" w:hint="eastAsia"/>
          <w:sz w:val="32"/>
          <w:szCs w:val="32"/>
        </w:rPr>
        <w:t>制定整改措施</w:t>
      </w:r>
      <w:r>
        <w:rPr>
          <w:rFonts w:ascii="仿宋_GB2312" w:cs="仿宋_GB2312" w:eastAsia="仿宋_GB2312" w:hAnsi="仿宋_GB2312" w:hint="eastAsia"/>
          <w:sz w:val="32"/>
          <w:szCs w:val="32"/>
          <w:lang w:val="en-US" w:eastAsia="zh-CN"/>
        </w:rPr>
        <w:t>137</w:t>
      </w:r>
      <w:r>
        <w:rPr>
          <w:rFonts w:ascii="仿宋_GB2312" w:cs="仿宋_GB2312" w:eastAsia="仿宋_GB2312" w:hAnsi="仿宋_GB2312" w:hint="eastAsia"/>
          <w:sz w:val="32"/>
          <w:szCs w:val="32"/>
        </w:rPr>
        <w:t>条</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lang w:val="en-US" w:eastAsia="zh-CN"/>
        </w:rPr>
        <w:t>全面推进整改落实</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严肃组织生活，按要求召开民主生活会和组织生活会，常态化开展谈心谈话。</w:t>
      </w:r>
      <w:r>
        <w:rPr>
          <w:rFonts w:ascii="仿宋_GB2312" w:cs="仿宋_GB2312" w:eastAsia="仿宋_GB2312" w:hAnsi="仿宋_GB2312" w:hint="eastAsia"/>
          <w:sz w:val="32"/>
          <w:szCs w:val="32"/>
          <w:lang w:val="en-US" w:eastAsia="zh-CN"/>
        </w:rPr>
        <w:t>开展</w:t>
      </w:r>
      <w:r>
        <w:rPr>
          <w:rFonts w:ascii="仿宋_GB2312" w:cs="仿宋_GB2312" w:eastAsia="仿宋_GB2312" w:hAnsi="仿宋_GB2312" w:hint="eastAsia"/>
          <w:sz w:val="32"/>
          <w:szCs w:val="32"/>
        </w:rPr>
        <w:t>在职党员进社区</w:t>
      </w:r>
      <w:r>
        <w:rPr>
          <w:rFonts w:ascii="仿宋_GB2312" w:cs="仿宋_GB2312" w:eastAsia="仿宋_GB2312" w:hAnsi="仿宋_GB2312" w:hint="eastAsia"/>
          <w:sz w:val="32"/>
          <w:szCs w:val="32"/>
          <w:lang w:val="en-US" w:eastAsia="zh-CN"/>
        </w:rPr>
        <w:t>服务活动2次</w:t>
      </w:r>
      <w:r>
        <w:rPr>
          <w:rFonts w:ascii="仿宋_GB2312" w:cs="仿宋_GB2312" w:eastAsia="仿宋_GB2312" w:hAnsi="仿宋_GB2312" w:hint="eastAsia"/>
          <w:sz w:val="32"/>
          <w:szCs w:val="32"/>
        </w:rPr>
        <w:t>，在普法宣传、人民调解、法律服务和文明创建等方面，积极发挥党员先锋模范带头作用。</w:t>
      </w:r>
    </w:p>
    <w:p w14:paraId="40C97B8E">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3"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b/>
          <w:bCs/>
          <w:sz w:val="32"/>
          <w:szCs w:val="32"/>
        </w:rPr>
        <w:t>二是持续加强队伍建设。</w:t>
      </w:r>
      <w:r>
        <w:rPr>
          <w:rFonts w:ascii="仿宋_GB2312" w:cs="仿宋_GB2312" w:eastAsia="仿宋_GB2312" w:hAnsi="仿宋_GB2312" w:hint="eastAsia"/>
          <w:sz w:val="32"/>
          <w:szCs w:val="32"/>
        </w:rPr>
        <w:t>以学习宣传贯彻习近平新时代中国特色社会主义思想为主线，深入开展</w:t>
      </w:r>
      <w:r>
        <w:rPr>
          <w:rFonts w:ascii="仿宋_GB2312" w:cs="仿宋_GB2312" w:eastAsia="仿宋_GB2312" w:hAnsi="仿宋_GB2312" w:hint="eastAsia"/>
          <w:sz w:val="32"/>
          <w:szCs w:val="32"/>
          <w:lang w:val="en-US" w:eastAsia="zh-CN"/>
        </w:rPr>
        <w:t>各项</w:t>
      </w:r>
      <w:r>
        <w:rPr>
          <w:rFonts w:ascii="仿宋_GB2312" w:cs="仿宋_GB2312" w:eastAsia="仿宋_GB2312" w:hAnsi="仿宋_GB2312" w:hint="eastAsia"/>
          <w:sz w:val="32"/>
          <w:szCs w:val="32"/>
        </w:rPr>
        <w:t>培训</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进一步提升队伍凝聚力和战斗力</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制定</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202</w:t>
      </w:r>
      <w:r>
        <w:rPr>
          <w:rFonts w:ascii="仿宋_GB2312" w:cs="仿宋_GB2312" w:eastAsia="仿宋_GB2312" w:hAnsi="仿宋_GB2312" w:hint="eastAsia"/>
          <w:sz w:val="32"/>
          <w:szCs w:val="32"/>
          <w:lang w:val="en-US" w:eastAsia="zh-CN"/>
        </w:rPr>
        <w:t>5</w:t>
      </w:r>
      <w:r>
        <w:rPr>
          <w:rFonts w:ascii="仿宋_GB2312" w:cs="仿宋_GB2312" w:eastAsia="仿宋_GB2312" w:hAnsi="仿宋_GB2312" w:hint="eastAsia"/>
          <w:sz w:val="32"/>
          <w:szCs w:val="32"/>
        </w:rPr>
        <w:t>年</w:t>
      </w:r>
      <w:r>
        <w:rPr>
          <w:rFonts w:ascii="仿宋_GB2312" w:cs="仿宋_GB2312" w:eastAsia="仿宋_GB2312" w:hAnsi="仿宋_GB2312" w:hint="eastAsia"/>
          <w:sz w:val="32"/>
          <w:szCs w:val="32"/>
          <w:lang w:val="en-US" w:eastAsia="zh-CN"/>
        </w:rPr>
        <w:t>浮梁县</w:t>
      </w:r>
      <w:r>
        <w:rPr>
          <w:rFonts w:ascii="仿宋_GB2312" w:cs="仿宋_GB2312" w:eastAsia="仿宋_GB2312" w:hAnsi="仿宋_GB2312" w:hint="eastAsia"/>
          <w:sz w:val="32"/>
          <w:szCs w:val="32"/>
        </w:rPr>
        <w:t>司法局培训计划</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w:t>
      </w:r>
      <w:r>
        <w:rPr>
          <w:rFonts w:ascii="仿宋_GB2312" w:cs="仿宋_GB2312" w:eastAsia="仿宋_GB2312" w:hAnsi="仿宋_GB2312" w:hint="eastAsia"/>
          <w:b w:val="false"/>
          <w:bCs w:val="false"/>
          <w:i w:val="false"/>
          <w:iCs w:val="false"/>
          <w:caps w:val="false"/>
          <w:spacing w:val="0"/>
          <w:sz w:val="32"/>
          <w:szCs w:val="32"/>
          <w:shd w:val="clear" w:color="auto" w:fill="ffffff"/>
          <w:lang w:val="en-US" w:eastAsia="zh-CN"/>
        </w:rPr>
        <w:t>全年共举办习近平法治思想培训班、社区矫正业务培训、人民调解培训等业务培训10余次，覆盖全县司法行政系统工作人员200余人次</w:t>
      </w:r>
      <w:r>
        <w:rPr>
          <w:rFonts w:ascii="仿宋_GB2312" w:cs="仿宋_GB2312" w:eastAsia="仿宋_GB2312" w:hAnsi="仿宋_GB2312" w:hint="eastAsia"/>
          <w:sz w:val="32"/>
          <w:szCs w:val="32"/>
        </w:rPr>
        <w:t>。</w:t>
      </w:r>
    </w:p>
    <w:p w14:paraId="36DF4577">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3"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b/>
          <w:bCs/>
          <w:sz w:val="32"/>
          <w:szCs w:val="32"/>
        </w:rPr>
        <w:t>三是持续推进</w:t>
      </w:r>
      <w:r>
        <w:rPr>
          <w:rFonts w:ascii="仿宋_GB2312" w:cs="仿宋_GB2312" w:eastAsia="仿宋_GB2312" w:hAnsi="仿宋_GB2312" w:hint="eastAsia"/>
          <w:b/>
          <w:bCs/>
          <w:sz w:val="32"/>
          <w:szCs w:val="32"/>
          <w:lang w:eastAsia="zh-CN"/>
        </w:rPr>
        <w:t>全面从严治党</w:t>
      </w:r>
      <w:r>
        <w:rPr>
          <w:rFonts w:ascii="仿宋_GB2312" w:cs="仿宋_GB2312" w:eastAsia="仿宋_GB2312" w:hAnsi="仿宋_GB2312" w:hint="eastAsia"/>
          <w:b/>
          <w:bCs/>
          <w:sz w:val="32"/>
          <w:szCs w:val="32"/>
        </w:rPr>
        <w:t>。</w:t>
      </w:r>
      <w:r>
        <w:rPr>
          <w:rFonts w:ascii="仿宋_GB2312" w:cs="仿宋_GB2312" w:eastAsia="仿宋_GB2312" w:hAnsi="仿宋_GB2312" w:hint="eastAsia"/>
          <w:sz w:val="32"/>
          <w:szCs w:val="32"/>
        </w:rPr>
        <w:t>坚持不懈推进全面从严治党，持之以恒强化清廉机关建设，开展警示教育</w:t>
      </w:r>
      <w:r>
        <w:rPr>
          <w:rFonts w:ascii="仿宋_GB2312" w:cs="仿宋_GB2312" w:eastAsia="仿宋_GB2312" w:hAnsi="仿宋_GB2312" w:hint="eastAsia"/>
          <w:sz w:val="32"/>
          <w:szCs w:val="32"/>
          <w:lang w:val="en-US" w:eastAsia="zh-CN"/>
        </w:rPr>
        <w:t>3次</w:t>
      </w:r>
      <w:r>
        <w:rPr>
          <w:rFonts w:ascii="仿宋_GB2312" w:cs="仿宋_GB2312" w:eastAsia="仿宋_GB2312" w:hAnsi="仿宋_GB2312" w:hint="eastAsia"/>
          <w:sz w:val="32"/>
          <w:szCs w:val="32"/>
        </w:rPr>
        <w:t>，持续强化廉政学习，组织党纪党规专题学习，开展</w:t>
      </w:r>
      <w:r>
        <w:rPr>
          <w:rFonts w:ascii="仿宋_GB2312" w:cs="仿宋_GB2312" w:eastAsia="仿宋_GB2312" w:hAnsi="仿宋_GB2312" w:hint="eastAsia"/>
          <w:sz w:val="32"/>
          <w:szCs w:val="32"/>
          <w:lang w:val="en-US" w:eastAsia="zh-CN"/>
        </w:rPr>
        <w:t>正风肃纪</w:t>
      </w:r>
      <w:r>
        <w:rPr>
          <w:rFonts w:ascii="仿宋_GB2312" w:cs="仿宋_GB2312" w:eastAsia="仿宋_GB2312" w:hAnsi="仿宋_GB2312" w:hint="eastAsia"/>
          <w:sz w:val="32"/>
          <w:szCs w:val="32"/>
        </w:rPr>
        <w:t>警示教育，引导党员干部树牢拒腐防变思想，做到</w:t>
      </w:r>
      <w:r>
        <w:rPr>
          <w:rFonts w:ascii="仿宋_GB2312" w:cs="仿宋_GB2312" w:eastAsia="仿宋_GB2312" w:hAnsi="仿宋_GB2312" w:hint="eastAsia"/>
          <w:sz w:val="32"/>
          <w:szCs w:val="32"/>
          <w:lang w:eastAsia="zh-CN"/>
        </w:rPr>
        <w:t>不敢腐、不能腐、不想腐</w:t>
      </w:r>
      <w:r>
        <w:rPr>
          <w:rFonts w:ascii="仿宋_GB2312" w:cs="仿宋_GB2312" w:eastAsia="仿宋_GB2312" w:hAnsi="仿宋_GB2312" w:hint="eastAsia"/>
          <w:sz w:val="32"/>
          <w:szCs w:val="32"/>
        </w:rPr>
        <w:t>。</w:t>
      </w:r>
    </w:p>
    <w:p w14:paraId="7DEEE7C8">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3" w:firstLineChars="200"/>
        <w:textAlignment w:val="auto"/>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b/>
          <w:bCs/>
          <w:sz w:val="32"/>
          <w:szCs w:val="32"/>
          <w:lang w:val="en-US" w:eastAsia="zh-CN"/>
        </w:rPr>
        <w:t>四是稳步推进司法所建设提质增效。</w:t>
      </w:r>
      <w:r>
        <w:rPr>
          <w:rFonts w:ascii="仿宋_GB2312" w:cs="仿宋_GB2312" w:eastAsia="仿宋_GB2312" w:hAnsi="仿宋_GB2312" w:hint="eastAsia"/>
          <w:b w:val="false"/>
          <w:bCs w:val="false"/>
          <w:spacing w:val="0"/>
          <w:kern w:val="2"/>
          <w:sz w:val="32"/>
          <w:szCs w:val="32"/>
          <w:lang w:val="en-US" w:bidi="ar-SA" w:eastAsia="zh-CN"/>
        </w:rPr>
        <w:t>2024年，全县16个司法所规范化建设已全部完成，湘湖司法所为全省第一批司法所规范化建设先进二类地区示范司法所。在此基础上，重点突破、逐步实施，重点对三龙、鹅湖、瑶里、王港、勒功、峙滩等6个司法所进行改造升级，推动司法所在基层治理和基层法治建设中发挥更大作用。</w:t>
      </w:r>
    </w:p>
    <w:p w14:paraId="631AE2C5">
      <w:pPr>
        <w:pStyle w:val="style28"/>
        <w:keepNext w:val="false"/>
        <w:keepLines w:val="false"/>
        <w:pageBreakBefore w:val="false"/>
        <w:widowControl w:val="false"/>
        <w:numPr>
          <w:ilvl w:val="0"/>
          <w:numId w:val="0"/>
        </w:numPr>
        <w:kinsoku/>
        <w:wordWrap/>
        <w:overflowPunct/>
        <w:topLinePunct w:val="false"/>
        <w:autoSpaceDE/>
        <w:autoSpaceDN/>
        <w:bidi w:val="false"/>
        <w:adjustRightInd/>
        <w:snapToGrid/>
        <w:spacing w:lineRule="exact" w:line="576"/>
        <w:ind w:firstLine="640" w:firstLineChars="200"/>
        <w:jc w:val="both"/>
        <w:textAlignment w:val="auto"/>
        <w:rPr>
          <w:rFonts w:ascii="黑体" w:cs="黑体" w:eastAsia="黑体" w:hAnsi="黑体" w:hint="eastAsia"/>
          <w:kern w:val="2"/>
          <w:sz w:val="32"/>
          <w:szCs w:val="32"/>
          <w:lang w:val="en-US" w:bidi="ar-SA" w:eastAsia="zh-CN"/>
        </w:rPr>
      </w:pPr>
      <w:r>
        <w:rPr>
          <w:rFonts w:ascii="黑体" w:cs="黑体" w:eastAsia="黑体" w:hAnsi="黑体" w:hint="eastAsia"/>
          <w:kern w:val="2"/>
          <w:sz w:val="32"/>
          <w:szCs w:val="32"/>
          <w:lang w:val="en-US" w:bidi="ar-SA" w:eastAsia="zh-CN"/>
        </w:rPr>
        <w:t>二、2026年工作打算</w:t>
      </w:r>
    </w:p>
    <w:p w14:paraId="62B11383">
      <w:pPr>
        <w:pStyle w:val="style28"/>
        <w:keepNext w:val="false"/>
        <w:keepLines w:val="false"/>
        <w:pageBreakBefore w:val="false"/>
        <w:widowControl w:val="false"/>
        <w:numPr>
          <w:ilvl w:val="0"/>
          <w:numId w:val="0"/>
        </w:numPr>
        <w:kinsoku/>
        <w:wordWrap/>
        <w:overflowPunct/>
        <w:topLinePunct w:val="false"/>
        <w:autoSpaceDE/>
        <w:autoSpaceDN/>
        <w:bidi w:val="false"/>
        <w:adjustRightInd/>
        <w:snapToGrid/>
        <w:spacing w:lineRule="exact" w:line="576"/>
        <w:ind w:firstLine="640" w:firstLineChars="200"/>
        <w:jc w:val="both"/>
        <w:textAlignment w:val="auto"/>
        <w:rPr>
          <w:rFonts w:ascii="仿宋_GB2312" w:cs="仿宋_GB2312" w:eastAsia="仿宋_GB2312" w:hAnsi="仿宋_GB2312" w:hint="eastAsia"/>
          <w:kern w:val="2"/>
          <w:sz w:val="32"/>
          <w:szCs w:val="32"/>
          <w:lang w:val="en-US" w:bidi="ar-SA" w:eastAsia="zh-CN"/>
        </w:rPr>
      </w:pPr>
      <w:r>
        <w:rPr>
          <w:rFonts w:ascii="仿宋_GB2312" w:cs="仿宋_GB2312" w:eastAsia="仿宋_GB2312" w:hAnsi="仿宋_GB2312" w:hint="eastAsia"/>
          <w:kern w:val="2"/>
          <w:sz w:val="32"/>
          <w:szCs w:val="32"/>
          <w:lang w:val="en-US" w:bidi="ar-SA" w:eastAsia="zh-CN"/>
        </w:rPr>
        <w:t>2026年，我局将持续深化对习近平新时代中国特色社会主义思想、习近平法治思想的学习领悟，扎实推进党的二十届四中全会精神的学习宣传与贯彻落实。紧紧围绕县委、县政府中心工作，凝心聚力、锐意进取，奋力开创县域司法行政工作新局面。</w:t>
      </w:r>
    </w:p>
    <w:p w14:paraId="05B91CD2">
      <w:pPr>
        <w:pStyle w:val="style179"/>
        <w:keepNext w:val="false"/>
        <w:keepLines w:val="false"/>
        <w:pageBreakBefore w:val="false"/>
        <w:widowControl/>
        <w:kinsoku/>
        <w:wordWrap/>
        <w:overflowPunct/>
        <w:topLinePunct w:val="false"/>
        <w:autoSpaceDE/>
        <w:autoSpaceDN/>
        <w:bidi w:val="false"/>
        <w:adjustRightInd/>
        <w:snapToGrid/>
        <w:spacing w:lineRule="exact" w:line="576"/>
        <w:ind w:firstLine="640"/>
        <w:jc w:val="left"/>
        <w:textAlignment w:val="auto"/>
        <w:rPr>
          <w:rFonts w:ascii="楷体_GB2312" w:cs="楷体_GB2312" w:eastAsia="楷体_GB2312" w:hAnsi="楷体_GB2312" w:hint="eastAsia"/>
          <w:kern w:val="2"/>
          <w:sz w:val="32"/>
          <w:szCs w:val="32"/>
          <w:lang w:val="en-US" w:bidi="ar-SA" w:eastAsia="zh-CN"/>
        </w:rPr>
      </w:pPr>
      <w:r>
        <w:rPr>
          <w:rFonts w:ascii="楷体_GB2312" w:cs="楷体_GB2312" w:eastAsia="楷体_GB2312" w:hAnsi="楷体_GB2312" w:hint="eastAsia"/>
          <w:kern w:val="2"/>
          <w:sz w:val="32"/>
          <w:szCs w:val="32"/>
          <w:lang w:val="en-US" w:bidi="ar-SA" w:eastAsia="zh-CN"/>
        </w:rPr>
        <w:t>（一）铸魂强基固根本，党建引领聚合力</w:t>
      </w:r>
    </w:p>
    <w:p w14:paraId="065D2D6E">
      <w:pPr>
        <w:pStyle w:val="style179"/>
        <w:keepNext w:val="false"/>
        <w:keepLines w:val="false"/>
        <w:pageBreakBefore w:val="false"/>
        <w:widowControl/>
        <w:kinsoku/>
        <w:wordWrap/>
        <w:overflowPunct/>
        <w:topLinePunct w:val="false"/>
        <w:autoSpaceDE/>
        <w:autoSpaceDN/>
        <w:bidi w:val="false"/>
        <w:adjustRightInd/>
        <w:snapToGrid/>
        <w:spacing w:lineRule="exact" w:line="576"/>
        <w:ind w:firstLine="640"/>
        <w:jc w:val="left"/>
        <w:textAlignment w:val="auto"/>
        <w:rPr>
          <w:rFonts w:ascii="仿宋_GB2312" w:cs="仿宋_GB2312" w:eastAsia="仿宋_GB2312" w:hAnsi="仿宋_GB2312" w:hint="eastAsia"/>
          <w:kern w:val="2"/>
          <w:sz w:val="32"/>
          <w:szCs w:val="32"/>
          <w:lang w:val="en-US" w:bidi="ar-SA" w:eastAsia="zh-CN"/>
        </w:rPr>
      </w:pPr>
      <w:r>
        <w:rPr>
          <w:rFonts w:ascii="仿宋_GB2312" w:cs="仿宋_GB2312" w:eastAsia="仿宋_GB2312" w:hAnsi="仿宋_GB2312" w:hint="eastAsia"/>
          <w:kern w:val="2"/>
          <w:sz w:val="32"/>
          <w:szCs w:val="32"/>
          <w:lang w:val="en-US" w:bidi="ar-SA" w:eastAsia="zh-CN"/>
        </w:rPr>
        <w:t>坚持党建引领全县司法行政工作，巩固深入贯彻中央八项规定精神学习教育成果，深刻领悟“两个确立”的决定性意义，增强“四个意识”、坚定“四个自信”、做到“两个维护”，严格落实“三会一课”、民主评议党员等制度，提升基层党组织凝聚力和战斗力。压实党风廉政建设主体责任，强化日常监督执纪，持续营造风清气正的政治生态，以党建优势带动事业发展。</w:t>
      </w:r>
    </w:p>
    <w:p w14:paraId="753E65E2">
      <w:pPr>
        <w:pStyle w:val="style179"/>
        <w:keepNext w:val="false"/>
        <w:keepLines w:val="false"/>
        <w:pageBreakBefore w:val="false"/>
        <w:widowControl/>
        <w:kinsoku/>
        <w:wordWrap/>
        <w:overflowPunct/>
        <w:topLinePunct w:val="false"/>
        <w:autoSpaceDE/>
        <w:autoSpaceDN/>
        <w:bidi w:val="false"/>
        <w:adjustRightInd/>
        <w:snapToGrid/>
        <w:spacing w:lineRule="exact" w:line="576"/>
        <w:ind w:firstLine="640"/>
        <w:jc w:val="left"/>
        <w:textAlignment w:val="auto"/>
        <w:rPr>
          <w:rFonts w:ascii="楷体_GB2312" w:cs="楷体_GB2312" w:eastAsia="楷体_GB2312" w:hAnsi="楷体_GB2312" w:hint="eastAsia"/>
          <w:kern w:val="2"/>
          <w:sz w:val="32"/>
          <w:szCs w:val="32"/>
          <w:lang w:val="en-US" w:bidi="ar-SA" w:eastAsia="zh-CN"/>
        </w:rPr>
      </w:pPr>
      <w:r>
        <w:rPr>
          <w:rFonts w:ascii="楷体_GB2312" w:cs="楷体_GB2312" w:eastAsia="楷体_GB2312" w:hAnsi="楷体_GB2312" w:hint="eastAsia"/>
          <w:kern w:val="2"/>
          <w:sz w:val="32"/>
          <w:szCs w:val="32"/>
          <w:lang w:val="en-US" w:bidi="ar-SA" w:eastAsia="zh-CN"/>
        </w:rPr>
        <w:t>（二）锚定规划谋长远，精准发力绘新篇</w:t>
      </w:r>
    </w:p>
    <w:p w14:paraId="0AEB13B6">
      <w:pPr>
        <w:pStyle w:val="style179"/>
        <w:keepNext w:val="false"/>
        <w:keepLines w:val="false"/>
        <w:pageBreakBefore w:val="false"/>
        <w:widowControl/>
        <w:kinsoku/>
        <w:wordWrap/>
        <w:overflowPunct/>
        <w:topLinePunct w:val="false"/>
        <w:autoSpaceDE/>
        <w:autoSpaceDN/>
        <w:bidi w:val="false"/>
        <w:adjustRightInd/>
        <w:snapToGrid/>
        <w:spacing w:lineRule="exact" w:line="576"/>
        <w:ind w:firstLine="640"/>
        <w:jc w:val="left"/>
        <w:textAlignment w:val="auto"/>
        <w:rPr>
          <w:rFonts w:ascii="仿宋_GB2312" w:cs="仿宋_GB2312" w:eastAsia="仿宋_GB2312" w:hAnsi="仿宋_GB2312" w:hint="eastAsia"/>
          <w:kern w:val="2"/>
          <w:sz w:val="32"/>
          <w:szCs w:val="32"/>
          <w:lang w:val="en-US" w:bidi="ar-SA" w:eastAsia="zh-CN"/>
        </w:rPr>
      </w:pPr>
      <w:r>
        <w:rPr>
          <w:rFonts w:ascii="仿宋_GB2312" w:cs="仿宋_GB2312" w:eastAsia="仿宋_GB2312" w:hAnsi="仿宋_GB2312" w:hint="eastAsia"/>
          <w:kern w:val="2"/>
          <w:sz w:val="32"/>
          <w:szCs w:val="32"/>
          <w:lang w:val="en-US" w:bidi="ar-SA" w:eastAsia="zh-CN"/>
        </w:rPr>
        <w:t>紧密对接国家及省市县“十五五”规划部署，结合县域法治实际开展各项工作。聚焦法治政府建设、基层治理现代化、法治化营商环境优化等关键领域，明确五年发展目标与实施路径。积极争取政策资源支持，为司法行政工作高质量发展筑牢基础。</w:t>
      </w:r>
    </w:p>
    <w:p w14:paraId="3EC423EC">
      <w:pPr>
        <w:pStyle w:val="style179"/>
        <w:keepNext w:val="false"/>
        <w:keepLines w:val="false"/>
        <w:pageBreakBefore w:val="false"/>
        <w:widowControl/>
        <w:kinsoku/>
        <w:wordWrap/>
        <w:overflowPunct/>
        <w:topLinePunct w:val="false"/>
        <w:autoSpaceDE/>
        <w:autoSpaceDN/>
        <w:bidi w:val="false"/>
        <w:adjustRightInd/>
        <w:snapToGrid/>
        <w:spacing w:lineRule="exact" w:line="576"/>
        <w:ind w:firstLine="640"/>
        <w:jc w:val="left"/>
        <w:textAlignment w:val="auto"/>
        <w:rPr>
          <w:rFonts w:ascii="楷体_GB2312" w:cs="楷体_GB2312" w:eastAsia="楷体_GB2312" w:hAnsi="楷体_GB2312" w:hint="eastAsia"/>
          <w:kern w:val="2"/>
          <w:sz w:val="32"/>
          <w:szCs w:val="32"/>
          <w:lang w:val="en-US" w:bidi="ar-SA" w:eastAsia="zh-CN"/>
        </w:rPr>
      </w:pPr>
      <w:r>
        <w:rPr>
          <w:rFonts w:ascii="楷体_GB2312" w:cs="楷体_GB2312" w:eastAsia="楷体_GB2312" w:hAnsi="楷体_GB2312" w:hint="eastAsia"/>
          <w:kern w:val="2"/>
          <w:sz w:val="32"/>
          <w:szCs w:val="32"/>
          <w:lang w:val="en-US" w:bidi="ar-SA" w:eastAsia="zh-CN"/>
        </w:rPr>
        <w:t>（三）依法治县强建设，提升治理新效能</w:t>
      </w:r>
    </w:p>
    <w:p w14:paraId="75D6BDC5">
      <w:pPr>
        <w:pStyle w:val="style179"/>
        <w:keepNext w:val="false"/>
        <w:keepLines w:val="false"/>
        <w:pageBreakBefore w:val="false"/>
        <w:widowControl/>
        <w:kinsoku/>
        <w:wordWrap/>
        <w:overflowPunct/>
        <w:topLinePunct w:val="false"/>
        <w:autoSpaceDE/>
        <w:autoSpaceDN/>
        <w:bidi w:val="false"/>
        <w:adjustRightInd/>
        <w:snapToGrid/>
        <w:spacing w:lineRule="exact" w:line="576"/>
        <w:ind w:firstLine="640"/>
        <w:jc w:val="left"/>
        <w:textAlignment w:val="auto"/>
        <w:rPr>
          <w:rFonts w:ascii="仿宋_GB2312" w:cs="仿宋_GB2312" w:eastAsia="仿宋_GB2312" w:hAnsi="仿宋_GB2312" w:hint="eastAsia"/>
          <w:kern w:val="2"/>
          <w:sz w:val="32"/>
          <w:szCs w:val="32"/>
          <w:lang w:val="en-US" w:bidi="ar-SA" w:eastAsia="zh-CN"/>
        </w:rPr>
      </w:pPr>
      <w:r>
        <w:rPr>
          <w:rFonts w:ascii="仿宋_GB2312" w:cs="仿宋_GB2312" w:eastAsia="仿宋_GB2312" w:hAnsi="仿宋_GB2312" w:hint="eastAsia"/>
          <w:kern w:val="2"/>
          <w:sz w:val="32"/>
          <w:szCs w:val="32"/>
          <w:lang w:val="en-US" w:bidi="ar-SA" w:eastAsia="zh-CN"/>
        </w:rPr>
        <w:t>发挥县委依法治县办统筹协调作用，推动“一规划两纲要”落地见效。强化法治督察考核，层层压实法治建设责任。深化基层依法治理，推进民主法治示范村（社区）创建，激活“法律明白人”基层治理效能。加强涉企法规政策立改废释，优化营商环境法治保障。</w:t>
      </w:r>
    </w:p>
    <w:p w14:paraId="2EC18506">
      <w:pPr>
        <w:pStyle w:val="style179"/>
        <w:keepNext w:val="false"/>
        <w:keepLines w:val="false"/>
        <w:pageBreakBefore w:val="false"/>
        <w:widowControl/>
        <w:kinsoku/>
        <w:wordWrap/>
        <w:overflowPunct/>
        <w:topLinePunct w:val="false"/>
        <w:autoSpaceDE/>
        <w:autoSpaceDN/>
        <w:bidi w:val="false"/>
        <w:adjustRightInd/>
        <w:snapToGrid/>
        <w:spacing w:lineRule="exact" w:line="576"/>
        <w:ind w:firstLine="640"/>
        <w:jc w:val="left"/>
        <w:textAlignment w:val="auto"/>
        <w:rPr>
          <w:rFonts w:ascii="仿宋_GB2312" w:cs="仿宋_GB2312" w:eastAsia="仿宋_GB2312" w:hAnsi="仿宋_GB2312" w:hint="eastAsia"/>
          <w:kern w:val="2"/>
          <w:sz w:val="32"/>
          <w:szCs w:val="32"/>
          <w:lang w:val="en-US" w:bidi="ar-SA" w:eastAsia="zh-CN"/>
        </w:rPr>
      </w:pPr>
      <w:r>
        <w:rPr>
          <w:rFonts w:ascii="楷体_GB2312" w:cs="楷体_GB2312" w:eastAsia="楷体_GB2312" w:hAnsi="楷体_GB2312" w:hint="eastAsia"/>
          <w:kern w:val="2"/>
          <w:sz w:val="32"/>
          <w:szCs w:val="32"/>
          <w:lang w:val="en-US" w:bidi="ar-SA" w:eastAsia="zh-CN"/>
        </w:rPr>
        <w:t>（四）锤炼铁军提能力，激发队伍内生力</w:t>
      </w:r>
    </w:p>
    <w:p w14:paraId="0AAC01A1">
      <w:pPr>
        <w:pStyle w:val="style179"/>
        <w:keepNext w:val="false"/>
        <w:keepLines w:val="false"/>
        <w:pageBreakBefore w:val="false"/>
        <w:widowControl/>
        <w:kinsoku/>
        <w:wordWrap/>
        <w:overflowPunct/>
        <w:topLinePunct w:val="false"/>
        <w:autoSpaceDE/>
        <w:autoSpaceDN/>
        <w:bidi w:val="false"/>
        <w:adjustRightInd/>
        <w:snapToGrid/>
        <w:spacing w:lineRule="exact" w:line="576"/>
        <w:ind w:firstLine="640"/>
        <w:jc w:val="left"/>
        <w:textAlignment w:val="auto"/>
        <w:rPr>
          <w:rFonts w:ascii="仿宋_GB2312" w:cs="仿宋_GB2312" w:eastAsia="仿宋_GB2312" w:hAnsi="仿宋_GB2312" w:hint="eastAsia"/>
          <w:kern w:val="2"/>
          <w:sz w:val="32"/>
          <w:szCs w:val="32"/>
          <w:lang w:val="en-US" w:bidi="ar-SA" w:eastAsia="zh-CN"/>
        </w:rPr>
      </w:pPr>
      <w:r>
        <w:rPr>
          <w:rFonts w:ascii="仿宋_GB2312" w:cs="仿宋_GB2312" w:eastAsia="仿宋_GB2312" w:hAnsi="仿宋_GB2312" w:hint="eastAsia"/>
          <w:kern w:val="2"/>
          <w:sz w:val="32"/>
          <w:szCs w:val="32"/>
          <w:lang w:val="en-US" w:bidi="ar-SA" w:eastAsia="zh-CN"/>
        </w:rPr>
        <w:t>构建“理论学习+业务实操”培训体系，提升干部法律适用、风险防控、群众工作能力。健全“重实干、重实绩”考核激励机制，加强年轻干部培养选拔，优化队伍结构。强化作风建设与履职监督，落实关心关爱举措，锻造忠诚干净担当的专业化队伍。</w:t>
      </w:r>
    </w:p>
    <w:p w14:paraId="47DAF69F">
      <w:pPr>
        <w:pStyle w:val="style179"/>
        <w:keepNext w:val="false"/>
        <w:keepLines w:val="false"/>
        <w:pageBreakBefore w:val="false"/>
        <w:widowControl/>
        <w:kinsoku/>
        <w:wordWrap/>
        <w:overflowPunct/>
        <w:topLinePunct w:val="false"/>
        <w:autoSpaceDE/>
        <w:autoSpaceDN/>
        <w:bidi w:val="false"/>
        <w:adjustRightInd/>
        <w:snapToGrid/>
        <w:spacing w:lineRule="exact" w:line="576"/>
        <w:ind w:left="0" w:leftChars="0" w:firstLine="640" w:firstLineChars="200"/>
        <w:jc w:val="left"/>
        <w:textAlignment w:val="auto"/>
        <w:rPr>
          <w:rFonts w:ascii="楷体_GB2312" w:cs="楷体_GB2312" w:eastAsia="楷体_GB2312" w:hAnsi="楷体_GB2312" w:hint="eastAsia"/>
          <w:kern w:val="2"/>
          <w:sz w:val="32"/>
          <w:szCs w:val="32"/>
          <w:lang w:val="en-US" w:bidi="ar-SA" w:eastAsia="zh-CN"/>
        </w:rPr>
      </w:pPr>
      <w:r>
        <w:rPr>
          <w:rFonts w:ascii="楷体_GB2312" w:cs="楷体_GB2312" w:eastAsia="楷体_GB2312" w:hAnsi="楷体_GB2312" w:hint="eastAsia"/>
          <w:kern w:val="2"/>
          <w:sz w:val="32"/>
          <w:szCs w:val="32"/>
          <w:lang w:val="en-US" w:bidi="ar-SA" w:eastAsia="zh-CN"/>
        </w:rPr>
        <w:t>（五）聚焦主业提质效，精准服务惠民生</w:t>
      </w:r>
    </w:p>
    <w:p w14:paraId="61EE6CF4">
      <w:pPr>
        <w:pStyle w:val="style179"/>
        <w:keepNext w:val="false"/>
        <w:keepLines w:val="false"/>
        <w:pageBreakBefore w:val="false"/>
        <w:widowControl/>
        <w:kinsoku/>
        <w:wordWrap/>
        <w:overflowPunct/>
        <w:topLinePunct w:val="false"/>
        <w:autoSpaceDE/>
        <w:autoSpaceDN/>
        <w:bidi w:val="false"/>
        <w:adjustRightInd/>
        <w:snapToGrid/>
        <w:spacing w:lineRule="exact" w:line="576"/>
        <w:ind w:firstLine="640"/>
        <w:jc w:val="left"/>
        <w:textAlignment w:val="auto"/>
        <w:rPr>
          <w:rFonts w:ascii="仿宋_GB2312" w:cs="仿宋_GB2312" w:eastAsia="仿宋_GB2312" w:hAnsi="仿宋_GB2312" w:hint="eastAsia"/>
          <w:kern w:val="2"/>
          <w:sz w:val="32"/>
          <w:szCs w:val="32"/>
          <w:lang w:val="en-US" w:bidi="ar-SA" w:eastAsia="zh-CN"/>
        </w:rPr>
      </w:pPr>
      <w:r>
        <w:rPr>
          <w:rFonts w:ascii="仿宋_GB2312" w:cs="仿宋_GB2312" w:eastAsia="仿宋_GB2312" w:hAnsi="仿宋_GB2312" w:hint="eastAsia"/>
          <w:kern w:val="2"/>
          <w:sz w:val="32"/>
          <w:szCs w:val="32"/>
          <w:lang w:val="en-US" w:bidi="ar-SA" w:eastAsia="zh-CN"/>
        </w:rPr>
        <w:t>持续开展“九五”普法与“法律六进”，提升全民法治素养；推进行政执法减免责“四张清单”落实，严格规范涉企行政执法。整合县乡村三级法律服务资源，深化法律援助与人民调解质效。深化行政复议体制改革，提升办案质效促争议化解。严把重大决策、规范性文件合法性审查关，推进“智慧矫正”建设降低在矫人员再犯风险。</w:t>
      </w:r>
    </w:p>
    <w:p w14:paraId="53F9A212">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仿宋_GB2312" w:cs="仿宋_GB2312" w:eastAsia="仿宋_GB2312" w:hAnsi="仿宋_GB2312" w:hint="eastAsia"/>
          <w:sz w:val="32"/>
          <w:szCs w:val="32"/>
          <w:lang w:val="en-US" w:eastAsia="zh-CN"/>
        </w:rPr>
      </w:pPr>
    </w:p>
    <w:p w14:paraId="6DC183D0">
      <w:pPr>
        <w:pStyle w:val="style0"/>
        <w:keepNext w:val="false"/>
        <w:keepLines w:val="false"/>
        <w:pageBreakBefore w:val="false"/>
        <w:kinsoku/>
        <w:wordWrap/>
        <w:overflowPunct/>
        <w:topLinePunct w:val="false"/>
        <w:autoSpaceDE/>
        <w:autoSpaceDN/>
        <w:bidi w:val="false"/>
        <w:adjustRightInd/>
        <w:snapToGrid/>
        <w:spacing w:lineRule="exact" w:line="560"/>
        <w:jc w:val="both"/>
        <w:textAlignment w:val="auto"/>
        <w:rPr>
          <w:rFonts w:ascii="方正小标宋简体" w:cs="方正小标宋简体" w:eastAsia="方正小标宋简体" w:hAnsi="方正小标宋简体" w:hint="eastAsia"/>
          <w:sz w:val="44"/>
          <w:szCs w:val="44"/>
          <w:lang w:val="en-US" w:eastAsia="zh-CN"/>
        </w:rPr>
      </w:pPr>
    </w:p>
    <w:sectPr>
      <w:footerReference w:type="default" r:id="rId2"/>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1"/>
    <w:family w:val="auto"/>
    <w:pitch w:val="default"/>
    <w:sig w:usb0="E0002EFF" w:usb1="C000785B" w:usb2="00000009" w:usb3="00000000" w:csb0="400001FF" w:csb1="FFFF0000"/>
  </w:font>
  <w:font w:name="宋体">
    <w:altName w:val="宋体"/>
    <w:panose1 w:val="02010600030001010101"/>
    <w:charset w:val="7a"/>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方正小标宋简体">
    <w:altName w:val="方正小标宋简体"/>
    <w:panose1 w:val="02000000000000000000"/>
    <w:charset w:val="86"/>
    <w:family w:val="auto"/>
    <w:pitch w:val="default"/>
    <w:sig w:usb0="00000001" w:usb1="08000000" w:usb2="00000000" w:usb3="00000000" w:csb0="00040000" w:csb1="00000000"/>
  </w:font>
  <w:font w:name="仿宋_GB2312">
    <w:altName w:val="仿宋_GB2312"/>
    <w:panose1 w:val="02010609030001010101"/>
    <w:charset w:val="86"/>
    <w:family w:val="auto"/>
    <w:pitch w:val="default"/>
    <w:sig w:usb0="00000001" w:usb1="080E0000" w:usb2="00000000" w:usb3="00000000" w:csb0="00040000" w:csb1="00000000"/>
  </w:font>
  <w:font w:name="楷体_GB2312">
    <w:altName w:val="楷体_GB2312"/>
    <w:panose1 w:val="02010609030001010101"/>
    <w:charset w:val="86"/>
    <w:family w:val="modern"/>
    <w:pitch w:val="default"/>
    <w:sig w:usb0="00000001" w:usb1="080E0000" w:usb2="00000000" w:usb3="00000000" w:csb0="0004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7DFF5276">
    <w:pPr>
      <w:pStyle w:val="style32"/>
      <w:rPr/>
    </w:pPr>
    <w:r>
      <w:rPr>
        <w:sz w:val="18"/>
      </w:rPr>
      <mc:AlternateContent>
        <mc:Choice Requires="wps">
          <w:drawing>
            <wp:anchor distT="0" distB="0" distL="0" distR="0" simplePos="false" relativeHeight="2" behindDoc="false" locked="false" layoutInCell="true" allowOverlap="true">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14:paraId="075965E4">
                          <w:pPr>
                            <w:pStyle w:val="style3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lIns="0" rIns="0" tIns="0" bIns="0" vert="horz" anchor="t" wrap="none" upright="false">
                      <a:prstTxWarp prst="textNoShape"/>
                      <a:spAutoFit/>
                    </wps:bodyPr>
                  </wps:wsp>
                </a:graphicData>
              </a:graphic>
            </wp:anchor>
          </w:drawing>
        </mc:Choice>
        <mc:Fallback>
          <w:pict>
            <v:rect id="4097" filled="f" stroked="f" style="position:absolute;margin-left:0.0pt;margin-top:0.0pt;width:144.0pt;height:144.0pt;z-index:2;mso-position-horizontal:outside;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14:paraId="075965E4">
                    <w:pPr>
                      <w:pStyle w:val="style3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90"/>
  <w:embedTrueTypeFonts/>
  <w:saveSubset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character" w:default="1" w:styleId="style65">
    <w:name w:val="Default Paragraph Font"/>
    <w:next w:val="style65"/>
    <w:qFormat/>
    <w:uiPriority w:val="0"/>
  </w:style>
  <w:style w:type="table" w:default="1" w:styleId="style105">
    <w:name w:val="Normal Table"/>
    <w:next w:val="style105"/>
    <w:uiPriority w:val="0"/>
    <w:pPr/>
    <w:rPr/>
    <w:tblPr>
      <w:tblCellMar>
        <w:top w:w="0" w:type="dxa"/>
        <w:left w:w="108" w:type="dxa"/>
        <w:bottom w:w="0" w:type="dxa"/>
        <w:right w:w="108" w:type="dxa"/>
      </w:tblCellMar>
    </w:tblPr>
    <w:tcPr>
      <w:tcBorders/>
    </w:tcPr>
  </w:style>
  <w:style w:type="paragraph" w:styleId="style28">
    <w:name w:val="Normal Indent"/>
    <w:basedOn w:val="style0"/>
    <w:next w:val="style28"/>
    <w:qFormat/>
    <w:uiPriority w:val="0"/>
    <w:pPr>
      <w:ind w:firstLine="420" w:firstLineChars="200"/>
    </w:pPr>
    <w:rPr/>
  </w:style>
  <w:style w:type="paragraph" w:styleId="style32">
    <w:name w:val="footer"/>
    <w:basedOn w:val="style0"/>
    <w:next w:val="style32"/>
    <w:uiPriority w:val="0"/>
    <w:pPr>
      <w:tabs>
        <w:tab w:val="center" w:leader="none" w:pos="4153"/>
        <w:tab w:val="right" w:leader="none" w:pos="8306"/>
      </w:tabs>
      <w:snapToGrid w:val="false"/>
      <w:jc w:val="left"/>
    </w:pPr>
    <w:rPr>
      <w:sz w:val="18"/>
    </w:rPr>
  </w:style>
  <w:style w:type="paragraph" w:styleId="style31">
    <w:name w:val="header"/>
    <w:basedOn w:val="style0"/>
    <w:next w:val="style31"/>
    <w:uiPriority w:val="0"/>
    <w:pPr>
      <w:pBdr>
        <w:left w:val="none" w:sz="0" w:space="4" w:color="auto"/>
        <w:right w:val="none" w:sz="0" w:space="4" w:color="auto"/>
        <w:top w:val="none" w:sz="0" w:space="1" w:color="auto"/>
        <w:bottom w:val="none" w:sz="0" w:space="1" w:color="auto"/>
      </w:pBdr>
      <w:tabs>
        <w:tab w:val="center" w:leader="none" w:pos="4153"/>
        <w:tab w:val="right" w:leader="none" w:pos="8306"/>
      </w:tabs>
      <w:snapToGrid w:val="false"/>
      <w:spacing w:lineRule="auto" w:line="240"/>
      <w:jc w:val="both"/>
      <w:outlineLvl w:val="9"/>
    </w:pPr>
    <w:rPr>
      <w:sz w:val="18"/>
    </w:rPr>
  </w:style>
  <w:style w:type="character" w:styleId="style87">
    <w:name w:val="Strong"/>
    <w:basedOn w:val="style65"/>
    <w:next w:val="style87"/>
    <w:qFormat/>
    <w:uiPriority w:val="0"/>
    <w:rPr>
      <w:b/>
    </w:rPr>
  </w:style>
  <w:style w:type="paragraph" w:styleId="style179">
    <w:name w:val="List Paragraph"/>
    <w:basedOn w:val="style0"/>
    <w:next w:val="style179"/>
    <w:qFormat/>
    <w:uiPriority w:val="99"/>
    <w:pPr>
      <w:ind w:firstLine="420" w:firstLineChars="20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3686</Words>
  <Pages>8</Pages>
  <Characters>3801</Characters>
  <Application>WPS Office</Application>
  <DocSecurity>0</DocSecurity>
  <Paragraphs>54</Paragraphs>
  <ScaleCrop>false</ScaleCrop>
  <LinksUpToDate>false</LinksUpToDate>
  <CharactersWithSpaces>3801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2026-01-23T04:38:20Z</dcterms:created>
  <dc:creator>SFJ</dc:creator>
  <lastModifiedBy>OCE-AN10</lastModifiedBy>
  <dcterms:modified xsi:type="dcterms:W3CDTF">2026-03-26T07:18:25Z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eyJoZGlkIjoiZWY3MjIxNDU4NGU1MDFiNzA2MjRkMDZjNzIzNTNhNjEiLCJ1c2VySWQiOiI5MDYxNDkzIn0=</vt:lpwstr>
  </property>
  <property fmtid="{D5CDD505-2E9C-101B-9397-08002B2CF9AE}" pid="4" name="ICV">
    <vt:lpwstr>0f1724e9843743ad8c649f1283ab71b0_23</vt:lpwstr>
  </property>
</Properties>
</file>