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193DD">
      <w:pPr>
        <w:spacing w:before="110" w:line="224" w:lineRule="auto"/>
        <w:rPr>
          <w:rFonts w:ascii="黑体" w:hAnsi="黑体" w:eastAsia="黑体" w:cs="黑体"/>
          <w:spacing w:val="3"/>
          <w:sz w:val="34"/>
          <w:szCs w:val="34"/>
          <w14:textOutline w14:w="6172" w14:cap="flat" w14:cmpd="sng" w14:algn="ctr">
            <w14:solidFill>
              <w14:srgbClr w14:val="000000"/>
            </w14:solidFill>
            <w14:prstDash w14:val="solid"/>
            <w14:miter w14:val="0"/>
          </w14:textOutline>
        </w:rPr>
      </w:pPr>
    </w:p>
    <w:p w14:paraId="0DB01BCF">
      <w:pPr>
        <w:spacing w:before="110" w:line="224" w:lineRule="auto"/>
        <w:rPr>
          <w:rFonts w:ascii="黑体" w:hAnsi="黑体" w:eastAsia="黑体" w:cs="黑体"/>
          <w:sz w:val="34"/>
          <w:szCs w:val="34"/>
        </w:rPr>
      </w:pPr>
      <w:r>
        <w:rPr>
          <w:rFonts w:ascii="黑体" w:hAnsi="黑体" w:eastAsia="黑体" w:cs="黑体"/>
          <w:spacing w:val="3"/>
          <w:sz w:val="34"/>
          <w:szCs w:val="34"/>
          <w14:textOutline w14:w="6172" w14:cap="flat" w14:cmpd="sng" w14:algn="ctr">
            <w14:solidFill>
              <w14:srgbClr w14:val="000000"/>
            </w14:solidFill>
            <w14:prstDash w14:val="solid"/>
            <w14:miter w14:val="0"/>
          </w14:textOutline>
        </w:rPr>
        <w:t>附件</w:t>
      </w:r>
      <w:r>
        <w:rPr>
          <w:rFonts w:hint="eastAsia" w:ascii="黑体" w:hAnsi="黑体" w:eastAsia="黑体" w:cs="黑体"/>
          <w:spacing w:val="3"/>
          <w:sz w:val="34"/>
          <w:szCs w:val="34"/>
          <w14:textOutline w14:w="6172" w14:cap="flat" w14:cmpd="sng" w14:algn="ctr">
            <w14:solidFill>
              <w14:srgbClr w14:val="000000"/>
            </w14:solidFill>
            <w14:prstDash w14:val="solid"/>
            <w14:miter w14:val="0"/>
          </w14:textOutline>
        </w:rPr>
        <w:t>1</w:t>
      </w:r>
    </w:p>
    <w:p w14:paraId="3CD3DAE1">
      <w:pPr>
        <w:spacing w:line="289" w:lineRule="auto"/>
        <w:jc w:val="center"/>
      </w:pPr>
    </w:p>
    <w:p w14:paraId="400F1B7F">
      <w:pPr>
        <w:spacing w:line="290" w:lineRule="auto"/>
        <w:jc w:val="center"/>
      </w:pPr>
    </w:p>
    <w:p w14:paraId="29160B09">
      <w:pPr>
        <w:widowControl w:val="0"/>
        <w:kinsoku/>
        <w:autoSpaceDE/>
        <w:autoSpaceDN/>
        <w:adjustRightInd/>
        <w:snapToGrid/>
        <w:spacing w:line="860" w:lineRule="exact"/>
        <w:jc w:val="center"/>
        <w:textAlignment w:val="auto"/>
        <w:rPr>
          <w:rFonts w:ascii="方正大标宋简体" w:hAnsi="Times New Roman" w:eastAsia="方正大标宋简体" w:cs="Times New Roman"/>
          <w:snapToGrid/>
          <w:kern w:val="2"/>
          <w:sz w:val="44"/>
          <w:szCs w:val="44"/>
        </w:rPr>
      </w:pPr>
      <w:r>
        <w:rPr>
          <w:rFonts w:hint="eastAsia" w:ascii="方正大标宋简体" w:hAnsi="Times New Roman" w:eastAsia="方正大标宋简体" w:cs="Times New Roman"/>
          <w:snapToGrid/>
          <w:kern w:val="2"/>
          <w:sz w:val="44"/>
          <w:szCs w:val="44"/>
        </w:rPr>
        <w:t>浮梁县</w:t>
      </w:r>
      <w:r>
        <w:rPr>
          <w:rFonts w:hint="eastAsia" w:ascii="方正大标宋简体" w:hAnsi="Times New Roman" w:eastAsia="方正大标宋简体" w:cs="Times New Roman"/>
          <w:snapToGrid/>
          <w:kern w:val="2"/>
          <w:sz w:val="44"/>
          <w:szCs w:val="44"/>
          <w:lang w:eastAsia="zh-CN"/>
        </w:rPr>
        <w:t>司法</w:t>
      </w:r>
      <w:r>
        <w:rPr>
          <w:rFonts w:hint="eastAsia" w:ascii="方正大标宋简体" w:hAnsi="Times New Roman" w:eastAsia="方正大标宋简体" w:cs="Times New Roman"/>
          <w:snapToGrid/>
          <w:kern w:val="2"/>
          <w:sz w:val="44"/>
          <w:szCs w:val="44"/>
        </w:rPr>
        <w:t>局 2025年部门预算</w:t>
      </w:r>
    </w:p>
    <w:p w14:paraId="28D58B17">
      <w:pPr>
        <w:widowControl w:val="0"/>
        <w:kinsoku/>
        <w:autoSpaceDE/>
        <w:autoSpaceDN/>
        <w:adjustRightInd/>
        <w:snapToGrid/>
        <w:spacing w:line="860" w:lineRule="exact"/>
        <w:jc w:val="center"/>
        <w:textAlignment w:val="auto"/>
        <w:rPr>
          <w:rFonts w:ascii="方正大标宋简体" w:hAnsi="Times New Roman" w:eastAsia="方正大标宋简体" w:cs="Times New Roman"/>
          <w:snapToGrid/>
          <w:kern w:val="2"/>
          <w:sz w:val="44"/>
          <w:szCs w:val="44"/>
        </w:rPr>
      </w:pPr>
    </w:p>
    <w:p w14:paraId="31C0DD5B">
      <w:pPr>
        <w:spacing w:before="143" w:line="219" w:lineRule="auto"/>
        <w:ind w:firstLine="1146"/>
        <w:jc w:val="center"/>
        <w:rPr>
          <w:rFonts w:ascii="宋体" w:hAnsi="宋体" w:eastAsia="宋体" w:cs="宋体"/>
          <w:spacing w:val="2"/>
          <w:sz w:val="44"/>
          <w:szCs w:val="44"/>
          <w14:textOutline w14:w="7988" w14:cap="flat" w14:cmpd="sng" w14:algn="ctr">
            <w14:solidFill>
              <w14:srgbClr w14:val="000000"/>
            </w14:solidFill>
            <w14:prstDash w14:val="solid"/>
            <w14:miter w14:val="0"/>
          </w14:textOutline>
        </w:rPr>
      </w:pPr>
    </w:p>
    <w:p w14:paraId="51A52ADC">
      <w:pPr>
        <w:spacing w:line="334" w:lineRule="auto"/>
      </w:pPr>
    </w:p>
    <w:p w14:paraId="2894A302">
      <w:pPr>
        <w:spacing w:line="334" w:lineRule="auto"/>
        <w:rPr>
          <w:rFonts w:eastAsia="宋体"/>
        </w:rPr>
      </w:pPr>
    </w:p>
    <w:p w14:paraId="2A955F14">
      <w:pPr>
        <w:widowControl w:val="0"/>
        <w:kinsoku/>
        <w:autoSpaceDE/>
        <w:autoSpaceDN/>
        <w:adjustRightInd/>
        <w:snapToGrid/>
        <w:jc w:val="center"/>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目    录</w:t>
      </w:r>
    </w:p>
    <w:p w14:paraId="1D723388">
      <w:pPr>
        <w:spacing w:line="347" w:lineRule="auto"/>
      </w:pPr>
    </w:p>
    <w:p w14:paraId="5ABA9F95">
      <w:pPr>
        <w:spacing w:line="347" w:lineRule="auto"/>
      </w:pPr>
    </w:p>
    <w:p w14:paraId="40F05F02">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第一部分 浮梁县</w:t>
      </w:r>
      <w:r>
        <w:rPr>
          <w:rFonts w:hint="eastAsia" w:ascii="黑体" w:hAnsi="黑体" w:eastAsia="黑体" w:cs="黑体"/>
          <w:snapToGrid/>
          <w:kern w:val="2"/>
          <w:sz w:val="32"/>
          <w:szCs w:val="32"/>
          <w:lang w:eastAsia="zh-CN"/>
        </w:rPr>
        <w:t>司法</w:t>
      </w:r>
      <w:r>
        <w:rPr>
          <w:rFonts w:hint="eastAsia" w:ascii="黑体" w:hAnsi="黑体" w:eastAsia="黑体" w:cs="黑体"/>
          <w:snapToGrid/>
          <w:kern w:val="2"/>
          <w:sz w:val="32"/>
          <w:szCs w:val="32"/>
        </w:rPr>
        <w:t>局概况</w:t>
      </w:r>
    </w:p>
    <w:p w14:paraId="4B54B176">
      <w:pPr>
        <w:spacing w:before="207"/>
        <w:ind w:firstLine="632" w:firstLineChars="200"/>
        <w:rPr>
          <w:rFonts w:ascii="楷体" w:hAnsi="楷体" w:eastAsia="楷体" w:cs="楷体"/>
          <w:spacing w:val="-2"/>
          <w:sz w:val="32"/>
          <w:szCs w:val="32"/>
        </w:rPr>
      </w:pPr>
      <w:r>
        <w:rPr>
          <w:rFonts w:ascii="楷体" w:hAnsi="楷体" w:eastAsia="楷体" w:cs="楷体"/>
          <w:spacing w:val="-2"/>
          <w:sz w:val="32"/>
          <w:szCs w:val="32"/>
        </w:rPr>
        <w:t>一、部门主要职责</w:t>
      </w:r>
    </w:p>
    <w:p w14:paraId="10366B5B">
      <w:pPr>
        <w:numPr>
          <w:ilvl w:val="0"/>
          <w:numId w:val="1"/>
        </w:numPr>
        <w:spacing w:before="200"/>
        <w:ind w:firstLine="644" w:firstLineChars="200"/>
        <w:rPr>
          <w:rFonts w:ascii="楷体" w:hAnsi="楷体" w:eastAsia="楷体" w:cs="楷体"/>
          <w:spacing w:val="1"/>
          <w:sz w:val="32"/>
          <w:szCs w:val="32"/>
        </w:rPr>
      </w:pPr>
      <w:r>
        <w:rPr>
          <w:rFonts w:ascii="楷体" w:hAnsi="楷体" w:eastAsia="楷体" w:cs="楷体"/>
          <w:spacing w:val="1"/>
          <w:sz w:val="32"/>
          <w:szCs w:val="32"/>
        </w:rPr>
        <w:t>机构设置及人员情况</w:t>
      </w:r>
    </w:p>
    <w:p w14:paraId="222C8197">
      <w:pPr>
        <w:numPr>
          <w:ilvl w:val="0"/>
          <w:numId w:val="0"/>
        </w:numPr>
        <w:spacing w:before="200"/>
        <w:rPr>
          <w:rFonts w:ascii="楷体" w:hAnsi="楷体" w:eastAsia="楷体" w:cs="楷体"/>
          <w:spacing w:val="1"/>
          <w:sz w:val="32"/>
          <w:szCs w:val="32"/>
        </w:rPr>
      </w:pPr>
    </w:p>
    <w:p w14:paraId="79D9D4A3">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第二部分 浮梁县</w:t>
      </w:r>
      <w:r>
        <w:rPr>
          <w:rFonts w:hint="eastAsia" w:ascii="黑体" w:hAnsi="黑体" w:eastAsia="黑体" w:cs="黑体"/>
          <w:snapToGrid/>
          <w:kern w:val="2"/>
          <w:sz w:val="32"/>
          <w:szCs w:val="32"/>
          <w:lang w:eastAsia="zh-CN"/>
        </w:rPr>
        <w:t>司法</w:t>
      </w:r>
      <w:r>
        <w:rPr>
          <w:rFonts w:hint="eastAsia" w:ascii="黑体" w:hAnsi="黑体" w:eastAsia="黑体" w:cs="黑体"/>
          <w:snapToGrid/>
          <w:kern w:val="2"/>
          <w:sz w:val="32"/>
          <w:szCs w:val="32"/>
        </w:rPr>
        <w:t>局2025年部门预算表</w:t>
      </w:r>
    </w:p>
    <w:p w14:paraId="7ADD5801">
      <w:pPr>
        <w:spacing w:before="200"/>
        <w:ind w:firstLine="644" w:firstLineChars="200"/>
        <w:rPr>
          <w:rFonts w:ascii="楷体" w:hAnsi="楷体" w:eastAsia="楷体" w:cs="楷体"/>
          <w:color w:val="auto"/>
          <w:spacing w:val="1"/>
          <w:sz w:val="32"/>
          <w:szCs w:val="32"/>
        </w:rPr>
      </w:pPr>
      <w:r>
        <w:rPr>
          <w:rFonts w:hint="eastAsia" w:ascii="楷体" w:hAnsi="楷体" w:eastAsia="楷体" w:cs="楷体"/>
          <w:color w:val="auto"/>
          <w:spacing w:val="1"/>
          <w:sz w:val="32"/>
          <w:szCs w:val="32"/>
        </w:rPr>
        <w:t>一、《收支预算总表》</w:t>
      </w:r>
    </w:p>
    <w:p w14:paraId="38F8B8CD">
      <w:pPr>
        <w:spacing w:before="200"/>
        <w:ind w:firstLine="644" w:firstLineChars="200"/>
        <w:rPr>
          <w:rFonts w:ascii="楷体" w:hAnsi="楷体" w:eastAsia="楷体" w:cs="楷体"/>
          <w:color w:val="auto"/>
          <w:spacing w:val="1"/>
          <w:sz w:val="32"/>
          <w:szCs w:val="32"/>
        </w:rPr>
      </w:pPr>
      <w:r>
        <w:rPr>
          <w:rFonts w:hint="eastAsia" w:ascii="楷体" w:hAnsi="楷体" w:eastAsia="楷体" w:cs="楷体"/>
          <w:color w:val="auto"/>
          <w:spacing w:val="1"/>
          <w:sz w:val="32"/>
          <w:szCs w:val="32"/>
        </w:rPr>
        <w:t>二、《部门收入总表》</w:t>
      </w:r>
    </w:p>
    <w:p w14:paraId="1DD6F5F6">
      <w:pPr>
        <w:spacing w:before="200"/>
        <w:ind w:firstLine="644" w:firstLineChars="200"/>
        <w:rPr>
          <w:rFonts w:ascii="楷体" w:hAnsi="楷体" w:eastAsia="楷体" w:cs="楷体"/>
          <w:color w:val="auto"/>
          <w:spacing w:val="1"/>
          <w:sz w:val="32"/>
          <w:szCs w:val="32"/>
        </w:rPr>
      </w:pPr>
      <w:r>
        <w:rPr>
          <w:rFonts w:hint="eastAsia" w:ascii="楷体" w:hAnsi="楷体" w:eastAsia="楷体" w:cs="楷体"/>
          <w:color w:val="auto"/>
          <w:spacing w:val="1"/>
          <w:sz w:val="32"/>
          <w:szCs w:val="32"/>
        </w:rPr>
        <w:t>三、《部门支出总表》</w:t>
      </w:r>
    </w:p>
    <w:p w14:paraId="4903996D">
      <w:pPr>
        <w:spacing w:before="200"/>
        <w:ind w:firstLine="644" w:firstLineChars="200"/>
        <w:rPr>
          <w:rFonts w:ascii="楷体" w:hAnsi="楷体" w:eastAsia="楷体" w:cs="楷体"/>
          <w:color w:val="auto"/>
          <w:spacing w:val="1"/>
          <w:sz w:val="32"/>
          <w:szCs w:val="32"/>
        </w:rPr>
      </w:pPr>
      <w:r>
        <w:rPr>
          <w:rFonts w:hint="eastAsia" w:ascii="楷体" w:hAnsi="楷体" w:eastAsia="楷体" w:cs="楷体"/>
          <w:color w:val="auto"/>
          <w:spacing w:val="1"/>
          <w:sz w:val="32"/>
          <w:szCs w:val="32"/>
        </w:rPr>
        <w:t>四、《财政拨款收支总表》</w:t>
      </w:r>
    </w:p>
    <w:p w14:paraId="60D22021">
      <w:pPr>
        <w:spacing w:before="200"/>
        <w:ind w:firstLine="644" w:firstLineChars="200"/>
        <w:rPr>
          <w:rFonts w:ascii="楷体" w:hAnsi="楷体" w:eastAsia="楷体" w:cs="楷体"/>
          <w:color w:val="auto"/>
          <w:spacing w:val="1"/>
          <w:sz w:val="32"/>
          <w:szCs w:val="32"/>
        </w:rPr>
      </w:pPr>
      <w:r>
        <w:rPr>
          <w:rFonts w:hint="eastAsia" w:ascii="楷体" w:hAnsi="楷体" w:eastAsia="楷体" w:cs="楷体"/>
          <w:color w:val="auto"/>
          <w:spacing w:val="1"/>
          <w:sz w:val="32"/>
          <w:szCs w:val="32"/>
        </w:rPr>
        <w:t>五、《一般公共预算支出表》</w:t>
      </w:r>
    </w:p>
    <w:p w14:paraId="2D3A19B3">
      <w:pPr>
        <w:spacing w:before="200"/>
        <w:ind w:firstLine="644" w:firstLineChars="200"/>
        <w:rPr>
          <w:rFonts w:ascii="楷体" w:hAnsi="楷体" w:eastAsia="楷体" w:cs="楷体"/>
          <w:color w:val="auto"/>
          <w:spacing w:val="1"/>
          <w:sz w:val="32"/>
          <w:szCs w:val="32"/>
        </w:rPr>
      </w:pPr>
      <w:r>
        <w:rPr>
          <w:rFonts w:hint="eastAsia" w:ascii="楷体" w:hAnsi="楷体" w:eastAsia="楷体" w:cs="楷体"/>
          <w:color w:val="auto"/>
          <w:spacing w:val="1"/>
          <w:sz w:val="32"/>
          <w:szCs w:val="32"/>
        </w:rPr>
        <w:t>六、《一般公共预算基本支出表》</w:t>
      </w:r>
    </w:p>
    <w:p w14:paraId="0DF6A0BC">
      <w:pPr>
        <w:spacing w:before="200"/>
        <w:ind w:firstLine="644" w:firstLineChars="200"/>
        <w:rPr>
          <w:rFonts w:ascii="楷体" w:hAnsi="楷体" w:eastAsia="楷体" w:cs="楷体"/>
          <w:color w:val="auto"/>
          <w:spacing w:val="1"/>
          <w:sz w:val="32"/>
          <w:szCs w:val="32"/>
        </w:rPr>
      </w:pPr>
      <w:r>
        <w:rPr>
          <w:rFonts w:hint="eastAsia" w:ascii="楷体" w:hAnsi="楷体" w:eastAsia="楷体" w:cs="楷体"/>
          <w:color w:val="auto"/>
          <w:spacing w:val="1"/>
          <w:sz w:val="32"/>
          <w:szCs w:val="32"/>
        </w:rPr>
        <w:t>七、《一般公共预算"三公"经费支出表》</w:t>
      </w:r>
    </w:p>
    <w:p w14:paraId="5FF8DCB8">
      <w:pPr>
        <w:spacing w:before="200"/>
        <w:ind w:firstLine="644" w:firstLineChars="200"/>
        <w:rPr>
          <w:rFonts w:ascii="楷体" w:hAnsi="楷体" w:eastAsia="楷体" w:cs="楷体"/>
          <w:color w:val="auto"/>
          <w:spacing w:val="1"/>
          <w:sz w:val="32"/>
          <w:szCs w:val="32"/>
        </w:rPr>
      </w:pPr>
      <w:r>
        <w:rPr>
          <w:rFonts w:hint="eastAsia" w:ascii="楷体" w:hAnsi="楷体" w:eastAsia="楷体" w:cs="楷体"/>
          <w:color w:val="auto"/>
          <w:spacing w:val="1"/>
          <w:sz w:val="32"/>
          <w:szCs w:val="32"/>
        </w:rPr>
        <w:t>八、《政府性基金预算支出表》</w:t>
      </w:r>
    </w:p>
    <w:p w14:paraId="7953D2A7">
      <w:pPr>
        <w:spacing w:before="200"/>
        <w:ind w:firstLine="644" w:firstLineChars="200"/>
        <w:rPr>
          <w:rFonts w:ascii="楷体" w:hAnsi="楷体" w:eastAsia="楷体" w:cs="楷体"/>
          <w:color w:val="auto"/>
          <w:spacing w:val="1"/>
          <w:sz w:val="32"/>
          <w:szCs w:val="32"/>
        </w:rPr>
      </w:pPr>
      <w:r>
        <w:rPr>
          <w:rFonts w:hint="eastAsia" w:ascii="楷体" w:hAnsi="楷体" w:eastAsia="楷体" w:cs="楷体"/>
          <w:color w:val="auto"/>
          <w:spacing w:val="1"/>
          <w:sz w:val="32"/>
          <w:szCs w:val="32"/>
        </w:rPr>
        <w:t>九、《国有资本经营预算支出表》</w:t>
      </w:r>
    </w:p>
    <w:p w14:paraId="53F5AA28">
      <w:pPr>
        <w:spacing w:before="200"/>
        <w:ind w:firstLine="644" w:firstLineChars="200"/>
        <w:rPr>
          <w:rFonts w:ascii="楷体" w:hAnsi="楷体" w:eastAsia="楷体" w:cs="楷体"/>
          <w:color w:val="auto"/>
          <w:spacing w:val="1"/>
          <w:sz w:val="32"/>
          <w:szCs w:val="32"/>
        </w:rPr>
      </w:pPr>
      <w:r>
        <w:rPr>
          <w:rFonts w:hint="eastAsia" w:ascii="楷体" w:hAnsi="楷体" w:eastAsia="楷体" w:cs="楷体"/>
          <w:color w:val="auto"/>
          <w:spacing w:val="1"/>
          <w:sz w:val="32"/>
          <w:szCs w:val="32"/>
        </w:rPr>
        <w:t>十、《部门整体支出绩效目标表》</w:t>
      </w:r>
    </w:p>
    <w:p w14:paraId="37DD5078">
      <w:pPr>
        <w:spacing w:before="200"/>
        <w:ind w:firstLine="644" w:firstLineChars="200"/>
        <w:rPr>
          <w:rFonts w:hint="eastAsia" w:ascii="楷体" w:hAnsi="楷体" w:eastAsia="楷体" w:cs="楷体"/>
          <w:color w:val="auto"/>
          <w:spacing w:val="1"/>
          <w:sz w:val="32"/>
          <w:szCs w:val="32"/>
        </w:rPr>
      </w:pPr>
      <w:r>
        <w:rPr>
          <w:rFonts w:hint="eastAsia" w:ascii="楷体" w:hAnsi="楷体" w:eastAsia="楷体" w:cs="楷体"/>
          <w:color w:val="auto"/>
          <w:spacing w:val="1"/>
          <w:sz w:val="32"/>
          <w:szCs w:val="32"/>
        </w:rPr>
        <w:t>十一、《项目绩效目标表》</w:t>
      </w:r>
    </w:p>
    <w:p w14:paraId="3F433E45">
      <w:pPr>
        <w:spacing w:before="200"/>
        <w:rPr>
          <w:rFonts w:hint="eastAsia" w:ascii="楷体" w:hAnsi="楷体" w:eastAsia="楷体" w:cs="楷体"/>
          <w:color w:val="auto"/>
          <w:spacing w:val="1"/>
          <w:sz w:val="32"/>
          <w:szCs w:val="32"/>
        </w:rPr>
      </w:pPr>
    </w:p>
    <w:p w14:paraId="40858769">
      <w:pPr>
        <w:widowControl w:val="0"/>
        <w:kinsoku/>
        <w:autoSpaceDE/>
        <w:autoSpaceDN/>
        <w:adjustRightInd/>
        <w:snapToGrid/>
        <w:jc w:val="both"/>
        <w:textAlignment w:val="auto"/>
        <w:rPr>
          <w:rFonts w:ascii="黑体" w:hAnsi="黑体" w:eastAsia="黑体" w:cs="黑体"/>
          <w:snapToGrid/>
          <w:color w:val="auto"/>
          <w:kern w:val="2"/>
          <w:sz w:val="32"/>
          <w:szCs w:val="32"/>
        </w:rPr>
      </w:pPr>
      <w:r>
        <w:rPr>
          <w:rFonts w:hint="eastAsia" w:ascii="黑体" w:hAnsi="黑体" w:eastAsia="黑体" w:cs="黑体"/>
          <w:snapToGrid/>
          <w:color w:val="auto"/>
          <w:kern w:val="2"/>
          <w:sz w:val="32"/>
          <w:szCs w:val="32"/>
        </w:rPr>
        <w:t>第三部分 浮梁县</w:t>
      </w:r>
      <w:r>
        <w:rPr>
          <w:rFonts w:hint="eastAsia" w:ascii="黑体" w:hAnsi="黑体" w:eastAsia="黑体" w:cs="黑体"/>
          <w:snapToGrid/>
          <w:kern w:val="2"/>
          <w:sz w:val="32"/>
          <w:szCs w:val="32"/>
          <w:lang w:eastAsia="zh-CN"/>
        </w:rPr>
        <w:t>司法</w:t>
      </w:r>
      <w:r>
        <w:rPr>
          <w:rFonts w:hint="eastAsia" w:ascii="黑体" w:hAnsi="黑体" w:eastAsia="黑体" w:cs="黑体"/>
          <w:snapToGrid/>
          <w:kern w:val="2"/>
          <w:sz w:val="32"/>
          <w:szCs w:val="32"/>
        </w:rPr>
        <w:t>局</w:t>
      </w:r>
      <w:r>
        <w:rPr>
          <w:rFonts w:hint="eastAsia" w:ascii="黑体" w:hAnsi="黑体" w:eastAsia="黑体" w:cs="黑体"/>
          <w:snapToGrid/>
          <w:color w:val="auto"/>
          <w:kern w:val="2"/>
          <w:sz w:val="32"/>
          <w:szCs w:val="32"/>
        </w:rPr>
        <w:t>2025年部门预算情况说明</w:t>
      </w:r>
    </w:p>
    <w:p w14:paraId="1DE0E5DA">
      <w:pPr>
        <w:spacing w:before="200"/>
        <w:ind w:firstLine="644" w:firstLineChars="200"/>
        <w:rPr>
          <w:rFonts w:ascii="楷体" w:hAnsi="楷体" w:eastAsia="楷体" w:cs="楷体"/>
          <w:color w:val="auto"/>
          <w:spacing w:val="1"/>
          <w:sz w:val="32"/>
          <w:szCs w:val="32"/>
        </w:rPr>
      </w:pPr>
      <w:r>
        <w:rPr>
          <w:rFonts w:hint="eastAsia" w:ascii="楷体" w:hAnsi="楷体" w:eastAsia="楷体" w:cs="楷体"/>
          <w:color w:val="auto"/>
          <w:spacing w:val="1"/>
          <w:sz w:val="32"/>
          <w:szCs w:val="32"/>
        </w:rPr>
        <w:t>一、2025年部门预算收支情况说明</w:t>
      </w:r>
    </w:p>
    <w:p w14:paraId="7FD3964F">
      <w:pPr>
        <w:spacing w:before="200"/>
        <w:ind w:firstLine="644" w:firstLineChars="200"/>
        <w:rPr>
          <w:rFonts w:hint="eastAsia" w:ascii="楷体" w:hAnsi="楷体" w:eastAsia="楷体" w:cs="楷体"/>
          <w:color w:val="auto"/>
          <w:spacing w:val="1"/>
          <w:sz w:val="32"/>
          <w:szCs w:val="32"/>
        </w:rPr>
      </w:pPr>
      <w:r>
        <w:rPr>
          <w:rFonts w:hint="eastAsia" w:ascii="楷体" w:hAnsi="楷体" w:eastAsia="楷体" w:cs="楷体"/>
          <w:color w:val="auto"/>
          <w:spacing w:val="1"/>
          <w:sz w:val="32"/>
          <w:szCs w:val="32"/>
        </w:rPr>
        <w:t>二、2025年"三公”经费预算情况说明</w:t>
      </w:r>
    </w:p>
    <w:p w14:paraId="08FED9BA">
      <w:pPr>
        <w:spacing w:before="200"/>
        <w:ind w:firstLine="644" w:firstLineChars="200"/>
        <w:rPr>
          <w:rFonts w:hint="eastAsia" w:ascii="楷体" w:hAnsi="楷体" w:eastAsia="楷体" w:cs="楷体"/>
          <w:color w:val="auto"/>
          <w:spacing w:val="1"/>
          <w:sz w:val="32"/>
          <w:szCs w:val="32"/>
        </w:rPr>
      </w:pPr>
    </w:p>
    <w:p w14:paraId="413C730B">
      <w:pPr>
        <w:widowControl w:val="0"/>
        <w:kinsoku/>
        <w:autoSpaceDE/>
        <w:autoSpaceDN/>
        <w:adjustRightInd/>
        <w:snapToGrid/>
        <w:jc w:val="both"/>
        <w:textAlignment w:val="auto"/>
        <w:rPr>
          <w:rFonts w:ascii="黑体" w:hAnsi="黑体" w:eastAsia="黑体" w:cs="黑体"/>
          <w:snapToGrid/>
          <w:color w:val="auto"/>
          <w:kern w:val="2"/>
          <w:sz w:val="32"/>
          <w:szCs w:val="32"/>
        </w:rPr>
      </w:pPr>
      <w:r>
        <w:rPr>
          <w:rFonts w:hint="eastAsia" w:ascii="黑体" w:hAnsi="黑体" w:eastAsia="黑体" w:cs="黑体"/>
          <w:snapToGrid/>
          <w:color w:val="auto"/>
          <w:kern w:val="2"/>
          <w:sz w:val="32"/>
          <w:szCs w:val="32"/>
        </w:rPr>
        <w:t>第四部分 名词解释</w:t>
      </w:r>
    </w:p>
    <w:p w14:paraId="11447C3E">
      <w:pPr>
        <w:rPr>
          <w:color w:val="FF0000"/>
        </w:rPr>
      </w:pPr>
    </w:p>
    <w:p w14:paraId="2E387EAE">
      <w:pPr>
        <w:rPr>
          <w:color w:val="FF0000"/>
        </w:rPr>
      </w:pPr>
    </w:p>
    <w:p w14:paraId="26B4ED79">
      <w:pPr>
        <w:rPr>
          <w:color w:val="FF0000"/>
        </w:rPr>
      </w:pPr>
    </w:p>
    <w:p w14:paraId="05305244">
      <w:pPr>
        <w:rPr>
          <w:color w:val="FF0000"/>
        </w:rPr>
      </w:pPr>
    </w:p>
    <w:p w14:paraId="240F1827">
      <w:pPr>
        <w:rPr>
          <w:color w:val="FF0000"/>
        </w:rPr>
      </w:pPr>
    </w:p>
    <w:p w14:paraId="18A5FE81">
      <w:pPr>
        <w:widowControl w:val="0"/>
        <w:kinsoku/>
        <w:autoSpaceDE/>
        <w:autoSpaceDN/>
        <w:adjustRightInd/>
        <w:snapToGrid/>
        <w:jc w:val="center"/>
        <w:textAlignment w:val="auto"/>
        <w:rPr>
          <w:color w:val="auto"/>
        </w:rPr>
      </w:pPr>
      <w:r>
        <w:rPr>
          <w:rFonts w:hint="eastAsia" w:ascii="黑体" w:hAnsi="黑体" w:eastAsia="黑体" w:cs="黑体"/>
          <w:snapToGrid/>
          <w:color w:val="auto"/>
          <w:kern w:val="2"/>
          <w:sz w:val="32"/>
          <w:szCs w:val="32"/>
        </w:rPr>
        <w:t>第一部分 浮梁县</w:t>
      </w:r>
      <w:r>
        <w:rPr>
          <w:rFonts w:hint="eastAsia" w:ascii="黑体" w:hAnsi="黑体" w:eastAsia="黑体" w:cs="黑体"/>
          <w:snapToGrid/>
          <w:color w:val="auto"/>
          <w:kern w:val="2"/>
          <w:sz w:val="32"/>
          <w:szCs w:val="32"/>
          <w:lang w:eastAsia="zh-CN"/>
        </w:rPr>
        <w:t>司法</w:t>
      </w:r>
      <w:r>
        <w:rPr>
          <w:rFonts w:hint="eastAsia" w:ascii="黑体" w:hAnsi="黑体" w:eastAsia="黑体" w:cs="黑体"/>
          <w:snapToGrid/>
          <w:color w:val="auto"/>
          <w:kern w:val="2"/>
          <w:sz w:val="32"/>
          <w:szCs w:val="32"/>
        </w:rPr>
        <w:t>局概况</w:t>
      </w:r>
    </w:p>
    <w:p w14:paraId="7604FD9F">
      <w:pPr>
        <w:spacing w:before="214"/>
        <w:rPr>
          <w:rFonts w:ascii="楷体" w:hAnsi="楷体" w:eastAsia="楷体" w:cs="楷体"/>
          <w:color w:val="auto"/>
          <w:spacing w:val="13"/>
          <w:sz w:val="32"/>
          <w:szCs w:val="32"/>
        </w:rPr>
      </w:pPr>
      <w:r>
        <w:rPr>
          <w:rFonts w:hint="eastAsia" w:ascii="楷体" w:hAnsi="楷体" w:eastAsia="楷体" w:cs="楷体"/>
          <w:color w:val="auto"/>
          <w:spacing w:val="13"/>
          <w:sz w:val="32"/>
          <w:szCs w:val="32"/>
        </w:rPr>
        <w:t>一、部门主要职责</w:t>
      </w:r>
    </w:p>
    <w:p w14:paraId="44EE36C4">
      <w:pPr>
        <w:keepNext w:val="0"/>
        <w:keepLines w:val="0"/>
        <w:pageBreakBefore w:val="0"/>
        <w:widowControl/>
        <w:kinsoku w:val="0"/>
        <w:wordWrap/>
        <w:overflowPunct/>
        <w:topLinePunct w:val="0"/>
        <w:autoSpaceDE w:val="0"/>
        <w:autoSpaceDN w:val="0"/>
        <w:bidi w:val="0"/>
        <w:adjustRightInd w:val="0"/>
        <w:snapToGrid w:val="0"/>
        <w:spacing w:before="0" w:beforeLines="150" w:line="360" w:lineRule="auto"/>
        <w:ind w:firstLine="640" w:firstLineChars="200"/>
        <w:textAlignment w:val="baseline"/>
        <w:rPr>
          <w:rFonts w:hint="eastAsia" w:ascii="仿宋" w:hAnsi="仿宋" w:eastAsia="仿宋" w:cs="仿宋"/>
          <w:snapToGrid/>
          <w:color w:val="auto"/>
          <w:kern w:val="2"/>
          <w:sz w:val="32"/>
          <w:szCs w:val="32"/>
        </w:rPr>
      </w:pPr>
      <w:r>
        <w:rPr>
          <w:rFonts w:hint="eastAsia" w:ascii="仿宋" w:hAnsi="仿宋" w:eastAsia="仿宋" w:cs="仿宋"/>
          <w:snapToGrid/>
          <w:color w:val="auto"/>
          <w:kern w:val="2"/>
          <w:sz w:val="32"/>
          <w:szCs w:val="32"/>
          <w:lang w:val="en-US" w:eastAsia="zh-CN"/>
        </w:rPr>
        <w:t>1.</w:t>
      </w:r>
      <w:r>
        <w:rPr>
          <w:rFonts w:hint="eastAsia" w:ascii="仿宋" w:hAnsi="仿宋" w:eastAsia="仿宋" w:cs="仿宋"/>
          <w:snapToGrid/>
          <w:color w:val="auto"/>
          <w:kern w:val="2"/>
          <w:sz w:val="32"/>
          <w:szCs w:val="32"/>
        </w:rPr>
        <w:t>承担全面依法治县重大问题的政策研究,协调有关方面提出全面依法治县中长期规划建议,负责有关重大决策部署督察工作。</w:t>
      </w:r>
    </w:p>
    <w:p w14:paraId="76F1042C">
      <w:pPr>
        <w:keepNext w:val="0"/>
        <w:keepLines w:val="0"/>
        <w:pageBreakBefore w:val="0"/>
        <w:widowControl w:val="0"/>
        <w:kinsoku/>
        <w:wordWrap/>
        <w:overflowPunct/>
        <w:topLinePunct w:val="0"/>
        <w:autoSpaceDE/>
        <w:autoSpaceDN/>
        <w:bidi w:val="0"/>
        <w:adjustRightInd/>
        <w:snapToGrid/>
        <w:spacing w:before="0" w:line="360" w:lineRule="auto"/>
        <w:ind w:firstLine="640" w:firstLineChars="200"/>
        <w:jc w:val="both"/>
        <w:textAlignment w:val="auto"/>
        <w:rPr>
          <w:rFonts w:hint="eastAsia" w:ascii="仿宋" w:hAnsi="仿宋" w:eastAsia="仿宋" w:cs="仿宋"/>
          <w:snapToGrid/>
          <w:color w:val="auto"/>
          <w:kern w:val="2"/>
          <w:sz w:val="32"/>
          <w:szCs w:val="32"/>
        </w:rPr>
      </w:pPr>
      <w:r>
        <w:rPr>
          <w:rFonts w:hint="eastAsia" w:ascii="仿宋" w:hAnsi="仿宋" w:eastAsia="仿宋" w:cs="仿宋"/>
          <w:snapToGrid/>
          <w:color w:val="auto"/>
          <w:kern w:val="2"/>
          <w:sz w:val="32"/>
          <w:szCs w:val="32"/>
          <w:lang w:val="en-US" w:eastAsia="zh-CN"/>
        </w:rPr>
        <w:t>2.</w:t>
      </w:r>
      <w:r>
        <w:rPr>
          <w:rFonts w:hint="eastAsia" w:ascii="仿宋" w:hAnsi="仿宋" w:eastAsia="仿宋" w:cs="仿宋"/>
          <w:snapToGrid/>
          <w:color w:val="auto"/>
          <w:kern w:val="2"/>
          <w:sz w:val="32"/>
          <w:szCs w:val="32"/>
        </w:rPr>
        <w:t>承担规范性文件备案审查和清理工作,负责</w:t>
      </w:r>
      <w:r>
        <w:rPr>
          <w:rFonts w:hint="eastAsia" w:ascii="仿宋" w:hAnsi="仿宋" w:eastAsia="仿宋" w:cs="仿宋"/>
          <w:snapToGrid/>
          <w:color w:val="auto"/>
          <w:kern w:val="2"/>
          <w:sz w:val="32"/>
          <w:szCs w:val="32"/>
          <w:lang w:eastAsia="zh-CN"/>
        </w:rPr>
        <w:t>协调</w:t>
      </w:r>
      <w:r>
        <w:rPr>
          <w:rFonts w:hint="eastAsia" w:ascii="仿宋" w:hAnsi="仿宋" w:eastAsia="仿宋" w:cs="仿宋"/>
          <w:snapToGrid/>
          <w:color w:val="auto"/>
          <w:kern w:val="2"/>
          <w:sz w:val="32"/>
          <w:szCs w:val="32"/>
        </w:rPr>
        <w:t>各乡镇各部门实施法律法规规章中的有关争议和问题。</w:t>
      </w:r>
    </w:p>
    <w:p w14:paraId="54197C5F">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napToGrid/>
          <w:color w:val="auto"/>
          <w:kern w:val="2"/>
          <w:sz w:val="32"/>
          <w:szCs w:val="32"/>
        </w:rPr>
      </w:pPr>
      <w:r>
        <w:rPr>
          <w:rFonts w:hint="eastAsia" w:ascii="仿宋" w:hAnsi="仿宋" w:eastAsia="仿宋" w:cs="仿宋"/>
          <w:snapToGrid/>
          <w:color w:val="auto"/>
          <w:kern w:val="2"/>
          <w:sz w:val="32"/>
          <w:szCs w:val="32"/>
          <w:lang w:val="en-US" w:eastAsia="zh-CN"/>
        </w:rPr>
        <w:t>3.</w:t>
      </w:r>
      <w:r>
        <w:rPr>
          <w:rFonts w:hint="eastAsia" w:ascii="仿宋" w:hAnsi="仿宋" w:eastAsia="仿宋" w:cs="仿宋"/>
          <w:snapToGrid/>
          <w:color w:val="auto"/>
          <w:kern w:val="2"/>
          <w:sz w:val="32"/>
          <w:szCs w:val="32"/>
        </w:rPr>
        <w:t>承担统筹推进法治政府建设的责任。指导、监督县政府各部门、各乡镇政府依法行政工作。负责综合协调行政执法,负责推进行政执法体制改革等有关工作,推进严格规范公正文明执法。负责行政复议和应诉案件办理工作,指导、监督全县行政复议和行政应诉工作。</w:t>
      </w:r>
    </w:p>
    <w:p w14:paraId="789D2D10">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napToGrid/>
          <w:color w:val="auto"/>
          <w:kern w:val="2"/>
          <w:sz w:val="32"/>
          <w:szCs w:val="32"/>
        </w:rPr>
      </w:pPr>
      <w:r>
        <w:rPr>
          <w:rFonts w:hint="eastAsia" w:ascii="仿宋" w:hAnsi="仿宋" w:eastAsia="仿宋" w:cs="仿宋"/>
          <w:snapToGrid/>
          <w:color w:val="auto"/>
          <w:kern w:val="2"/>
          <w:sz w:val="32"/>
          <w:szCs w:val="32"/>
          <w:lang w:val="en-US" w:eastAsia="zh-CN"/>
        </w:rPr>
        <w:t>4.</w:t>
      </w:r>
      <w:r>
        <w:rPr>
          <w:rFonts w:hint="eastAsia" w:ascii="仿宋" w:hAnsi="仿宋" w:eastAsia="仿宋" w:cs="仿宋"/>
          <w:snapToGrid/>
          <w:color w:val="auto"/>
          <w:kern w:val="2"/>
          <w:sz w:val="32"/>
          <w:szCs w:val="32"/>
        </w:rPr>
        <w:t>承担统筹规划法治社会建设的责任。负责拟订法治宣传教育规划,组织实施普法宣传工作,组织对外法治宣传。推动人民参与和促进法治建设。指导依法治理和法治创建工作。指导调解工作和人民陪审员、人民监督员选任管理工作,推进司法所建设。</w:t>
      </w:r>
    </w:p>
    <w:p w14:paraId="50E797EB">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napToGrid/>
          <w:color w:val="auto"/>
          <w:kern w:val="2"/>
          <w:sz w:val="32"/>
          <w:szCs w:val="32"/>
        </w:rPr>
      </w:pPr>
      <w:r>
        <w:rPr>
          <w:rFonts w:hint="eastAsia" w:ascii="仿宋" w:hAnsi="仿宋" w:eastAsia="仿宋" w:cs="仿宋"/>
          <w:snapToGrid/>
          <w:color w:val="auto"/>
          <w:kern w:val="2"/>
          <w:sz w:val="32"/>
          <w:szCs w:val="32"/>
          <w:lang w:val="en-US" w:eastAsia="zh-CN"/>
        </w:rPr>
        <w:t>5.</w:t>
      </w:r>
      <w:r>
        <w:rPr>
          <w:rFonts w:hint="eastAsia" w:ascii="仿宋" w:hAnsi="仿宋" w:eastAsia="仿宋" w:cs="仿宋"/>
          <w:snapToGrid/>
          <w:color w:val="auto"/>
          <w:kern w:val="2"/>
          <w:sz w:val="32"/>
          <w:szCs w:val="32"/>
        </w:rPr>
        <w:t>指导、管理社区矫正工作。指导刑满释放人员帮教安置工作。</w:t>
      </w:r>
    </w:p>
    <w:p w14:paraId="62AB3773">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napToGrid/>
          <w:color w:val="auto"/>
          <w:kern w:val="2"/>
          <w:sz w:val="32"/>
          <w:szCs w:val="32"/>
        </w:rPr>
      </w:pPr>
      <w:r>
        <w:rPr>
          <w:rFonts w:hint="eastAsia" w:ascii="仿宋" w:hAnsi="仿宋" w:eastAsia="仿宋" w:cs="仿宋"/>
          <w:snapToGrid/>
          <w:color w:val="auto"/>
          <w:kern w:val="2"/>
          <w:sz w:val="32"/>
          <w:szCs w:val="32"/>
          <w:lang w:val="en-US" w:eastAsia="zh-CN"/>
        </w:rPr>
        <w:t>6.</w:t>
      </w:r>
      <w:r>
        <w:rPr>
          <w:rFonts w:hint="eastAsia" w:ascii="仿宋" w:hAnsi="仿宋" w:eastAsia="仿宋" w:cs="仿宋"/>
          <w:snapToGrid/>
          <w:color w:val="auto"/>
          <w:kern w:val="2"/>
          <w:sz w:val="32"/>
          <w:szCs w:val="32"/>
        </w:rPr>
        <w:t>负责拟定公共法律服务体系建设规划并指导实施,统筹和布局城乡法律服务资源。指导、监督律师、法律援助、司法鉴定、公证、仲裁和基层法律服务管理工作。组织开展法治对外合作交流。承办涉港澳台的法律事务等。</w:t>
      </w:r>
    </w:p>
    <w:p w14:paraId="2EFDF592">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napToGrid/>
          <w:color w:val="auto"/>
          <w:kern w:val="2"/>
          <w:sz w:val="32"/>
          <w:szCs w:val="32"/>
        </w:rPr>
      </w:pPr>
      <w:r>
        <w:rPr>
          <w:rFonts w:hint="eastAsia" w:ascii="仿宋" w:hAnsi="仿宋" w:eastAsia="仿宋" w:cs="仿宋"/>
          <w:snapToGrid/>
          <w:color w:val="auto"/>
          <w:kern w:val="2"/>
          <w:sz w:val="32"/>
          <w:szCs w:val="32"/>
          <w:lang w:val="en-US" w:eastAsia="zh-CN"/>
        </w:rPr>
        <w:t>7.</w:t>
      </w:r>
      <w:r>
        <w:rPr>
          <w:rFonts w:hint="eastAsia" w:ascii="仿宋" w:hAnsi="仿宋" w:eastAsia="仿宋" w:cs="仿宋"/>
          <w:snapToGrid/>
          <w:color w:val="auto"/>
          <w:kern w:val="2"/>
          <w:sz w:val="32"/>
          <w:szCs w:val="32"/>
        </w:rPr>
        <w:t>负责全县司法行政系统服装和警车管理工作,指导、监督本系统财务、装备、设施、场所等保障工作。</w:t>
      </w:r>
    </w:p>
    <w:p w14:paraId="68F6499B">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napToGrid/>
          <w:color w:val="auto"/>
          <w:kern w:val="2"/>
          <w:sz w:val="32"/>
          <w:szCs w:val="32"/>
        </w:rPr>
      </w:pPr>
      <w:r>
        <w:rPr>
          <w:rFonts w:hint="eastAsia" w:ascii="仿宋" w:hAnsi="仿宋" w:eastAsia="仿宋" w:cs="仿宋"/>
          <w:snapToGrid/>
          <w:color w:val="auto"/>
          <w:kern w:val="2"/>
          <w:sz w:val="32"/>
          <w:szCs w:val="32"/>
          <w:lang w:val="en-US" w:eastAsia="zh-CN"/>
        </w:rPr>
        <w:t>8.</w:t>
      </w:r>
      <w:r>
        <w:rPr>
          <w:rFonts w:hint="eastAsia" w:ascii="仿宋" w:hAnsi="仿宋" w:eastAsia="仿宋" w:cs="仿宋"/>
          <w:snapToGrid/>
          <w:color w:val="auto"/>
          <w:kern w:val="2"/>
          <w:sz w:val="32"/>
          <w:szCs w:val="32"/>
        </w:rPr>
        <w:t>规划、协调、指导法治人才队伍建设相关工作,指导、监督本系统队伍建设。</w:t>
      </w:r>
    </w:p>
    <w:p w14:paraId="7C76681D">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napToGrid/>
          <w:color w:val="auto"/>
          <w:kern w:val="2"/>
          <w:sz w:val="32"/>
          <w:szCs w:val="32"/>
        </w:rPr>
      </w:pPr>
      <w:r>
        <w:rPr>
          <w:rFonts w:hint="eastAsia" w:ascii="仿宋" w:hAnsi="仿宋" w:eastAsia="仿宋" w:cs="仿宋"/>
          <w:snapToGrid/>
          <w:color w:val="auto"/>
          <w:kern w:val="2"/>
          <w:sz w:val="32"/>
          <w:szCs w:val="32"/>
          <w:lang w:val="en-US" w:eastAsia="zh-CN"/>
        </w:rPr>
        <w:t>9.</w:t>
      </w:r>
      <w:r>
        <w:rPr>
          <w:rFonts w:hint="eastAsia" w:ascii="仿宋" w:hAnsi="仿宋" w:eastAsia="仿宋" w:cs="仿宋"/>
          <w:snapToGrid/>
          <w:color w:val="auto"/>
          <w:kern w:val="2"/>
          <w:sz w:val="32"/>
          <w:szCs w:val="32"/>
        </w:rPr>
        <w:t>完成县委和县政府交办的其他任务。</w:t>
      </w:r>
    </w:p>
    <w:p w14:paraId="6DEC9D7C">
      <w:pPr>
        <w:keepNext w:val="0"/>
        <w:keepLines w:val="0"/>
        <w:pageBreakBefore w:val="0"/>
        <w:widowControl/>
        <w:kinsoku w:val="0"/>
        <w:wordWrap/>
        <w:overflowPunct/>
        <w:topLinePunct w:val="0"/>
        <w:autoSpaceDE w:val="0"/>
        <w:autoSpaceDN w:val="0"/>
        <w:bidi w:val="0"/>
        <w:adjustRightInd w:val="0"/>
        <w:snapToGrid w:val="0"/>
        <w:spacing w:line="240" w:lineRule="auto"/>
        <w:ind w:firstLine="692" w:firstLineChars="200"/>
        <w:textAlignment w:val="baseline"/>
        <w:rPr>
          <w:rFonts w:ascii="楷体" w:hAnsi="楷体" w:eastAsia="楷体" w:cs="楷体"/>
          <w:color w:val="auto"/>
          <w:spacing w:val="13"/>
          <w:sz w:val="32"/>
          <w:szCs w:val="32"/>
        </w:rPr>
      </w:pPr>
      <w:r>
        <w:rPr>
          <w:rFonts w:hint="eastAsia" w:ascii="楷体" w:hAnsi="楷体" w:eastAsia="楷体" w:cs="楷体"/>
          <w:color w:val="auto"/>
          <w:spacing w:val="13"/>
          <w:sz w:val="32"/>
          <w:szCs w:val="32"/>
        </w:rPr>
        <w:t>二、机构设置及人员情况</w:t>
      </w:r>
    </w:p>
    <w:p w14:paraId="471E722E">
      <w:pPr>
        <w:keepNext w:val="0"/>
        <w:keepLines w:val="0"/>
        <w:pageBreakBefore w:val="0"/>
        <w:widowControl/>
        <w:kinsoku w:val="0"/>
        <w:wordWrap/>
        <w:overflowPunct/>
        <w:topLinePunct w:val="0"/>
        <w:autoSpaceDE w:val="0"/>
        <w:autoSpaceDN w:val="0"/>
        <w:bidi w:val="0"/>
        <w:adjustRightInd w:val="0"/>
        <w:snapToGrid w:val="0"/>
        <w:spacing w:before="0" w:beforeLines="150" w:line="360" w:lineRule="auto"/>
        <w:ind w:firstLine="640" w:firstLineChars="200"/>
        <w:textAlignment w:val="baseline"/>
        <w:rPr>
          <w:rFonts w:hint="eastAsia" w:ascii="仿宋" w:hAnsi="仿宋" w:eastAsia="仿宋" w:cs="仿宋"/>
          <w:snapToGrid/>
          <w:color w:val="auto"/>
          <w:kern w:val="2"/>
          <w:sz w:val="32"/>
          <w:szCs w:val="32"/>
          <w:lang w:val="en-US" w:eastAsia="zh-CN"/>
        </w:rPr>
      </w:pPr>
      <w:r>
        <w:rPr>
          <w:rFonts w:hint="eastAsia" w:ascii="仿宋" w:hAnsi="仿宋" w:eastAsia="仿宋" w:cs="仿宋"/>
          <w:snapToGrid/>
          <w:color w:val="auto"/>
          <w:kern w:val="2"/>
          <w:sz w:val="32"/>
          <w:szCs w:val="32"/>
          <w:lang w:val="en-US" w:eastAsia="zh-CN"/>
        </w:rPr>
        <w:t>我部门依据三定方案，行政编制数35个，工勤编制数2个；内设机构包括16司法所、普法与依法治理股、社区矫正管理股、公共法律服务管理股、人民参与与促进法治股、办公室、县委依法治县办秘书股、政工科。截至2024年12月31日，实有在编在职行政人员30人、工勤人员1人；</w:t>
      </w:r>
      <w:bookmarkStart w:id="0" w:name="_GoBack"/>
      <w:bookmarkEnd w:id="0"/>
      <w:r>
        <w:rPr>
          <w:rFonts w:hint="eastAsia" w:ascii="仿宋" w:hAnsi="仿宋" w:eastAsia="仿宋" w:cs="仿宋"/>
          <w:snapToGrid/>
          <w:color w:val="auto"/>
          <w:kern w:val="2"/>
          <w:sz w:val="32"/>
          <w:szCs w:val="32"/>
          <w:lang w:val="en-US" w:eastAsia="zh-CN"/>
        </w:rPr>
        <w:t>辅助人员33人（编制外）。</w:t>
      </w:r>
    </w:p>
    <w:p w14:paraId="3D4D55EC">
      <w:pPr>
        <w:rPr>
          <w:color w:val="FF0000"/>
        </w:rPr>
      </w:pPr>
    </w:p>
    <w:p w14:paraId="2B2F57EA">
      <w:pPr>
        <w:widowControl w:val="0"/>
        <w:kinsoku/>
        <w:autoSpaceDE/>
        <w:autoSpaceDN/>
        <w:adjustRightInd/>
        <w:snapToGrid/>
        <w:jc w:val="center"/>
        <w:textAlignment w:val="auto"/>
        <w:rPr>
          <w:rFonts w:ascii="黑体" w:hAnsi="黑体" w:eastAsia="黑体" w:cs="黑体"/>
          <w:snapToGrid/>
          <w:color w:val="auto"/>
          <w:kern w:val="2"/>
          <w:sz w:val="32"/>
          <w:szCs w:val="32"/>
        </w:rPr>
      </w:pPr>
      <w:r>
        <w:rPr>
          <w:rFonts w:hint="eastAsia" w:ascii="黑体" w:hAnsi="黑体" w:eastAsia="黑体" w:cs="黑体"/>
          <w:snapToGrid/>
          <w:color w:val="auto"/>
          <w:kern w:val="2"/>
          <w:sz w:val="32"/>
          <w:szCs w:val="32"/>
        </w:rPr>
        <w:t>第二部分 浮梁县</w:t>
      </w:r>
      <w:r>
        <w:rPr>
          <w:rFonts w:hint="eastAsia" w:ascii="黑体" w:hAnsi="黑体" w:eastAsia="黑体" w:cs="黑体"/>
          <w:snapToGrid/>
          <w:color w:val="auto"/>
          <w:kern w:val="2"/>
          <w:sz w:val="32"/>
          <w:szCs w:val="32"/>
          <w:lang w:eastAsia="zh-CN"/>
        </w:rPr>
        <w:t>司法</w:t>
      </w:r>
      <w:r>
        <w:rPr>
          <w:rFonts w:hint="eastAsia" w:ascii="黑体" w:hAnsi="黑体" w:eastAsia="黑体" w:cs="黑体"/>
          <w:snapToGrid/>
          <w:color w:val="auto"/>
          <w:kern w:val="2"/>
          <w:sz w:val="32"/>
          <w:szCs w:val="32"/>
        </w:rPr>
        <w:t>局2025年部门预算表</w:t>
      </w:r>
    </w:p>
    <w:p w14:paraId="17F39A0F">
      <w:pPr>
        <w:spacing w:before="215"/>
        <w:ind w:firstLine="3550"/>
        <w:rPr>
          <w:rFonts w:ascii="仿宋" w:hAnsi="仿宋" w:eastAsia="仿宋" w:cs="仿宋"/>
          <w:color w:val="auto"/>
          <w:spacing w:val="17"/>
          <w:sz w:val="32"/>
          <w:szCs w:val="32"/>
        </w:rPr>
      </w:pPr>
      <w:r>
        <w:rPr>
          <w:rFonts w:ascii="仿宋" w:hAnsi="仿宋" w:eastAsia="仿宋" w:cs="仿宋"/>
          <w:color w:val="auto"/>
          <w:spacing w:val="17"/>
          <w:sz w:val="32"/>
          <w:szCs w:val="32"/>
        </w:rPr>
        <w:t>(详见附表)</w:t>
      </w:r>
    </w:p>
    <w:p w14:paraId="3B8B11DB">
      <w:pPr>
        <w:spacing w:before="215"/>
        <w:ind w:firstLine="3550"/>
        <w:rPr>
          <w:rFonts w:ascii="仿宋" w:hAnsi="仿宋" w:eastAsia="仿宋" w:cs="仿宋"/>
          <w:color w:val="FF0000"/>
          <w:spacing w:val="17"/>
          <w:sz w:val="32"/>
          <w:szCs w:val="32"/>
        </w:rPr>
      </w:pPr>
    </w:p>
    <w:p w14:paraId="32C194F0">
      <w:pPr>
        <w:rPr>
          <w:color w:val="FF0000"/>
        </w:rPr>
      </w:pPr>
    </w:p>
    <w:p w14:paraId="610F2707">
      <w:pPr>
        <w:widowControl w:val="0"/>
        <w:kinsoku/>
        <w:autoSpaceDE/>
        <w:autoSpaceDN/>
        <w:adjustRightInd/>
        <w:snapToGrid/>
        <w:jc w:val="center"/>
        <w:textAlignment w:val="auto"/>
        <w:rPr>
          <w:color w:val="auto"/>
        </w:rPr>
      </w:pPr>
      <w:r>
        <w:rPr>
          <w:rFonts w:hint="eastAsia" w:ascii="黑体" w:hAnsi="黑体" w:eastAsia="黑体" w:cs="黑体"/>
          <w:snapToGrid/>
          <w:color w:val="auto"/>
          <w:kern w:val="2"/>
          <w:sz w:val="32"/>
          <w:szCs w:val="32"/>
        </w:rPr>
        <w:t>第三部分 浮梁县</w:t>
      </w:r>
      <w:r>
        <w:rPr>
          <w:rFonts w:hint="eastAsia" w:ascii="黑体" w:hAnsi="黑体" w:eastAsia="黑体" w:cs="黑体"/>
          <w:snapToGrid/>
          <w:color w:val="auto"/>
          <w:kern w:val="2"/>
          <w:sz w:val="32"/>
          <w:szCs w:val="32"/>
          <w:lang w:eastAsia="zh-CN"/>
        </w:rPr>
        <w:t>司法</w:t>
      </w:r>
      <w:r>
        <w:rPr>
          <w:rFonts w:hint="eastAsia" w:ascii="黑体" w:hAnsi="黑体" w:eastAsia="黑体" w:cs="黑体"/>
          <w:snapToGrid/>
          <w:color w:val="auto"/>
          <w:kern w:val="2"/>
          <w:sz w:val="32"/>
          <w:szCs w:val="32"/>
        </w:rPr>
        <w:t>局2025年部门预算情况说明</w:t>
      </w:r>
    </w:p>
    <w:p w14:paraId="19F8CB85">
      <w:pPr>
        <w:spacing w:before="214"/>
        <w:rPr>
          <w:rFonts w:ascii="楷体" w:hAnsi="楷体" w:eastAsia="楷体" w:cs="楷体"/>
          <w:color w:val="auto"/>
          <w:spacing w:val="13"/>
          <w:sz w:val="32"/>
          <w:szCs w:val="32"/>
        </w:rPr>
      </w:pPr>
      <w:r>
        <w:rPr>
          <w:rFonts w:hint="eastAsia" w:ascii="楷体" w:hAnsi="楷体" w:eastAsia="楷体" w:cs="楷体"/>
          <w:color w:val="auto"/>
          <w:spacing w:val="13"/>
          <w:sz w:val="32"/>
          <w:szCs w:val="32"/>
        </w:rPr>
        <w:t>一、2025年部门预算收支情况说明</w:t>
      </w:r>
    </w:p>
    <w:p w14:paraId="067D2D67">
      <w:pPr>
        <w:keepNext w:val="0"/>
        <w:keepLines w:val="0"/>
        <w:pageBreakBefore w:val="0"/>
        <w:widowControl w:val="0"/>
        <w:kinsoku/>
        <w:wordWrap/>
        <w:overflowPunct/>
        <w:topLinePunct w:val="0"/>
        <w:autoSpaceDE/>
        <w:autoSpaceDN/>
        <w:bidi w:val="0"/>
        <w:adjustRightInd/>
        <w:snapToGrid/>
        <w:spacing w:before="0" w:beforeLines="150" w:line="360" w:lineRule="auto"/>
        <w:ind w:firstLine="643" w:firstLineChars="200"/>
        <w:jc w:val="both"/>
        <w:textAlignment w:val="auto"/>
        <w:rPr>
          <w:rFonts w:hint="eastAsia" w:ascii="仿宋_GB2312" w:hAnsi="Times New Roman" w:eastAsia="仿宋_GB2312" w:cs="Times New Roman"/>
          <w:b/>
          <w:bCs/>
          <w:snapToGrid/>
          <w:color w:val="auto"/>
          <w:kern w:val="2"/>
          <w:sz w:val="32"/>
          <w:szCs w:val="32"/>
          <w:lang w:eastAsia="zh-CN"/>
        </w:rPr>
      </w:pPr>
      <w:r>
        <w:rPr>
          <w:rFonts w:hint="eastAsia" w:ascii="仿宋_GB2312" w:hAnsi="Times New Roman" w:eastAsia="仿宋_GB2312" w:cs="Times New Roman"/>
          <w:b/>
          <w:bCs/>
          <w:snapToGrid/>
          <w:color w:val="auto"/>
          <w:kern w:val="2"/>
          <w:sz w:val="32"/>
          <w:szCs w:val="32"/>
          <w:lang w:eastAsia="zh-CN"/>
        </w:rPr>
        <w:t>(一)收入预算情况</w:t>
      </w:r>
    </w:p>
    <w:p w14:paraId="4DD64A33">
      <w:pPr>
        <w:keepNext w:val="0"/>
        <w:keepLines w:val="0"/>
        <w:pageBreakBefore w:val="0"/>
        <w:widowControl w:val="0"/>
        <w:kinsoku/>
        <w:wordWrap/>
        <w:overflowPunct/>
        <w:topLinePunct w:val="0"/>
        <w:autoSpaceDE/>
        <w:autoSpaceDN/>
        <w:bidi w:val="0"/>
        <w:adjustRightInd/>
        <w:snapToGrid/>
        <w:spacing w:before="0" w:beforeLines="150" w:line="360" w:lineRule="auto"/>
        <w:ind w:firstLine="640" w:firstLineChars="200"/>
        <w:jc w:val="both"/>
        <w:textAlignment w:val="auto"/>
        <w:rPr>
          <w:rFonts w:hint="eastAsia" w:ascii="仿宋_GB2312" w:hAnsi="Times New Roman" w:eastAsia="仿宋" w:cs="Times New Roman"/>
          <w:snapToGrid/>
          <w:color w:val="auto"/>
          <w:kern w:val="2"/>
          <w:sz w:val="32"/>
          <w:szCs w:val="32"/>
          <w:lang w:eastAsia="zh-CN"/>
        </w:rPr>
      </w:pPr>
      <w:r>
        <w:rPr>
          <w:rFonts w:hint="eastAsia" w:ascii="仿宋_GB2312" w:hAnsi="Times New Roman" w:eastAsia="仿宋" w:cs="Times New Roman"/>
          <w:snapToGrid/>
          <w:color w:val="auto"/>
          <w:kern w:val="2"/>
          <w:sz w:val="32"/>
          <w:szCs w:val="32"/>
          <w:lang w:eastAsia="zh-CN"/>
        </w:rPr>
        <w:t>本部门</w:t>
      </w:r>
      <w:r>
        <w:rPr>
          <w:rFonts w:hint="eastAsia" w:ascii="仿宋_GB2312" w:hAnsi="Times New Roman" w:eastAsia="仿宋" w:cs="Times New Roman"/>
          <w:snapToGrid/>
          <w:color w:val="auto"/>
          <w:kern w:val="2"/>
          <w:sz w:val="32"/>
          <w:szCs w:val="32"/>
          <w:lang w:val="en-US" w:eastAsia="zh-CN"/>
        </w:rPr>
        <w:t>2025年度</w:t>
      </w:r>
      <w:r>
        <w:rPr>
          <w:rFonts w:hint="eastAsia" w:ascii="仿宋_GB2312" w:hAnsi="Times New Roman" w:eastAsia="仿宋" w:cs="Times New Roman"/>
          <w:snapToGrid/>
          <w:color w:val="auto"/>
          <w:kern w:val="2"/>
          <w:sz w:val="32"/>
          <w:szCs w:val="32"/>
          <w:lang w:eastAsia="zh-CN"/>
        </w:rPr>
        <w:t>收入预算总额</w:t>
      </w:r>
      <w:r>
        <w:rPr>
          <w:rFonts w:hint="eastAsia" w:ascii="仿宋_GB2312" w:hAnsi="Times New Roman" w:eastAsia="仿宋" w:cs="Times New Roman"/>
          <w:snapToGrid/>
          <w:color w:val="auto"/>
          <w:kern w:val="2"/>
          <w:sz w:val="32"/>
          <w:szCs w:val="32"/>
          <w:lang w:val="en-US" w:eastAsia="zh-CN"/>
        </w:rPr>
        <w:t>882.74</w:t>
      </w:r>
      <w:r>
        <w:rPr>
          <w:rFonts w:hint="eastAsia" w:ascii="仿宋_GB2312" w:hAnsi="Times New Roman" w:eastAsia="仿宋" w:cs="Times New Roman"/>
          <w:snapToGrid/>
          <w:color w:val="auto"/>
          <w:kern w:val="2"/>
          <w:sz w:val="32"/>
          <w:szCs w:val="32"/>
          <w:lang w:eastAsia="zh-CN"/>
        </w:rPr>
        <w:t>万元,较上年预算安排的减少</w:t>
      </w:r>
      <w:r>
        <w:rPr>
          <w:rFonts w:hint="eastAsia" w:ascii="仿宋_GB2312" w:hAnsi="Times New Roman" w:eastAsia="仿宋" w:cs="Times New Roman"/>
          <w:snapToGrid/>
          <w:color w:val="auto"/>
          <w:kern w:val="2"/>
          <w:sz w:val="32"/>
          <w:szCs w:val="32"/>
          <w:lang w:val="en-US" w:eastAsia="zh-CN"/>
        </w:rPr>
        <w:t>25.94</w:t>
      </w:r>
      <w:r>
        <w:rPr>
          <w:rFonts w:hint="eastAsia" w:ascii="仿宋_GB2312" w:hAnsi="Times New Roman" w:eastAsia="仿宋" w:cs="Times New Roman"/>
          <w:snapToGrid/>
          <w:color w:val="auto"/>
          <w:kern w:val="2"/>
          <w:sz w:val="32"/>
          <w:szCs w:val="32"/>
          <w:lang w:eastAsia="zh-CN"/>
        </w:rPr>
        <w:t>万元。</w:t>
      </w:r>
    </w:p>
    <w:p w14:paraId="25BB1FCB">
      <w:pPr>
        <w:widowControl w:val="0"/>
        <w:kinsoku/>
        <w:autoSpaceDE/>
        <w:autoSpaceDN/>
        <w:adjustRightInd/>
        <w:snapToGrid/>
        <w:ind w:firstLine="643" w:firstLineChars="200"/>
        <w:jc w:val="both"/>
        <w:textAlignment w:val="auto"/>
        <w:rPr>
          <w:rFonts w:ascii="仿宋_GB2312" w:hAnsi="Times New Roman" w:eastAsia="仿宋_GB2312" w:cs="Times New Roman"/>
          <w:b/>
          <w:bCs/>
          <w:snapToGrid/>
          <w:color w:val="auto"/>
          <w:kern w:val="2"/>
          <w:sz w:val="32"/>
          <w:szCs w:val="32"/>
        </w:rPr>
      </w:pPr>
      <w:r>
        <w:rPr>
          <w:rFonts w:hint="eastAsia" w:ascii="仿宋_GB2312" w:hAnsi="Times New Roman" w:eastAsia="仿宋_GB2312" w:cs="Times New Roman"/>
          <w:b/>
          <w:bCs/>
          <w:snapToGrid/>
          <w:color w:val="auto"/>
          <w:kern w:val="2"/>
          <w:sz w:val="32"/>
          <w:szCs w:val="32"/>
        </w:rPr>
        <w:t>(二)支出预算情况</w:t>
      </w:r>
    </w:p>
    <w:p w14:paraId="6EFBC729">
      <w:pPr>
        <w:keepNext w:val="0"/>
        <w:keepLines w:val="0"/>
        <w:pageBreakBefore w:val="0"/>
        <w:widowControl w:val="0"/>
        <w:kinsoku/>
        <w:wordWrap/>
        <w:overflowPunct/>
        <w:topLinePunct w:val="0"/>
        <w:autoSpaceDE/>
        <w:autoSpaceDN/>
        <w:bidi w:val="0"/>
        <w:adjustRightInd/>
        <w:snapToGrid/>
        <w:spacing w:before="0" w:beforeLines="150" w:line="360" w:lineRule="auto"/>
        <w:ind w:firstLine="640" w:firstLineChars="200"/>
        <w:jc w:val="both"/>
        <w:textAlignment w:val="auto"/>
        <w:rPr>
          <w:rFonts w:hint="eastAsia" w:ascii="仿宋_GB2312" w:hAnsi="Times New Roman" w:eastAsia="仿宋" w:cs="Times New Roman"/>
          <w:snapToGrid/>
          <w:color w:val="auto"/>
          <w:kern w:val="2"/>
          <w:sz w:val="32"/>
          <w:szCs w:val="32"/>
          <w:lang w:eastAsia="zh-CN"/>
        </w:rPr>
      </w:pPr>
      <w:r>
        <w:rPr>
          <w:rFonts w:hint="eastAsia" w:ascii="仿宋_GB2312" w:hAnsi="Times New Roman" w:eastAsia="仿宋" w:cs="Times New Roman"/>
          <w:snapToGrid/>
          <w:color w:val="auto"/>
          <w:kern w:val="2"/>
          <w:sz w:val="32"/>
          <w:szCs w:val="32"/>
          <w:lang w:eastAsia="zh-CN"/>
        </w:rPr>
        <w:t>本部门支出预算总额</w:t>
      </w:r>
      <w:r>
        <w:rPr>
          <w:rFonts w:hint="eastAsia" w:ascii="仿宋_GB2312" w:hAnsi="Times New Roman" w:eastAsia="仿宋" w:cs="Times New Roman"/>
          <w:snapToGrid/>
          <w:color w:val="auto"/>
          <w:kern w:val="2"/>
          <w:sz w:val="32"/>
          <w:szCs w:val="32"/>
          <w:lang w:val="en-US" w:eastAsia="zh-CN"/>
        </w:rPr>
        <w:t>882.74</w:t>
      </w:r>
      <w:r>
        <w:rPr>
          <w:rFonts w:hint="eastAsia" w:ascii="仿宋_GB2312" w:hAnsi="Times New Roman" w:eastAsia="仿宋" w:cs="Times New Roman"/>
          <w:snapToGrid/>
          <w:color w:val="auto"/>
          <w:kern w:val="2"/>
          <w:sz w:val="32"/>
          <w:szCs w:val="32"/>
          <w:lang w:eastAsia="zh-CN"/>
        </w:rPr>
        <w:t>万元；其中财政拨款收入</w:t>
      </w:r>
      <w:r>
        <w:rPr>
          <w:rFonts w:hint="eastAsia" w:ascii="仿宋_GB2312" w:hAnsi="Times New Roman" w:eastAsia="仿宋" w:cs="Times New Roman"/>
          <w:snapToGrid/>
          <w:color w:val="auto"/>
          <w:kern w:val="2"/>
          <w:sz w:val="32"/>
          <w:szCs w:val="32"/>
          <w:lang w:val="en-US" w:eastAsia="zh-CN"/>
        </w:rPr>
        <w:t>807.16万元，其他收入25万</w:t>
      </w:r>
      <w:r>
        <w:rPr>
          <w:rFonts w:hint="eastAsia" w:ascii="仿宋_GB2312" w:hAnsi="Times New Roman" w:eastAsia="仿宋" w:cs="Times New Roman"/>
          <w:snapToGrid/>
          <w:color w:val="auto"/>
          <w:kern w:val="2"/>
          <w:sz w:val="32"/>
          <w:szCs w:val="32"/>
          <w:lang w:eastAsia="zh-CN"/>
        </w:rPr>
        <w:t>。</w:t>
      </w:r>
    </w:p>
    <w:p w14:paraId="66DB9FCF">
      <w:pPr>
        <w:widowControl w:val="0"/>
        <w:kinsoku/>
        <w:autoSpaceDE/>
        <w:autoSpaceDN/>
        <w:adjustRightInd/>
        <w:snapToGrid/>
        <w:ind w:firstLine="643" w:firstLineChars="200"/>
        <w:jc w:val="both"/>
        <w:textAlignment w:val="auto"/>
        <w:rPr>
          <w:rFonts w:ascii="仿宋_GB2312" w:hAnsi="Times New Roman" w:eastAsia="仿宋_GB2312" w:cs="Times New Roman"/>
          <w:b/>
          <w:bCs/>
          <w:snapToGrid/>
          <w:color w:val="auto"/>
          <w:kern w:val="2"/>
          <w:sz w:val="32"/>
          <w:szCs w:val="32"/>
        </w:rPr>
      </w:pPr>
      <w:r>
        <w:rPr>
          <w:rFonts w:hint="eastAsia" w:ascii="仿宋_GB2312" w:hAnsi="Times New Roman" w:eastAsia="仿宋_GB2312" w:cs="Times New Roman"/>
          <w:b/>
          <w:bCs/>
          <w:snapToGrid/>
          <w:color w:val="auto"/>
          <w:kern w:val="2"/>
          <w:sz w:val="32"/>
          <w:szCs w:val="32"/>
        </w:rPr>
        <w:t>(三)财政拨款支出情况</w:t>
      </w:r>
    </w:p>
    <w:p w14:paraId="50339A10">
      <w:pPr>
        <w:keepNext w:val="0"/>
        <w:keepLines w:val="0"/>
        <w:pageBreakBefore w:val="0"/>
        <w:widowControl w:val="0"/>
        <w:kinsoku/>
        <w:wordWrap/>
        <w:overflowPunct/>
        <w:topLinePunct w:val="0"/>
        <w:autoSpaceDE/>
        <w:autoSpaceDN/>
        <w:bidi w:val="0"/>
        <w:adjustRightInd/>
        <w:snapToGrid/>
        <w:spacing w:before="0" w:beforeLines="150" w:line="360" w:lineRule="auto"/>
        <w:ind w:firstLine="640" w:firstLineChars="200"/>
        <w:jc w:val="both"/>
        <w:textAlignment w:val="auto"/>
        <w:rPr>
          <w:rFonts w:hint="eastAsia" w:ascii="仿宋" w:hAnsi="仿宋" w:eastAsia="仿宋" w:cs="仿宋"/>
          <w:snapToGrid/>
          <w:color w:val="auto"/>
          <w:kern w:val="2"/>
          <w:sz w:val="32"/>
          <w:szCs w:val="32"/>
          <w:lang w:eastAsia="zh-CN"/>
        </w:rPr>
      </w:pPr>
      <w:r>
        <w:rPr>
          <w:rFonts w:hint="eastAsia" w:ascii="仿宋" w:hAnsi="仿宋" w:eastAsia="仿宋" w:cs="仿宋"/>
          <w:snapToGrid/>
          <w:color w:val="auto"/>
          <w:kern w:val="2"/>
          <w:sz w:val="32"/>
          <w:szCs w:val="32"/>
          <w:lang w:eastAsia="zh-CN"/>
        </w:rPr>
        <w:t>本部门财政拨款支出预算数</w:t>
      </w:r>
      <w:r>
        <w:rPr>
          <w:rFonts w:hint="eastAsia" w:ascii="仿宋" w:hAnsi="仿宋" w:eastAsia="仿宋" w:cs="仿宋"/>
          <w:snapToGrid/>
          <w:color w:val="auto"/>
          <w:kern w:val="2"/>
          <w:sz w:val="32"/>
          <w:szCs w:val="32"/>
          <w:lang w:val="en-US" w:eastAsia="zh-CN"/>
        </w:rPr>
        <w:t>807.16万元</w:t>
      </w:r>
      <w:r>
        <w:rPr>
          <w:rFonts w:hint="eastAsia" w:ascii="仿宋" w:hAnsi="仿宋" w:eastAsia="仿宋" w:cs="仿宋"/>
          <w:snapToGrid/>
          <w:color w:val="auto"/>
          <w:kern w:val="2"/>
          <w:sz w:val="32"/>
          <w:szCs w:val="32"/>
          <w:lang w:eastAsia="zh-CN"/>
        </w:rPr>
        <w:t>,较上年预算数（</w:t>
      </w:r>
      <w:r>
        <w:rPr>
          <w:rFonts w:hint="eastAsia" w:ascii="仿宋" w:hAnsi="仿宋" w:eastAsia="仿宋" w:cs="仿宋"/>
          <w:snapToGrid/>
          <w:color w:val="auto"/>
          <w:kern w:val="2"/>
          <w:sz w:val="32"/>
          <w:szCs w:val="32"/>
          <w:lang w:val="en-US" w:eastAsia="zh-CN"/>
        </w:rPr>
        <w:t>883.68万元</w:t>
      </w:r>
      <w:r>
        <w:rPr>
          <w:rFonts w:hint="eastAsia" w:ascii="仿宋" w:hAnsi="仿宋" w:eastAsia="仿宋" w:cs="仿宋"/>
          <w:snapToGrid/>
          <w:color w:val="auto"/>
          <w:kern w:val="2"/>
          <w:sz w:val="32"/>
          <w:szCs w:val="32"/>
          <w:lang w:eastAsia="zh-CN"/>
        </w:rPr>
        <w:t>）减少</w:t>
      </w:r>
      <w:r>
        <w:rPr>
          <w:rFonts w:hint="eastAsia" w:ascii="仿宋" w:hAnsi="仿宋" w:eastAsia="仿宋" w:cs="仿宋"/>
          <w:snapToGrid/>
          <w:color w:val="auto"/>
          <w:kern w:val="2"/>
          <w:sz w:val="32"/>
          <w:szCs w:val="32"/>
          <w:lang w:val="en-US" w:eastAsia="zh-CN"/>
        </w:rPr>
        <w:t>76.52</w:t>
      </w:r>
      <w:r>
        <w:rPr>
          <w:rFonts w:hint="eastAsia" w:ascii="仿宋" w:hAnsi="仿宋" w:eastAsia="仿宋" w:cs="仿宋"/>
          <w:snapToGrid/>
          <w:color w:val="auto"/>
          <w:kern w:val="2"/>
          <w:sz w:val="32"/>
          <w:szCs w:val="32"/>
          <w:lang w:eastAsia="zh-CN"/>
        </w:rPr>
        <w:t>万元。</w:t>
      </w:r>
    </w:p>
    <w:p w14:paraId="20FF5A68">
      <w:pPr>
        <w:widowControl w:val="0"/>
        <w:kinsoku/>
        <w:autoSpaceDE/>
        <w:autoSpaceDN/>
        <w:adjustRightInd/>
        <w:snapToGrid/>
        <w:ind w:firstLine="643" w:firstLineChars="200"/>
        <w:jc w:val="both"/>
        <w:textAlignment w:val="auto"/>
        <w:rPr>
          <w:rFonts w:ascii="仿宋_GB2312" w:hAnsi="Times New Roman" w:eastAsia="仿宋_GB2312" w:cs="Times New Roman"/>
          <w:b/>
          <w:bCs/>
          <w:snapToGrid/>
          <w:color w:val="auto"/>
          <w:kern w:val="2"/>
          <w:sz w:val="32"/>
          <w:szCs w:val="32"/>
        </w:rPr>
      </w:pPr>
      <w:r>
        <w:rPr>
          <w:rFonts w:hint="eastAsia" w:ascii="仿宋_GB2312" w:hAnsi="Times New Roman" w:eastAsia="仿宋_GB2312" w:cs="Times New Roman"/>
          <w:b/>
          <w:bCs/>
          <w:snapToGrid/>
          <w:color w:val="auto"/>
          <w:kern w:val="2"/>
          <w:sz w:val="32"/>
          <w:szCs w:val="32"/>
        </w:rPr>
        <w:t>(四)政府性基金情况</w:t>
      </w:r>
    </w:p>
    <w:p w14:paraId="23C5976D">
      <w:pPr>
        <w:keepNext w:val="0"/>
        <w:keepLines w:val="0"/>
        <w:pageBreakBefore w:val="0"/>
        <w:widowControl w:val="0"/>
        <w:kinsoku/>
        <w:wordWrap/>
        <w:overflowPunct/>
        <w:topLinePunct w:val="0"/>
        <w:autoSpaceDE/>
        <w:autoSpaceDN/>
        <w:bidi w:val="0"/>
        <w:adjustRightInd/>
        <w:snapToGrid/>
        <w:spacing w:before="0" w:beforeLines="150" w:line="360" w:lineRule="auto"/>
        <w:ind w:firstLine="640" w:firstLineChars="200"/>
        <w:jc w:val="both"/>
        <w:textAlignment w:val="auto"/>
        <w:rPr>
          <w:rFonts w:hint="eastAsia" w:ascii="仿宋_GB2312" w:hAnsi="Times New Roman" w:eastAsia="仿宋_GB2312" w:cs="Times New Roman"/>
          <w:snapToGrid/>
          <w:color w:val="auto"/>
          <w:kern w:val="2"/>
          <w:sz w:val="32"/>
          <w:szCs w:val="32"/>
          <w:lang w:eastAsia="zh-CN"/>
        </w:rPr>
      </w:pPr>
      <w:r>
        <w:rPr>
          <w:rFonts w:hint="eastAsia" w:ascii="仿宋_GB2312" w:hAnsi="Times New Roman" w:eastAsia="仿宋_GB2312" w:cs="Times New Roman"/>
          <w:snapToGrid/>
          <w:color w:val="auto"/>
          <w:kern w:val="2"/>
          <w:sz w:val="32"/>
          <w:szCs w:val="32"/>
          <w:lang w:eastAsia="zh-CN"/>
        </w:rPr>
        <w:t>本部门</w:t>
      </w:r>
      <w:r>
        <w:rPr>
          <w:rFonts w:hint="eastAsia" w:ascii="仿宋_GB2312" w:hAnsi="Times New Roman" w:eastAsia="仿宋_GB2312" w:cs="Times New Roman"/>
          <w:snapToGrid/>
          <w:color w:val="auto"/>
          <w:kern w:val="2"/>
          <w:sz w:val="32"/>
          <w:szCs w:val="32"/>
          <w:lang w:val="en-US" w:eastAsia="zh-CN"/>
        </w:rPr>
        <w:t>2025年度预算内</w:t>
      </w:r>
      <w:r>
        <w:rPr>
          <w:rFonts w:hint="eastAsia" w:ascii="仿宋_GB2312" w:hAnsi="Times New Roman" w:eastAsia="仿宋_GB2312" w:cs="Times New Roman"/>
          <w:snapToGrid/>
          <w:color w:val="auto"/>
          <w:kern w:val="2"/>
          <w:sz w:val="32"/>
          <w:szCs w:val="32"/>
          <w:lang w:eastAsia="zh-CN"/>
        </w:rPr>
        <w:t>不涉及此项。</w:t>
      </w:r>
    </w:p>
    <w:p w14:paraId="0384E0D3">
      <w:pPr>
        <w:widowControl w:val="0"/>
        <w:kinsoku/>
        <w:autoSpaceDE/>
        <w:autoSpaceDN/>
        <w:adjustRightInd/>
        <w:snapToGrid/>
        <w:ind w:firstLine="643" w:firstLineChars="200"/>
        <w:jc w:val="both"/>
        <w:textAlignment w:val="auto"/>
        <w:rPr>
          <w:rFonts w:ascii="仿宋_GB2312" w:hAnsi="Times New Roman" w:eastAsia="仿宋_GB2312" w:cs="Times New Roman"/>
          <w:b/>
          <w:bCs/>
          <w:snapToGrid/>
          <w:color w:val="auto"/>
          <w:kern w:val="2"/>
          <w:sz w:val="32"/>
          <w:szCs w:val="32"/>
        </w:rPr>
      </w:pPr>
      <w:r>
        <w:rPr>
          <w:rFonts w:hint="eastAsia" w:ascii="仿宋_GB2312" w:hAnsi="Times New Roman" w:eastAsia="仿宋_GB2312" w:cs="Times New Roman"/>
          <w:b/>
          <w:bCs/>
          <w:snapToGrid/>
          <w:color w:val="auto"/>
          <w:kern w:val="2"/>
          <w:sz w:val="32"/>
          <w:szCs w:val="32"/>
        </w:rPr>
        <w:t>(五)国有资本经营情况</w:t>
      </w:r>
    </w:p>
    <w:p w14:paraId="558F484A">
      <w:pPr>
        <w:keepNext w:val="0"/>
        <w:keepLines w:val="0"/>
        <w:pageBreakBefore w:val="0"/>
        <w:widowControl w:val="0"/>
        <w:kinsoku/>
        <w:wordWrap/>
        <w:overflowPunct/>
        <w:topLinePunct w:val="0"/>
        <w:autoSpaceDE/>
        <w:autoSpaceDN/>
        <w:bidi w:val="0"/>
        <w:adjustRightInd/>
        <w:snapToGrid/>
        <w:spacing w:before="0" w:beforeLines="150" w:line="360" w:lineRule="auto"/>
        <w:ind w:firstLine="640" w:firstLineChars="200"/>
        <w:jc w:val="both"/>
        <w:textAlignment w:val="auto"/>
        <w:rPr>
          <w:rFonts w:hint="eastAsia" w:ascii="仿宋_GB2312" w:hAnsi="Times New Roman" w:eastAsia="仿宋_GB2312" w:cs="Times New Roman"/>
          <w:snapToGrid/>
          <w:color w:val="auto"/>
          <w:kern w:val="2"/>
          <w:sz w:val="32"/>
          <w:szCs w:val="32"/>
          <w:lang w:eastAsia="zh-CN"/>
        </w:rPr>
      </w:pPr>
      <w:r>
        <w:rPr>
          <w:rFonts w:hint="eastAsia" w:ascii="仿宋_GB2312" w:hAnsi="Times New Roman" w:eastAsia="仿宋_GB2312" w:cs="Times New Roman"/>
          <w:snapToGrid/>
          <w:color w:val="auto"/>
          <w:kern w:val="2"/>
          <w:sz w:val="32"/>
          <w:szCs w:val="32"/>
          <w:lang w:eastAsia="zh-CN"/>
        </w:rPr>
        <w:t>本部门2025年度预算内不涉及此项。</w:t>
      </w:r>
    </w:p>
    <w:p w14:paraId="3D980475">
      <w:pPr>
        <w:widowControl w:val="0"/>
        <w:kinsoku/>
        <w:autoSpaceDE/>
        <w:autoSpaceDN/>
        <w:adjustRightInd/>
        <w:snapToGrid/>
        <w:ind w:firstLine="643" w:firstLineChars="200"/>
        <w:jc w:val="both"/>
        <w:textAlignment w:val="auto"/>
        <w:rPr>
          <w:rFonts w:hint="eastAsia" w:ascii="仿宋_GB2312" w:hAnsi="Times New Roman" w:eastAsia="仿宋_GB2312" w:cs="Times New Roman"/>
          <w:b/>
          <w:bCs/>
          <w:snapToGrid/>
          <w:color w:val="auto"/>
          <w:kern w:val="2"/>
          <w:sz w:val="32"/>
          <w:szCs w:val="32"/>
          <w:lang w:eastAsia="zh-CN"/>
        </w:rPr>
      </w:pPr>
      <w:r>
        <w:rPr>
          <w:rFonts w:hint="eastAsia" w:ascii="仿宋_GB2312" w:hAnsi="Times New Roman" w:eastAsia="仿宋_GB2312" w:cs="Times New Roman"/>
          <w:b/>
          <w:bCs/>
          <w:snapToGrid/>
          <w:color w:val="auto"/>
          <w:kern w:val="2"/>
          <w:sz w:val="32"/>
          <w:szCs w:val="32"/>
          <w:lang w:eastAsia="zh-CN"/>
        </w:rPr>
        <w:t>(六)机关运行经费等重要事项的说明</w:t>
      </w:r>
    </w:p>
    <w:p w14:paraId="2FB54830">
      <w:pPr>
        <w:keepNext w:val="0"/>
        <w:keepLines w:val="0"/>
        <w:pageBreakBefore w:val="0"/>
        <w:widowControl w:val="0"/>
        <w:kinsoku/>
        <w:wordWrap/>
        <w:overflowPunct/>
        <w:topLinePunct w:val="0"/>
        <w:autoSpaceDE/>
        <w:autoSpaceDN/>
        <w:bidi w:val="0"/>
        <w:adjustRightInd/>
        <w:snapToGrid/>
        <w:spacing w:before="0" w:beforeLines="150" w:line="360" w:lineRule="auto"/>
        <w:ind w:firstLine="640" w:firstLineChars="200"/>
        <w:jc w:val="both"/>
        <w:textAlignment w:val="auto"/>
        <w:rPr>
          <w:rFonts w:hint="eastAsia" w:ascii="仿宋_GB2312" w:hAnsi="Times New Roman" w:eastAsia="仿宋_GB2312" w:cs="Times New Roman"/>
          <w:snapToGrid/>
          <w:color w:val="auto"/>
          <w:kern w:val="2"/>
          <w:sz w:val="32"/>
          <w:szCs w:val="32"/>
          <w:lang w:eastAsia="zh-CN"/>
        </w:rPr>
      </w:pPr>
      <w:r>
        <w:rPr>
          <w:rFonts w:hint="eastAsia" w:ascii="仿宋_GB2312" w:hAnsi="Times New Roman" w:eastAsia="仿宋_GB2312" w:cs="Times New Roman"/>
          <w:snapToGrid/>
          <w:color w:val="auto"/>
          <w:kern w:val="2"/>
          <w:sz w:val="32"/>
          <w:szCs w:val="32"/>
          <w:lang w:eastAsia="zh-CN"/>
        </w:rPr>
        <w:t>2025年部门机关运行费预算</w:t>
      </w:r>
      <w:r>
        <w:rPr>
          <w:rFonts w:hint="eastAsia" w:ascii="仿宋_GB2312" w:hAnsi="Times New Roman" w:eastAsia="仿宋_GB2312" w:cs="Times New Roman"/>
          <w:snapToGrid/>
          <w:color w:val="auto"/>
          <w:kern w:val="2"/>
          <w:sz w:val="32"/>
          <w:szCs w:val="32"/>
          <w:lang w:val="en-US" w:eastAsia="zh-CN"/>
        </w:rPr>
        <w:t>70</w:t>
      </w:r>
      <w:r>
        <w:rPr>
          <w:rFonts w:hint="eastAsia" w:ascii="仿宋_GB2312" w:hAnsi="Times New Roman" w:eastAsia="仿宋_GB2312" w:cs="Times New Roman"/>
          <w:snapToGrid/>
          <w:color w:val="auto"/>
          <w:kern w:val="2"/>
          <w:sz w:val="32"/>
          <w:szCs w:val="32"/>
          <w:lang w:eastAsia="zh-CN"/>
        </w:rPr>
        <w:t>万元，比2024年预算数（</w:t>
      </w:r>
      <w:r>
        <w:rPr>
          <w:rFonts w:hint="eastAsia" w:ascii="仿宋_GB2312" w:hAnsi="Times New Roman" w:eastAsia="仿宋_GB2312" w:cs="Times New Roman"/>
          <w:snapToGrid/>
          <w:color w:val="auto"/>
          <w:kern w:val="2"/>
          <w:sz w:val="32"/>
          <w:szCs w:val="32"/>
          <w:lang w:val="en-US" w:eastAsia="zh-CN"/>
        </w:rPr>
        <w:t>68.9万元</w:t>
      </w:r>
      <w:r>
        <w:rPr>
          <w:rFonts w:hint="eastAsia" w:ascii="仿宋_GB2312" w:hAnsi="Times New Roman" w:eastAsia="仿宋_GB2312" w:cs="Times New Roman"/>
          <w:snapToGrid/>
          <w:color w:val="auto"/>
          <w:kern w:val="2"/>
          <w:sz w:val="32"/>
          <w:szCs w:val="32"/>
          <w:lang w:eastAsia="zh-CN"/>
        </w:rPr>
        <w:t>）增加</w:t>
      </w:r>
      <w:r>
        <w:rPr>
          <w:rFonts w:hint="eastAsia" w:ascii="仿宋_GB2312" w:hAnsi="Times New Roman" w:eastAsia="仿宋_GB2312" w:cs="Times New Roman"/>
          <w:snapToGrid/>
          <w:color w:val="auto"/>
          <w:kern w:val="2"/>
          <w:sz w:val="32"/>
          <w:szCs w:val="32"/>
          <w:lang w:val="en-US" w:eastAsia="zh-CN"/>
        </w:rPr>
        <w:t>1.1</w:t>
      </w:r>
      <w:r>
        <w:rPr>
          <w:rFonts w:hint="eastAsia" w:ascii="仿宋_GB2312" w:hAnsi="Times New Roman" w:eastAsia="仿宋_GB2312" w:cs="Times New Roman"/>
          <w:snapToGrid/>
          <w:color w:val="auto"/>
          <w:kern w:val="2"/>
          <w:sz w:val="32"/>
          <w:szCs w:val="32"/>
          <w:lang w:eastAsia="zh-CN"/>
        </w:rPr>
        <w:t>万元。</w:t>
      </w:r>
    </w:p>
    <w:p w14:paraId="134042B3">
      <w:pPr>
        <w:keepNext w:val="0"/>
        <w:keepLines w:val="0"/>
        <w:pageBreakBefore w:val="0"/>
        <w:widowControl w:val="0"/>
        <w:kinsoku/>
        <w:wordWrap/>
        <w:overflowPunct/>
        <w:topLinePunct w:val="0"/>
        <w:autoSpaceDE/>
        <w:autoSpaceDN/>
        <w:bidi w:val="0"/>
        <w:adjustRightInd/>
        <w:snapToGrid/>
        <w:spacing w:before="0" w:beforeLines="150" w:line="360" w:lineRule="auto"/>
        <w:ind w:firstLine="640" w:firstLineChars="200"/>
        <w:jc w:val="both"/>
        <w:textAlignment w:val="auto"/>
        <w:rPr>
          <w:rFonts w:hint="eastAsia" w:ascii="仿宋_GB2312" w:hAnsi="Times New Roman" w:eastAsia="仿宋_GB2312" w:cs="Times New Roman"/>
          <w:snapToGrid/>
          <w:color w:val="auto"/>
          <w:kern w:val="2"/>
          <w:sz w:val="32"/>
          <w:szCs w:val="32"/>
          <w:lang w:eastAsia="zh-CN"/>
        </w:rPr>
      </w:pPr>
      <w:r>
        <w:rPr>
          <w:rFonts w:hint="eastAsia" w:ascii="仿宋_GB2312" w:hAnsi="Times New Roman" w:eastAsia="仿宋_GB2312" w:cs="Times New Roman"/>
          <w:snapToGrid/>
          <w:color w:val="auto"/>
          <w:kern w:val="2"/>
          <w:sz w:val="32"/>
          <w:szCs w:val="32"/>
          <w:lang w:eastAsia="zh-CN"/>
        </w:rPr>
        <w:t>注：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1CDFC921">
      <w:pPr>
        <w:widowControl w:val="0"/>
        <w:kinsoku/>
        <w:autoSpaceDE/>
        <w:autoSpaceDN/>
        <w:adjustRightInd/>
        <w:snapToGrid/>
        <w:ind w:firstLine="643" w:firstLineChars="200"/>
        <w:jc w:val="both"/>
        <w:textAlignment w:val="auto"/>
        <w:rPr>
          <w:rFonts w:hint="eastAsia" w:ascii="仿宋_GB2312" w:hAnsi="Times New Roman" w:eastAsia="仿宋_GB2312" w:cs="Times New Roman"/>
          <w:b/>
          <w:bCs/>
          <w:snapToGrid/>
          <w:color w:val="auto"/>
          <w:kern w:val="2"/>
          <w:sz w:val="32"/>
          <w:szCs w:val="32"/>
          <w:lang w:eastAsia="zh-CN"/>
        </w:rPr>
      </w:pPr>
      <w:r>
        <w:rPr>
          <w:rFonts w:hint="eastAsia" w:ascii="仿宋_GB2312" w:hAnsi="Times New Roman" w:eastAsia="仿宋_GB2312" w:cs="Times New Roman"/>
          <w:b/>
          <w:bCs/>
          <w:snapToGrid/>
          <w:color w:val="auto"/>
          <w:kern w:val="2"/>
          <w:sz w:val="32"/>
          <w:szCs w:val="32"/>
          <w:lang w:eastAsia="zh-CN"/>
        </w:rPr>
        <w:t>(七)政府采购情况</w:t>
      </w:r>
    </w:p>
    <w:p w14:paraId="7DC0DC58">
      <w:pPr>
        <w:keepNext w:val="0"/>
        <w:keepLines w:val="0"/>
        <w:pageBreakBefore w:val="0"/>
        <w:widowControl w:val="0"/>
        <w:kinsoku/>
        <w:wordWrap/>
        <w:overflowPunct/>
        <w:topLinePunct w:val="0"/>
        <w:autoSpaceDE/>
        <w:autoSpaceDN/>
        <w:bidi w:val="0"/>
        <w:adjustRightInd/>
        <w:snapToGrid/>
        <w:spacing w:before="0" w:beforeLines="150" w:line="360" w:lineRule="auto"/>
        <w:ind w:firstLine="640" w:firstLineChars="200"/>
        <w:jc w:val="both"/>
        <w:textAlignment w:val="auto"/>
        <w:rPr>
          <w:rFonts w:hint="eastAsia" w:ascii="仿宋_GB2312" w:hAnsi="Times New Roman" w:eastAsia="仿宋_GB2312" w:cs="Times New Roman"/>
          <w:snapToGrid/>
          <w:color w:val="auto"/>
          <w:kern w:val="2"/>
          <w:sz w:val="32"/>
          <w:szCs w:val="32"/>
          <w:lang w:eastAsia="zh-CN"/>
        </w:rPr>
      </w:pPr>
      <w:r>
        <w:rPr>
          <w:rFonts w:hint="eastAsia" w:ascii="仿宋_GB2312" w:hAnsi="Times New Roman" w:eastAsia="仿宋_GB2312" w:cs="Times New Roman"/>
          <w:snapToGrid/>
          <w:color w:val="auto"/>
          <w:kern w:val="2"/>
          <w:sz w:val="32"/>
          <w:szCs w:val="32"/>
          <w:lang w:eastAsia="zh-CN"/>
        </w:rPr>
        <w:t>2025年部门所属各单位政府采购总额</w:t>
      </w:r>
      <w:r>
        <w:rPr>
          <w:rFonts w:hint="eastAsia" w:ascii="仿宋_GB2312" w:hAnsi="Times New Roman" w:eastAsia="仿宋_GB2312" w:cs="Times New Roman"/>
          <w:snapToGrid/>
          <w:color w:val="auto"/>
          <w:kern w:val="2"/>
          <w:sz w:val="32"/>
          <w:szCs w:val="32"/>
          <w:lang w:val="en-US" w:eastAsia="zh-CN"/>
        </w:rPr>
        <w:t>5</w:t>
      </w:r>
      <w:r>
        <w:rPr>
          <w:rFonts w:hint="eastAsia" w:ascii="仿宋_GB2312" w:hAnsi="Times New Roman" w:eastAsia="仿宋_GB2312" w:cs="Times New Roman"/>
          <w:snapToGrid/>
          <w:color w:val="auto"/>
          <w:kern w:val="2"/>
          <w:sz w:val="32"/>
          <w:szCs w:val="32"/>
          <w:lang w:eastAsia="zh-CN"/>
        </w:rPr>
        <w:t>万元，其中:政府采购货物预算</w:t>
      </w:r>
      <w:r>
        <w:rPr>
          <w:rFonts w:hint="eastAsia" w:ascii="仿宋_GB2312" w:hAnsi="Times New Roman" w:eastAsia="仿宋_GB2312" w:cs="Times New Roman"/>
          <w:snapToGrid/>
          <w:color w:val="auto"/>
          <w:kern w:val="2"/>
          <w:sz w:val="32"/>
          <w:szCs w:val="32"/>
          <w:lang w:val="en-US" w:eastAsia="zh-CN"/>
        </w:rPr>
        <w:t>5</w:t>
      </w:r>
      <w:r>
        <w:rPr>
          <w:rFonts w:hint="eastAsia" w:ascii="仿宋_GB2312" w:hAnsi="Times New Roman" w:eastAsia="仿宋_GB2312" w:cs="Times New Roman"/>
          <w:snapToGrid/>
          <w:color w:val="auto"/>
          <w:kern w:val="2"/>
          <w:sz w:val="32"/>
          <w:szCs w:val="32"/>
          <w:lang w:eastAsia="zh-CN"/>
        </w:rPr>
        <w:t>万元、政府采购工程预算</w:t>
      </w:r>
      <w:r>
        <w:rPr>
          <w:rFonts w:hint="eastAsia" w:ascii="仿宋_GB2312" w:hAnsi="Times New Roman" w:eastAsia="仿宋_GB2312" w:cs="Times New Roman"/>
          <w:snapToGrid/>
          <w:color w:val="auto"/>
          <w:kern w:val="2"/>
          <w:sz w:val="32"/>
          <w:szCs w:val="32"/>
          <w:lang w:val="en-US" w:eastAsia="zh-CN"/>
        </w:rPr>
        <w:t>0</w:t>
      </w:r>
      <w:r>
        <w:rPr>
          <w:rFonts w:hint="eastAsia" w:ascii="仿宋_GB2312" w:hAnsi="Times New Roman" w:eastAsia="仿宋_GB2312" w:cs="Times New Roman"/>
          <w:snapToGrid/>
          <w:color w:val="auto"/>
          <w:kern w:val="2"/>
          <w:sz w:val="32"/>
          <w:szCs w:val="32"/>
          <w:lang w:eastAsia="zh-CN"/>
        </w:rPr>
        <w:t>万元、政府采购服务预算</w:t>
      </w:r>
      <w:r>
        <w:rPr>
          <w:rFonts w:hint="eastAsia" w:ascii="仿宋_GB2312" w:hAnsi="Times New Roman" w:eastAsia="仿宋_GB2312" w:cs="Times New Roman"/>
          <w:snapToGrid/>
          <w:color w:val="auto"/>
          <w:kern w:val="2"/>
          <w:sz w:val="32"/>
          <w:szCs w:val="32"/>
          <w:lang w:val="en-US" w:eastAsia="zh-CN"/>
        </w:rPr>
        <w:t>0</w:t>
      </w:r>
      <w:r>
        <w:rPr>
          <w:rFonts w:hint="eastAsia" w:ascii="仿宋_GB2312" w:hAnsi="Times New Roman" w:eastAsia="仿宋_GB2312" w:cs="Times New Roman"/>
          <w:snapToGrid/>
          <w:color w:val="auto"/>
          <w:kern w:val="2"/>
          <w:sz w:val="32"/>
          <w:szCs w:val="32"/>
          <w:lang w:eastAsia="zh-CN"/>
        </w:rPr>
        <w:t>万元。</w:t>
      </w:r>
    </w:p>
    <w:p w14:paraId="5A9CFCC8">
      <w:pPr>
        <w:widowControl w:val="0"/>
        <w:kinsoku/>
        <w:autoSpaceDE/>
        <w:autoSpaceDN/>
        <w:adjustRightInd/>
        <w:snapToGrid/>
        <w:ind w:firstLine="643" w:firstLineChars="200"/>
        <w:jc w:val="both"/>
        <w:textAlignment w:val="auto"/>
        <w:rPr>
          <w:rFonts w:hint="eastAsia" w:ascii="仿宋_GB2312" w:hAnsi="Times New Roman" w:eastAsia="仿宋_GB2312" w:cs="Times New Roman"/>
          <w:b/>
          <w:bCs/>
          <w:snapToGrid/>
          <w:color w:val="auto"/>
          <w:kern w:val="2"/>
          <w:sz w:val="32"/>
          <w:szCs w:val="32"/>
          <w:lang w:eastAsia="zh-CN"/>
        </w:rPr>
      </w:pPr>
      <w:r>
        <w:rPr>
          <w:rFonts w:hint="eastAsia" w:ascii="仿宋_GB2312" w:hAnsi="Times New Roman" w:eastAsia="仿宋_GB2312" w:cs="Times New Roman"/>
          <w:b/>
          <w:bCs/>
          <w:snapToGrid/>
          <w:color w:val="auto"/>
          <w:kern w:val="2"/>
          <w:sz w:val="32"/>
          <w:szCs w:val="32"/>
          <w:lang w:eastAsia="zh-CN"/>
        </w:rPr>
        <w:t>(八)国有资产占有使用情况</w:t>
      </w:r>
    </w:p>
    <w:p w14:paraId="680C025C">
      <w:pPr>
        <w:keepNext w:val="0"/>
        <w:keepLines w:val="0"/>
        <w:pageBreakBefore w:val="0"/>
        <w:widowControl w:val="0"/>
        <w:kinsoku/>
        <w:wordWrap/>
        <w:overflowPunct/>
        <w:topLinePunct w:val="0"/>
        <w:autoSpaceDE/>
        <w:autoSpaceDN/>
        <w:bidi w:val="0"/>
        <w:adjustRightInd/>
        <w:snapToGrid/>
        <w:spacing w:before="0" w:beforeLines="150" w:line="360" w:lineRule="auto"/>
        <w:ind w:firstLine="640" w:firstLineChars="200"/>
        <w:jc w:val="both"/>
        <w:textAlignment w:val="auto"/>
        <w:rPr>
          <w:rFonts w:hint="eastAsia" w:ascii="仿宋_GB2312" w:hAnsi="Times New Roman" w:eastAsia="仿宋_GB2312" w:cs="Times New Roman"/>
          <w:snapToGrid/>
          <w:color w:val="auto"/>
          <w:kern w:val="2"/>
          <w:sz w:val="32"/>
          <w:szCs w:val="32"/>
          <w:lang w:eastAsia="zh-CN"/>
        </w:rPr>
      </w:pPr>
      <w:r>
        <w:rPr>
          <w:rFonts w:hint="eastAsia" w:ascii="仿宋_GB2312" w:hAnsi="Times New Roman" w:eastAsia="仿宋_GB2312" w:cs="Times New Roman"/>
          <w:snapToGrid/>
          <w:color w:val="auto"/>
          <w:kern w:val="2"/>
          <w:sz w:val="32"/>
          <w:szCs w:val="32"/>
          <w:lang w:eastAsia="zh-CN"/>
        </w:rPr>
        <w:t>本部门2025年度预算内不涉及此项。</w:t>
      </w:r>
    </w:p>
    <w:p w14:paraId="2EEF85D1">
      <w:pPr>
        <w:widowControl w:val="0"/>
        <w:kinsoku/>
        <w:autoSpaceDE/>
        <w:autoSpaceDN/>
        <w:adjustRightInd/>
        <w:snapToGrid/>
        <w:ind w:firstLine="643" w:firstLineChars="200"/>
        <w:jc w:val="both"/>
        <w:textAlignment w:val="auto"/>
        <w:rPr>
          <w:rFonts w:hint="eastAsia" w:ascii="仿宋_GB2312" w:hAnsi="Times New Roman" w:eastAsia="仿宋_GB2312" w:cs="Times New Roman"/>
          <w:b/>
          <w:bCs/>
          <w:snapToGrid/>
          <w:color w:val="auto"/>
          <w:kern w:val="2"/>
          <w:sz w:val="32"/>
          <w:szCs w:val="32"/>
          <w:lang w:eastAsia="zh-CN"/>
        </w:rPr>
      </w:pPr>
      <w:r>
        <w:rPr>
          <w:rFonts w:hint="eastAsia" w:ascii="仿宋_GB2312" w:hAnsi="Times New Roman" w:eastAsia="仿宋_GB2312" w:cs="Times New Roman"/>
          <w:b/>
          <w:bCs/>
          <w:snapToGrid/>
          <w:color w:val="auto"/>
          <w:kern w:val="2"/>
          <w:sz w:val="32"/>
          <w:szCs w:val="32"/>
          <w:lang w:eastAsia="zh-CN"/>
        </w:rPr>
        <w:t>(九)县级专项清单（详情请看专项表）</w:t>
      </w:r>
    </w:p>
    <w:p w14:paraId="6A44A4FF">
      <w:pPr>
        <w:keepNext w:val="0"/>
        <w:keepLines w:val="0"/>
        <w:pageBreakBefore w:val="0"/>
        <w:widowControl w:val="0"/>
        <w:kinsoku/>
        <w:wordWrap/>
        <w:overflowPunct/>
        <w:topLinePunct w:val="0"/>
        <w:autoSpaceDE/>
        <w:autoSpaceDN/>
        <w:bidi w:val="0"/>
        <w:adjustRightInd/>
        <w:snapToGrid/>
        <w:spacing w:before="0" w:beforeLines="50" w:line="360" w:lineRule="auto"/>
        <w:ind w:firstLine="640" w:firstLineChars="200"/>
        <w:jc w:val="both"/>
        <w:textAlignment w:val="auto"/>
        <w:rPr>
          <w:rFonts w:hint="eastAsia" w:ascii="仿宋_GB2312" w:hAnsi="Times New Roman" w:eastAsia="仿宋_GB2312" w:cs="Times New Roman"/>
          <w:snapToGrid/>
          <w:color w:val="auto"/>
          <w:kern w:val="2"/>
          <w:sz w:val="32"/>
          <w:szCs w:val="32"/>
          <w:lang w:eastAsia="zh-CN"/>
        </w:rPr>
      </w:pPr>
      <w:r>
        <w:rPr>
          <w:rFonts w:hint="eastAsia" w:ascii="仿宋_GB2312" w:hAnsi="Times New Roman" w:eastAsia="仿宋_GB2312" w:cs="Times New Roman"/>
          <w:snapToGrid/>
          <w:color w:val="auto"/>
          <w:kern w:val="2"/>
          <w:sz w:val="32"/>
          <w:szCs w:val="32"/>
          <w:lang w:eastAsia="zh-CN"/>
        </w:rPr>
        <w:t>1、公共法律服务项目</w:t>
      </w:r>
    </w:p>
    <w:p w14:paraId="2F85C4A9">
      <w:pPr>
        <w:keepNext w:val="0"/>
        <w:keepLines w:val="0"/>
        <w:pageBreakBefore w:val="0"/>
        <w:widowControl w:val="0"/>
        <w:kinsoku/>
        <w:wordWrap/>
        <w:overflowPunct/>
        <w:topLinePunct w:val="0"/>
        <w:autoSpaceDE/>
        <w:autoSpaceDN/>
        <w:bidi w:val="0"/>
        <w:adjustRightInd/>
        <w:snapToGrid/>
        <w:spacing w:before="0" w:beforeLines="50" w:line="360" w:lineRule="auto"/>
        <w:ind w:firstLine="640" w:firstLineChars="200"/>
        <w:jc w:val="both"/>
        <w:textAlignment w:val="auto"/>
        <w:rPr>
          <w:rFonts w:hint="eastAsia" w:ascii="仿宋_GB2312" w:hAnsi="Times New Roman" w:eastAsia="仿宋_GB2312" w:cs="Times New Roman"/>
          <w:snapToGrid/>
          <w:color w:val="auto"/>
          <w:kern w:val="2"/>
          <w:sz w:val="32"/>
          <w:szCs w:val="32"/>
          <w:lang w:eastAsia="zh-CN"/>
        </w:rPr>
      </w:pPr>
      <w:r>
        <w:rPr>
          <w:rFonts w:hint="eastAsia" w:ascii="仿宋_GB2312" w:hAnsi="Times New Roman" w:eastAsia="仿宋_GB2312" w:cs="Times New Roman"/>
          <w:snapToGrid/>
          <w:color w:val="auto"/>
          <w:kern w:val="2"/>
          <w:sz w:val="32"/>
          <w:szCs w:val="32"/>
          <w:lang w:eastAsia="zh-CN"/>
        </w:rPr>
        <w:t>2、社区矫正项目</w:t>
      </w:r>
    </w:p>
    <w:p w14:paraId="354E2E08">
      <w:pPr>
        <w:keepNext w:val="0"/>
        <w:keepLines w:val="0"/>
        <w:pageBreakBefore w:val="0"/>
        <w:widowControl w:val="0"/>
        <w:kinsoku/>
        <w:wordWrap/>
        <w:overflowPunct/>
        <w:topLinePunct w:val="0"/>
        <w:autoSpaceDE/>
        <w:autoSpaceDN/>
        <w:bidi w:val="0"/>
        <w:adjustRightInd/>
        <w:snapToGrid/>
        <w:spacing w:before="0" w:beforeLines="50" w:line="360" w:lineRule="auto"/>
        <w:ind w:firstLine="640" w:firstLineChars="200"/>
        <w:jc w:val="both"/>
        <w:textAlignment w:val="auto"/>
        <w:rPr>
          <w:rFonts w:hint="eastAsia" w:ascii="仿宋_GB2312" w:hAnsi="Times New Roman" w:eastAsia="仿宋_GB2312" w:cs="Times New Roman"/>
          <w:snapToGrid/>
          <w:color w:val="auto"/>
          <w:kern w:val="2"/>
          <w:sz w:val="32"/>
          <w:szCs w:val="32"/>
          <w:lang w:val="en-US" w:eastAsia="zh-CN"/>
        </w:rPr>
      </w:pPr>
      <w:r>
        <w:rPr>
          <w:rFonts w:hint="eastAsia" w:ascii="仿宋_GB2312" w:hAnsi="Times New Roman" w:eastAsia="仿宋_GB2312" w:cs="Times New Roman"/>
          <w:snapToGrid/>
          <w:color w:val="auto"/>
          <w:kern w:val="2"/>
          <w:sz w:val="32"/>
          <w:szCs w:val="32"/>
          <w:lang w:val="en-US" w:eastAsia="zh-CN"/>
        </w:rPr>
        <w:t>3.法治建设项目</w:t>
      </w:r>
    </w:p>
    <w:p w14:paraId="0D5F616A">
      <w:pPr>
        <w:keepNext w:val="0"/>
        <w:keepLines w:val="0"/>
        <w:pageBreakBefore w:val="0"/>
        <w:widowControl w:val="0"/>
        <w:kinsoku/>
        <w:wordWrap/>
        <w:overflowPunct/>
        <w:topLinePunct w:val="0"/>
        <w:autoSpaceDE/>
        <w:autoSpaceDN/>
        <w:bidi w:val="0"/>
        <w:adjustRightInd/>
        <w:snapToGrid/>
        <w:spacing w:before="0" w:beforeLines="50" w:line="360" w:lineRule="auto"/>
        <w:ind w:firstLine="640" w:firstLineChars="200"/>
        <w:jc w:val="both"/>
        <w:textAlignment w:val="auto"/>
        <w:rPr>
          <w:rFonts w:hint="default" w:ascii="仿宋_GB2312" w:hAnsi="Times New Roman" w:eastAsia="仿宋_GB2312" w:cs="Times New Roman"/>
          <w:snapToGrid/>
          <w:color w:val="auto"/>
          <w:kern w:val="2"/>
          <w:sz w:val="32"/>
          <w:szCs w:val="32"/>
          <w:lang w:val="en-US" w:eastAsia="zh-CN"/>
        </w:rPr>
      </w:pPr>
      <w:r>
        <w:rPr>
          <w:rFonts w:hint="eastAsia" w:ascii="仿宋_GB2312" w:hAnsi="Times New Roman" w:eastAsia="仿宋_GB2312" w:cs="Times New Roman"/>
          <w:snapToGrid/>
          <w:color w:val="auto"/>
          <w:kern w:val="2"/>
          <w:sz w:val="32"/>
          <w:szCs w:val="32"/>
          <w:lang w:val="en-US" w:eastAsia="zh-CN"/>
        </w:rPr>
        <w:t>4.其他司法支出项目</w:t>
      </w:r>
    </w:p>
    <w:p w14:paraId="044AA722">
      <w:pPr>
        <w:spacing w:before="214"/>
        <w:rPr>
          <w:rFonts w:ascii="楷体" w:hAnsi="楷体" w:eastAsia="楷体" w:cs="楷体"/>
          <w:color w:val="auto"/>
          <w:spacing w:val="13"/>
          <w:sz w:val="32"/>
          <w:szCs w:val="32"/>
        </w:rPr>
      </w:pPr>
      <w:r>
        <w:rPr>
          <w:rFonts w:hint="eastAsia" w:ascii="楷体" w:hAnsi="楷体" w:eastAsia="楷体" w:cs="楷体"/>
          <w:color w:val="auto"/>
          <w:spacing w:val="13"/>
          <w:sz w:val="32"/>
          <w:szCs w:val="32"/>
        </w:rPr>
        <w:t>二、2025年"三公”经费预算情况说明</w:t>
      </w:r>
    </w:p>
    <w:p w14:paraId="42575D5B">
      <w:pPr>
        <w:keepNext w:val="0"/>
        <w:keepLines w:val="0"/>
        <w:pageBreakBefore w:val="0"/>
        <w:widowControl w:val="0"/>
        <w:kinsoku/>
        <w:wordWrap/>
        <w:overflowPunct/>
        <w:topLinePunct w:val="0"/>
        <w:autoSpaceDE/>
        <w:autoSpaceDN/>
        <w:bidi w:val="0"/>
        <w:adjustRightInd/>
        <w:snapToGrid/>
        <w:spacing w:before="0" w:beforeLines="150" w:line="360" w:lineRule="auto"/>
        <w:ind w:firstLine="640" w:firstLineChars="200"/>
        <w:jc w:val="both"/>
        <w:textAlignment w:val="auto"/>
        <w:rPr>
          <w:rFonts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color w:val="auto"/>
          <w:kern w:val="2"/>
          <w:sz w:val="32"/>
          <w:szCs w:val="32"/>
        </w:rPr>
        <w:t>2025年</w:t>
      </w:r>
      <w:r>
        <w:rPr>
          <w:rFonts w:hint="eastAsia" w:ascii="仿宋_GB2312" w:hAnsi="Times New Roman" w:eastAsia="仿宋_GB2312" w:cs="Times New Roman"/>
          <w:snapToGrid/>
          <w:color w:val="auto"/>
          <w:kern w:val="2"/>
          <w:sz w:val="32"/>
          <w:szCs w:val="32"/>
          <w:lang w:eastAsia="zh-CN"/>
        </w:rPr>
        <w:t>浮梁县司法局</w:t>
      </w:r>
      <w:r>
        <w:rPr>
          <w:rFonts w:hint="eastAsia" w:ascii="仿宋_GB2312" w:hAnsi="Times New Roman" w:eastAsia="仿宋_GB2312" w:cs="Times New Roman"/>
          <w:snapToGrid/>
          <w:color w:val="auto"/>
          <w:kern w:val="2"/>
          <w:sz w:val="32"/>
          <w:szCs w:val="32"/>
        </w:rPr>
        <w:t>"三公"经费一般公共预算安排万元。其中:</w:t>
      </w:r>
    </w:p>
    <w:p w14:paraId="18743A4A">
      <w:pPr>
        <w:keepNext w:val="0"/>
        <w:keepLines w:val="0"/>
        <w:pageBreakBefore w:val="0"/>
        <w:widowControl w:val="0"/>
        <w:kinsoku/>
        <w:wordWrap/>
        <w:overflowPunct/>
        <w:topLinePunct w:val="0"/>
        <w:autoSpaceDE/>
        <w:autoSpaceDN/>
        <w:bidi w:val="0"/>
        <w:adjustRightInd/>
        <w:snapToGrid/>
        <w:spacing w:before="0" w:beforeLines="50" w:line="360" w:lineRule="auto"/>
        <w:ind w:firstLine="640" w:firstLineChars="200"/>
        <w:jc w:val="both"/>
        <w:textAlignment w:val="auto"/>
        <w:rPr>
          <w:rFonts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color w:val="auto"/>
          <w:kern w:val="2"/>
          <w:sz w:val="32"/>
          <w:szCs w:val="32"/>
        </w:rPr>
        <w:t>因公出国(境)费</w:t>
      </w:r>
      <w:r>
        <w:rPr>
          <w:rFonts w:hint="eastAsia" w:ascii="仿宋_GB2312" w:hAnsi="Times New Roman" w:eastAsia="仿宋_GB2312" w:cs="Times New Roman"/>
          <w:snapToGrid/>
          <w:color w:val="auto"/>
          <w:kern w:val="2"/>
          <w:sz w:val="32"/>
          <w:szCs w:val="32"/>
          <w:lang w:val="en-US" w:eastAsia="zh-CN"/>
        </w:rPr>
        <w:t>0万元</w:t>
      </w:r>
      <w:r>
        <w:rPr>
          <w:rFonts w:hint="eastAsia" w:ascii="仿宋_GB2312" w:hAnsi="Times New Roman" w:eastAsia="仿宋_GB2312" w:cs="Times New Roman"/>
          <w:snapToGrid/>
          <w:color w:val="auto"/>
          <w:kern w:val="2"/>
          <w:sz w:val="32"/>
          <w:szCs w:val="32"/>
        </w:rPr>
        <w:t>。</w:t>
      </w:r>
    </w:p>
    <w:p w14:paraId="2DFFE3CC">
      <w:pPr>
        <w:keepNext w:val="0"/>
        <w:keepLines w:val="0"/>
        <w:pageBreakBefore w:val="0"/>
        <w:widowControl w:val="0"/>
        <w:kinsoku/>
        <w:wordWrap/>
        <w:overflowPunct/>
        <w:topLinePunct w:val="0"/>
        <w:autoSpaceDE/>
        <w:autoSpaceDN/>
        <w:bidi w:val="0"/>
        <w:adjustRightInd/>
        <w:snapToGrid/>
        <w:spacing w:before="0" w:beforeLines="50" w:line="360" w:lineRule="auto"/>
        <w:ind w:firstLine="640" w:firstLineChars="200"/>
        <w:jc w:val="both"/>
        <w:textAlignment w:val="auto"/>
        <w:rPr>
          <w:rFonts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color w:val="auto"/>
          <w:kern w:val="2"/>
          <w:sz w:val="32"/>
          <w:szCs w:val="32"/>
        </w:rPr>
        <w:t>公务接待费</w:t>
      </w:r>
      <w:r>
        <w:rPr>
          <w:rFonts w:hint="eastAsia" w:ascii="仿宋_GB2312" w:hAnsi="Times New Roman" w:eastAsia="仿宋_GB2312" w:cs="Times New Roman"/>
          <w:snapToGrid/>
          <w:color w:val="auto"/>
          <w:kern w:val="2"/>
          <w:sz w:val="32"/>
          <w:szCs w:val="32"/>
          <w:lang w:val="en-US" w:eastAsia="zh-CN"/>
        </w:rPr>
        <w:t>3</w:t>
      </w:r>
      <w:r>
        <w:rPr>
          <w:rFonts w:hint="eastAsia" w:ascii="仿宋_GB2312" w:hAnsi="Times New Roman" w:eastAsia="仿宋_GB2312" w:cs="Times New Roman"/>
          <w:snapToGrid/>
          <w:color w:val="auto"/>
          <w:kern w:val="2"/>
          <w:sz w:val="32"/>
          <w:szCs w:val="32"/>
        </w:rPr>
        <w:t>万元，比上年</w:t>
      </w:r>
      <w:r>
        <w:rPr>
          <w:rFonts w:hint="eastAsia" w:ascii="仿宋_GB2312" w:hAnsi="Times New Roman" w:eastAsia="仿宋_GB2312" w:cs="Times New Roman"/>
          <w:snapToGrid/>
          <w:color w:val="auto"/>
          <w:kern w:val="2"/>
          <w:sz w:val="32"/>
          <w:szCs w:val="32"/>
          <w:lang w:eastAsia="zh-CN"/>
        </w:rPr>
        <w:t>（</w:t>
      </w:r>
      <w:r>
        <w:rPr>
          <w:rFonts w:hint="eastAsia" w:ascii="仿宋_GB2312" w:hAnsi="Times New Roman" w:eastAsia="仿宋_GB2312" w:cs="Times New Roman"/>
          <w:snapToGrid/>
          <w:color w:val="auto"/>
          <w:kern w:val="2"/>
          <w:sz w:val="32"/>
          <w:szCs w:val="32"/>
          <w:lang w:val="en-US" w:eastAsia="zh-CN"/>
        </w:rPr>
        <w:t>4万元</w:t>
      </w:r>
      <w:r>
        <w:rPr>
          <w:rFonts w:hint="eastAsia" w:ascii="仿宋_GB2312" w:hAnsi="Times New Roman" w:eastAsia="仿宋_GB2312" w:cs="Times New Roman"/>
          <w:snapToGrid/>
          <w:color w:val="auto"/>
          <w:kern w:val="2"/>
          <w:sz w:val="32"/>
          <w:szCs w:val="32"/>
          <w:lang w:eastAsia="zh-CN"/>
        </w:rPr>
        <w:t>）</w:t>
      </w:r>
      <w:r>
        <w:rPr>
          <w:rFonts w:hint="eastAsia" w:ascii="仿宋_GB2312" w:hAnsi="Times New Roman" w:eastAsia="仿宋_GB2312" w:cs="Times New Roman"/>
          <w:snapToGrid/>
          <w:color w:val="auto"/>
          <w:kern w:val="2"/>
          <w:sz w:val="32"/>
          <w:szCs w:val="32"/>
        </w:rPr>
        <w:t>减</w:t>
      </w:r>
      <w:r>
        <w:rPr>
          <w:rFonts w:hint="eastAsia" w:ascii="仿宋_GB2312" w:hAnsi="Times New Roman" w:eastAsia="仿宋_GB2312" w:cs="Times New Roman"/>
          <w:snapToGrid/>
          <w:color w:val="auto"/>
          <w:kern w:val="2"/>
          <w:sz w:val="32"/>
          <w:szCs w:val="32"/>
          <w:lang w:eastAsia="zh-CN"/>
        </w:rPr>
        <w:t>少</w:t>
      </w:r>
      <w:r>
        <w:rPr>
          <w:rFonts w:hint="eastAsia" w:ascii="仿宋_GB2312" w:hAnsi="Times New Roman" w:eastAsia="仿宋_GB2312" w:cs="Times New Roman"/>
          <w:snapToGrid/>
          <w:color w:val="auto"/>
          <w:kern w:val="2"/>
          <w:sz w:val="32"/>
          <w:szCs w:val="32"/>
          <w:lang w:val="en-US" w:eastAsia="zh-CN"/>
        </w:rPr>
        <w:t>1</w:t>
      </w:r>
      <w:r>
        <w:rPr>
          <w:rFonts w:hint="eastAsia" w:ascii="仿宋_GB2312" w:hAnsi="Times New Roman" w:eastAsia="仿宋_GB2312" w:cs="Times New Roman"/>
          <w:snapToGrid/>
          <w:color w:val="auto"/>
          <w:kern w:val="2"/>
          <w:sz w:val="32"/>
          <w:szCs w:val="32"/>
        </w:rPr>
        <w:t>万元，主要原因是:</w:t>
      </w:r>
      <w:r>
        <w:rPr>
          <w:rFonts w:hint="eastAsia" w:ascii="仿宋_GB2312" w:hAnsi="Times New Roman" w:eastAsia="仿宋_GB2312" w:cs="Times New Roman"/>
          <w:snapToGrid/>
          <w:color w:val="auto"/>
          <w:kern w:val="2"/>
          <w:sz w:val="32"/>
          <w:szCs w:val="32"/>
          <w:lang w:eastAsia="zh-CN"/>
        </w:rPr>
        <w:t>厉行勤俭节约</w:t>
      </w:r>
      <w:r>
        <w:rPr>
          <w:rFonts w:hint="eastAsia" w:ascii="仿宋_GB2312" w:hAnsi="Times New Roman" w:eastAsia="仿宋_GB2312" w:cs="Times New Roman"/>
          <w:snapToGrid/>
          <w:color w:val="auto"/>
          <w:kern w:val="2"/>
          <w:sz w:val="32"/>
          <w:szCs w:val="32"/>
        </w:rPr>
        <w:t>。</w:t>
      </w:r>
    </w:p>
    <w:p w14:paraId="6590287F">
      <w:pPr>
        <w:keepNext w:val="0"/>
        <w:keepLines w:val="0"/>
        <w:pageBreakBefore w:val="0"/>
        <w:widowControl w:val="0"/>
        <w:kinsoku/>
        <w:wordWrap/>
        <w:overflowPunct/>
        <w:topLinePunct w:val="0"/>
        <w:autoSpaceDE/>
        <w:autoSpaceDN/>
        <w:bidi w:val="0"/>
        <w:adjustRightInd/>
        <w:snapToGrid/>
        <w:spacing w:before="0" w:beforeLines="50" w:line="360" w:lineRule="auto"/>
        <w:ind w:firstLine="640" w:firstLineChars="200"/>
        <w:jc w:val="both"/>
        <w:textAlignment w:val="auto"/>
        <w:rPr>
          <w:rFonts w:hint="eastAsia" w:ascii="仿宋_GB2312" w:hAnsi="Times New Roman" w:eastAsia="仿宋_GB2312" w:cs="Times New Roman"/>
          <w:snapToGrid/>
          <w:color w:val="auto"/>
          <w:kern w:val="2"/>
          <w:sz w:val="32"/>
          <w:szCs w:val="32"/>
          <w:lang w:eastAsia="zh-CN"/>
        </w:rPr>
      </w:pPr>
      <w:r>
        <w:rPr>
          <w:rFonts w:hint="eastAsia" w:ascii="仿宋_GB2312" w:hAnsi="Times New Roman" w:eastAsia="仿宋_GB2312" w:cs="Times New Roman"/>
          <w:snapToGrid/>
          <w:color w:val="auto"/>
          <w:kern w:val="2"/>
          <w:sz w:val="32"/>
          <w:szCs w:val="32"/>
        </w:rPr>
        <w:t>公务用车运行维护费</w:t>
      </w:r>
      <w:r>
        <w:rPr>
          <w:rFonts w:hint="eastAsia" w:ascii="仿宋_GB2312" w:hAnsi="Times New Roman" w:eastAsia="仿宋_GB2312" w:cs="Times New Roman"/>
          <w:snapToGrid/>
          <w:color w:val="auto"/>
          <w:kern w:val="2"/>
          <w:sz w:val="32"/>
          <w:szCs w:val="32"/>
          <w:lang w:val="en-US" w:eastAsia="zh-CN"/>
        </w:rPr>
        <w:t>2.59</w:t>
      </w:r>
      <w:r>
        <w:rPr>
          <w:rFonts w:hint="eastAsia" w:ascii="仿宋_GB2312" w:hAnsi="Times New Roman" w:eastAsia="仿宋_GB2312" w:cs="Times New Roman"/>
          <w:snapToGrid/>
          <w:color w:val="auto"/>
          <w:kern w:val="2"/>
          <w:sz w:val="32"/>
          <w:szCs w:val="32"/>
        </w:rPr>
        <w:t>万元，比上年</w:t>
      </w:r>
      <w:r>
        <w:rPr>
          <w:rFonts w:hint="eastAsia" w:ascii="仿宋_GB2312" w:hAnsi="Times New Roman" w:eastAsia="仿宋_GB2312" w:cs="Times New Roman"/>
          <w:snapToGrid/>
          <w:color w:val="auto"/>
          <w:kern w:val="2"/>
          <w:sz w:val="32"/>
          <w:szCs w:val="32"/>
          <w:lang w:eastAsia="zh-CN"/>
        </w:rPr>
        <w:t>数（</w:t>
      </w:r>
      <w:r>
        <w:rPr>
          <w:rFonts w:hint="eastAsia" w:ascii="仿宋_GB2312" w:hAnsi="Times New Roman" w:eastAsia="仿宋_GB2312" w:cs="Times New Roman"/>
          <w:snapToGrid/>
          <w:color w:val="auto"/>
          <w:kern w:val="2"/>
          <w:sz w:val="32"/>
          <w:szCs w:val="32"/>
          <w:lang w:val="en-US" w:eastAsia="zh-CN"/>
        </w:rPr>
        <w:t>2.59万元</w:t>
      </w:r>
      <w:r>
        <w:rPr>
          <w:rFonts w:hint="eastAsia" w:ascii="仿宋_GB2312" w:hAnsi="Times New Roman" w:eastAsia="仿宋_GB2312" w:cs="Times New Roman"/>
          <w:snapToGrid/>
          <w:color w:val="auto"/>
          <w:kern w:val="2"/>
          <w:sz w:val="32"/>
          <w:szCs w:val="32"/>
          <w:lang w:eastAsia="zh-CN"/>
        </w:rPr>
        <w:t>）持平。</w:t>
      </w:r>
    </w:p>
    <w:p w14:paraId="69E35CEC">
      <w:pPr>
        <w:keepNext w:val="0"/>
        <w:keepLines w:val="0"/>
        <w:pageBreakBefore w:val="0"/>
        <w:widowControl w:val="0"/>
        <w:kinsoku/>
        <w:wordWrap/>
        <w:overflowPunct/>
        <w:topLinePunct w:val="0"/>
        <w:autoSpaceDE/>
        <w:autoSpaceDN/>
        <w:bidi w:val="0"/>
        <w:adjustRightInd/>
        <w:snapToGrid/>
        <w:spacing w:before="0" w:beforeLines="50" w:line="360" w:lineRule="auto"/>
        <w:ind w:firstLine="640" w:firstLineChars="200"/>
        <w:jc w:val="both"/>
        <w:textAlignment w:val="auto"/>
        <w:rPr>
          <w:rFonts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color w:val="auto"/>
          <w:kern w:val="2"/>
          <w:sz w:val="32"/>
          <w:szCs w:val="32"/>
        </w:rPr>
        <w:t>公务用车购置费</w:t>
      </w:r>
      <w:r>
        <w:rPr>
          <w:rFonts w:hint="eastAsia" w:ascii="仿宋_GB2312" w:hAnsi="Times New Roman" w:eastAsia="仿宋_GB2312" w:cs="Times New Roman"/>
          <w:snapToGrid/>
          <w:color w:val="auto"/>
          <w:kern w:val="2"/>
          <w:sz w:val="32"/>
          <w:szCs w:val="32"/>
          <w:lang w:val="en-US" w:eastAsia="zh-CN"/>
        </w:rPr>
        <w:t>0</w:t>
      </w:r>
      <w:r>
        <w:rPr>
          <w:rFonts w:hint="eastAsia" w:ascii="仿宋_GB2312" w:hAnsi="Times New Roman" w:eastAsia="仿宋_GB2312" w:cs="Times New Roman"/>
          <w:snapToGrid/>
          <w:color w:val="auto"/>
          <w:kern w:val="2"/>
          <w:sz w:val="32"/>
          <w:szCs w:val="32"/>
        </w:rPr>
        <w:t>万元。</w:t>
      </w:r>
    </w:p>
    <w:p w14:paraId="0AC9FBFF">
      <w:pPr>
        <w:spacing w:before="173"/>
        <w:ind w:right="49" w:firstLine="599"/>
        <w:rPr>
          <w:rFonts w:ascii="仿宋" w:hAnsi="仿宋" w:eastAsia="仿宋" w:cs="仿宋"/>
          <w:color w:val="FF0000"/>
          <w:spacing w:val="-15"/>
          <w:w w:val="94"/>
          <w:sz w:val="32"/>
          <w:szCs w:val="32"/>
        </w:rPr>
      </w:pPr>
    </w:p>
    <w:p w14:paraId="06BE56EA">
      <w:pPr>
        <w:widowControl w:val="0"/>
        <w:kinsoku/>
        <w:autoSpaceDE/>
        <w:autoSpaceDN/>
        <w:adjustRightInd/>
        <w:snapToGrid/>
        <w:jc w:val="center"/>
        <w:textAlignment w:val="auto"/>
        <w:rPr>
          <w:rFonts w:ascii="黑体" w:hAnsi="黑体" w:eastAsia="黑体" w:cs="黑体"/>
          <w:snapToGrid/>
          <w:color w:val="auto"/>
          <w:kern w:val="2"/>
          <w:sz w:val="32"/>
          <w:szCs w:val="32"/>
        </w:rPr>
      </w:pPr>
      <w:r>
        <w:rPr>
          <w:rFonts w:hint="eastAsia" w:ascii="黑体" w:hAnsi="黑体" w:eastAsia="黑体" w:cs="黑体"/>
          <w:snapToGrid/>
          <w:color w:val="auto"/>
          <w:kern w:val="2"/>
          <w:sz w:val="32"/>
          <w:szCs w:val="32"/>
        </w:rPr>
        <w:t>第四部分   名词解释</w:t>
      </w:r>
    </w:p>
    <w:p w14:paraId="294221C3">
      <w:pPr>
        <w:spacing w:before="214"/>
        <w:rPr>
          <w:rFonts w:ascii="楷体" w:hAnsi="楷体" w:eastAsia="楷体" w:cs="楷体"/>
          <w:color w:val="auto"/>
          <w:spacing w:val="13"/>
          <w:sz w:val="32"/>
          <w:szCs w:val="32"/>
        </w:rPr>
      </w:pPr>
      <w:r>
        <w:rPr>
          <w:rFonts w:hint="eastAsia" w:ascii="楷体" w:hAnsi="楷体" w:eastAsia="楷体" w:cs="楷体"/>
          <w:color w:val="auto"/>
          <w:spacing w:val="13"/>
          <w:sz w:val="32"/>
          <w:szCs w:val="32"/>
        </w:rPr>
        <w:t>一、收入科目</w:t>
      </w:r>
    </w:p>
    <w:p w14:paraId="620C26D7">
      <w:pPr>
        <w:widowControl w:val="0"/>
        <w:kinsoku/>
        <w:autoSpaceDE/>
        <w:autoSpaceDN/>
        <w:adjustRightInd/>
        <w:snapToGrid/>
        <w:ind w:firstLine="640" w:firstLineChars="200"/>
        <w:jc w:val="both"/>
        <w:textAlignment w:val="auto"/>
        <w:rPr>
          <w:rFonts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color w:val="auto"/>
          <w:kern w:val="2"/>
          <w:sz w:val="32"/>
          <w:szCs w:val="32"/>
        </w:rPr>
        <w:t>各部门结合实际进行解释。</w:t>
      </w:r>
    </w:p>
    <w:p w14:paraId="6F7B36F1">
      <w:pPr>
        <w:widowControl w:val="0"/>
        <w:kinsoku/>
        <w:autoSpaceDE/>
        <w:autoSpaceDN/>
        <w:adjustRightInd/>
        <w:snapToGrid/>
        <w:ind w:firstLine="640" w:firstLineChars="200"/>
        <w:jc w:val="both"/>
        <w:textAlignment w:val="auto"/>
        <w:rPr>
          <w:rFonts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color w:val="auto"/>
          <w:kern w:val="2"/>
          <w:sz w:val="32"/>
          <w:szCs w:val="32"/>
        </w:rPr>
        <w:t>(一)财政拨款:指省级财政当年拨付的资金。</w:t>
      </w:r>
    </w:p>
    <w:p w14:paraId="4601CEA5">
      <w:pPr>
        <w:widowControl w:val="0"/>
        <w:kinsoku/>
        <w:autoSpaceDE/>
        <w:autoSpaceDN/>
        <w:adjustRightInd/>
        <w:snapToGrid/>
        <w:ind w:firstLine="640" w:firstLineChars="200"/>
        <w:jc w:val="both"/>
        <w:textAlignment w:val="auto"/>
        <w:rPr>
          <w:rFonts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color w:val="auto"/>
          <w:kern w:val="2"/>
          <w:sz w:val="32"/>
          <w:szCs w:val="32"/>
        </w:rPr>
        <w:t>(二)教育收费资金收入:反映实行专项管理的高中以上学费、住宿费，高校委托培养费，函大、电大、夜大及短训班培训费等教育收费取得的收入。</w:t>
      </w:r>
    </w:p>
    <w:p w14:paraId="7FB578E0">
      <w:pPr>
        <w:widowControl w:val="0"/>
        <w:kinsoku/>
        <w:autoSpaceDE/>
        <w:autoSpaceDN/>
        <w:adjustRightInd/>
        <w:snapToGrid/>
        <w:ind w:firstLine="640" w:firstLineChars="200"/>
        <w:jc w:val="both"/>
        <w:textAlignment w:val="auto"/>
        <w:rPr>
          <w:rFonts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color w:val="auto"/>
          <w:kern w:val="2"/>
          <w:sz w:val="32"/>
          <w:szCs w:val="32"/>
        </w:rPr>
        <w:t>(三)事业收入:指事业单位开展专业业务活动及辅助活动取得的收入。</w:t>
      </w:r>
    </w:p>
    <w:p w14:paraId="6D1F063A">
      <w:pPr>
        <w:widowControl w:val="0"/>
        <w:kinsoku/>
        <w:autoSpaceDE/>
        <w:autoSpaceDN/>
        <w:adjustRightInd/>
        <w:snapToGrid/>
        <w:ind w:firstLine="640" w:firstLineChars="200"/>
        <w:jc w:val="both"/>
        <w:textAlignment w:val="auto"/>
        <w:rPr>
          <w:rFonts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color w:val="auto"/>
          <w:kern w:val="2"/>
          <w:sz w:val="32"/>
          <w:szCs w:val="32"/>
        </w:rPr>
        <w:t>(四)事业单位经营收入:指事业单位在专业业务活动及辅助活动之外开展非独立核算经营活动取得的收入。</w:t>
      </w:r>
    </w:p>
    <w:p w14:paraId="27E5F4E7">
      <w:pPr>
        <w:widowControl w:val="0"/>
        <w:kinsoku/>
        <w:autoSpaceDE/>
        <w:autoSpaceDN/>
        <w:adjustRightInd/>
        <w:snapToGrid/>
        <w:ind w:firstLine="640" w:firstLineChars="200"/>
        <w:jc w:val="both"/>
        <w:textAlignment w:val="auto"/>
        <w:rPr>
          <w:rFonts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color w:val="auto"/>
          <w:kern w:val="2"/>
          <w:sz w:val="32"/>
          <w:szCs w:val="32"/>
        </w:rPr>
        <w:t>(五)附属单位上缴收入:反映事业单位附属的独立核算单位按规定标准或比例缴纳的各项收入。包括附属的事业单位上缴的收入和附属的企业上缴的利润等。</w:t>
      </w:r>
    </w:p>
    <w:p w14:paraId="4879899B">
      <w:pPr>
        <w:widowControl w:val="0"/>
        <w:kinsoku/>
        <w:autoSpaceDE/>
        <w:autoSpaceDN/>
        <w:adjustRightInd/>
        <w:snapToGrid/>
        <w:ind w:firstLine="640" w:firstLineChars="200"/>
        <w:jc w:val="both"/>
        <w:textAlignment w:val="auto"/>
        <w:rPr>
          <w:rFonts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color w:val="auto"/>
          <w:kern w:val="2"/>
          <w:sz w:val="32"/>
          <w:szCs w:val="32"/>
        </w:rPr>
        <w:t>(六)上级补助收入:反映事业单位从主管部门和上级单位取得的非财政补助收入。</w:t>
      </w:r>
    </w:p>
    <w:p w14:paraId="2214D34F">
      <w:pPr>
        <w:widowControl w:val="0"/>
        <w:kinsoku/>
        <w:autoSpaceDE/>
        <w:autoSpaceDN/>
        <w:adjustRightInd/>
        <w:snapToGrid/>
        <w:ind w:firstLine="640" w:firstLineChars="200"/>
        <w:jc w:val="both"/>
        <w:textAlignment w:val="auto"/>
        <w:rPr>
          <w:rFonts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color w:val="auto"/>
          <w:kern w:val="2"/>
          <w:sz w:val="32"/>
          <w:szCs w:val="32"/>
        </w:rPr>
        <w:t>(七)其他收入:指除财政拨款、事业收入、事业单位经营收入等以外的各项收入。</w:t>
      </w:r>
    </w:p>
    <w:p w14:paraId="6F68A390">
      <w:pPr>
        <w:widowControl w:val="0"/>
        <w:kinsoku/>
        <w:autoSpaceDE/>
        <w:autoSpaceDN/>
        <w:adjustRightInd/>
        <w:snapToGrid/>
        <w:ind w:firstLine="640" w:firstLineChars="200"/>
        <w:jc w:val="both"/>
        <w:textAlignment w:val="auto"/>
        <w:rPr>
          <w:rFonts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color w:val="auto"/>
          <w:kern w:val="2"/>
          <w:sz w:val="32"/>
          <w:szCs w:val="32"/>
        </w:rPr>
        <w:t>(八)使用非财政拨款结余:填列历年滚存的非限定用途的非统计财政拨款结余弥补2025年收支差额的数额。</w:t>
      </w:r>
    </w:p>
    <w:p w14:paraId="0F3468A5">
      <w:pPr>
        <w:widowControl w:val="0"/>
        <w:kinsoku/>
        <w:autoSpaceDE/>
        <w:autoSpaceDN/>
        <w:adjustRightInd/>
        <w:snapToGrid/>
        <w:ind w:firstLine="640" w:firstLineChars="200"/>
        <w:jc w:val="both"/>
        <w:textAlignment w:val="auto"/>
        <w:rPr>
          <w:rFonts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color w:val="auto"/>
          <w:kern w:val="2"/>
          <w:sz w:val="32"/>
          <w:szCs w:val="32"/>
        </w:rPr>
        <w:t>(九)上年结转和结余:填列2024年全部结转和结余的资金数，包括当年结转结余资金和历年滚存结转结余资金。</w:t>
      </w:r>
    </w:p>
    <w:p w14:paraId="4B211047">
      <w:pPr>
        <w:spacing w:before="214"/>
        <w:rPr>
          <w:rFonts w:ascii="楷体" w:hAnsi="楷体" w:eastAsia="楷体" w:cs="楷体"/>
          <w:color w:val="auto"/>
          <w:spacing w:val="13"/>
          <w:sz w:val="32"/>
          <w:szCs w:val="32"/>
        </w:rPr>
      </w:pPr>
      <w:r>
        <w:rPr>
          <w:rFonts w:hint="eastAsia" w:ascii="楷体" w:hAnsi="楷体" w:eastAsia="楷体" w:cs="楷体"/>
          <w:color w:val="auto"/>
          <w:spacing w:val="13"/>
          <w:sz w:val="32"/>
          <w:szCs w:val="32"/>
        </w:rPr>
        <w:t>二、支出科目</w:t>
      </w:r>
    </w:p>
    <w:p w14:paraId="209830E5">
      <w:pPr>
        <w:widowControl w:val="0"/>
        <w:kinsoku/>
        <w:autoSpaceDE/>
        <w:autoSpaceDN/>
        <w:adjustRightInd/>
        <w:snapToGrid/>
        <w:ind w:firstLine="640" w:firstLineChars="200"/>
        <w:jc w:val="both"/>
        <w:textAlignment w:val="auto"/>
        <w:rPr>
          <w:rFonts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color w:val="auto"/>
          <w:kern w:val="2"/>
          <w:sz w:val="32"/>
          <w:szCs w:val="32"/>
        </w:rPr>
        <w:t>对部门预算中涉及的支出功能分类科目(明细到项级)，结合部门实际，参照《2025年政府收支分类科目》的规范说明进行解释。</w:t>
      </w:r>
    </w:p>
    <w:p w14:paraId="271561F1">
      <w:pPr>
        <w:spacing w:before="214"/>
        <w:rPr>
          <w:rFonts w:ascii="楷体" w:hAnsi="楷体" w:eastAsia="楷体" w:cs="楷体"/>
          <w:color w:val="auto"/>
          <w:spacing w:val="13"/>
          <w:sz w:val="32"/>
          <w:szCs w:val="32"/>
        </w:rPr>
      </w:pPr>
      <w:r>
        <w:rPr>
          <w:rFonts w:hint="eastAsia" w:ascii="楷体" w:hAnsi="楷体" w:eastAsia="楷体" w:cs="楷体"/>
          <w:color w:val="auto"/>
          <w:spacing w:val="13"/>
          <w:sz w:val="32"/>
          <w:szCs w:val="32"/>
        </w:rPr>
        <w:t>三、部门涉及的专业名词</w:t>
      </w:r>
    </w:p>
    <w:p w14:paraId="53867752">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color w:val="auto"/>
          <w:kern w:val="2"/>
          <w:sz w:val="32"/>
          <w:szCs w:val="32"/>
          <w:lang w:eastAsia="zh-CN"/>
        </w:rPr>
      </w:pPr>
      <w:r>
        <w:rPr>
          <w:rFonts w:hint="eastAsia" w:ascii="仿宋_GB2312" w:hAnsi="Times New Roman" w:eastAsia="仿宋_GB2312" w:cs="Times New Roman"/>
          <w:snapToGrid/>
          <w:color w:val="auto"/>
          <w:kern w:val="2"/>
          <w:sz w:val="32"/>
          <w:szCs w:val="32"/>
          <w:lang w:eastAsia="zh-CN"/>
        </w:rPr>
        <w:t>无。</w:t>
      </w:r>
    </w:p>
    <w:sectPr>
      <w:pgSz w:w="11900" w:h="16820"/>
      <w:pgMar w:top="1429" w:right="1647" w:bottom="1319" w:left="1539" w:header="0" w:footer="109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C6C2A8"/>
    <w:multiLevelType w:val="singleLevel"/>
    <w:tmpl w:val="F3C6C2A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compatSetting w:name="compatibilityMode" w:uri="http://schemas.microsoft.com/office/word" w:val="14"/>
  </w:compat>
  <w:docVars>
    <w:docVar w:name="commondata" w:val="eyJoZGlkIjoiY2ZlYmE5ZGI2YzE0ZDVmYTYzMGE3ZDYzMWE4MWEwZmUifQ=="/>
  </w:docVars>
  <w:rsids>
    <w:rsidRoot w:val="00E637E3"/>
    <w:rsid w:val="00083C5A"/>
    <w:rsid w:val="0028241F"/>
    <w:rsid w:val="002E17BC"/>
    <w:rsid w:val="007D2708"/>
    <w:rsid w:val="00821D0F"/>
    <w:rsid w:val="009B661A"/>
    <w:rsid w:val="009F3C2E"/>
    <w:rsid w:val="00A37EFD"/>
    <w:rsid w:val="00A55E03"/>
    <w:rsid w:val="00A67F2C"/>
    <w:rsid w:val="00B62F88"/>
    <w:rsid w:val="00C726DB"/>
    <w:rsid w:val="00E637E3"/>
    <w:rsid w:val="00F520CD"/>
    <w:rsid w:val="01981B7C"/>
    <w:rsid w:val="180A0D7A"/>
    <w:rsid w:val="27752488"/>
    <w:rsid w:val="28B74E8B"/>
    <w:rsid w:val="325D7BAC"/>
    <w:rsid w:val="474E6296"/>
    <w:rsid w:val="476D2917"/>
    <w:rsid w:val="518B66FF"/>
    <w:rsid w:val="535A3AA7"/>
    <w:rsid w:val="5CE705A3"/>
    <w:rsid w:val="5D24489D"/>
    <w:rsid w:val="60E94E56"/>
    <w:rsid w:val="61F64AFA"/>
    <w:rsid w:val="6C0006DE"/>
    <w:rsid w:val="70D81EBB"/>
    <w:rsid w:val="7D067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character" w:customStyle="1" w:styleId="7">
    <w:name w:val="页脚 Char"/>
    <w:basedOn w:val="5"/>
    <w:link w:val="2"/>
    <w:qFormat/>
    <w:uiPriority w:val="0"/>
    <w:rPr>
      <w:rFonts w:eastAsia="Arial"/>
      <w:snapToGrid w:val="0"/>
      <w:color w:val="00000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2158</Words>
  <Characters>2284</Characters>
  <Lines>14</Lines>
  <Paragraphs>4</Paragraphs>
  <TotalTime>11</TotalTime>
  <ScaleCrop>false</ScaleCrop>
  <LinksUpToDate>false</LinksUpToDate>
  <CharactersWithSpaces>2299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2024-02-19T02:57:00Z</dcterms:created>
  <dc:creator>Administrator</dc:creator>
  <cp:lastModifiedBy>张韧斌</cp:lastModifiedBy>
  <dcterms:modified xsi:type="dcterms:W3CDTF">2025-06-18T07:15:11Z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2022-02-17T19:44:23Z</vt:filetime>
  </property>
  <property fmtid="{D5CDD505-2E9C-101B-9397-08002B2CF9AE}" pid="4" name="KSOProductBuildVer">
    <vt:lpwstr>2052-12.1.0.21541</vt:lpwstr>
  </property>
  <property fmtid="{D5CDD505-2E9C-101B-9397-08002B2CF9AE}" pid="5" name="ICV">
    <vt:lpwstr>B68EBBBF88644D058E426DA2509EE20E_13</vt:lpwstr>
  </property>
  <property fmtid="{D5CDD505-2E9C-101B-9397-08002B2CF9AE}" pid="6" name="KSOTemplateDocerSaveRecord">
    <vt:lpwstr>eyJoZGlkIjoiMzQ1NjgzNzc4ZTk1NjJhNzljM2ZjMmM2YTIwOTJjODciLCJ1c2VySWQiOiI5MDYxNDkzIn0=</vt:lpwstr>
  </property>
</Properties>
</file>