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lang w:val="en-US" w:eastAsia="zh-CN"/>
        </w:rPr>
        <w:t>浮梁县</w:t>
      </w:r>
      <w:r>
        <w:rPr>
          <w:rFonts w:hint="eastAsia" w:asciiTheme="majorEastAsia" w:hAnsiTheme="majorEastAsia" w:eastAsiaTheme="majorEastAsia" w:cstheme="majorEastAsia"/>
          <w:b/>
          <w:bCs/>
          <w:sz w:val="40"/>
          <w:szCs w:val="40"/>
        </w:rPr>
        <w:t>人力资源和社会保障局</w:t>
      </w:r>
    </w:p>
    <w:p>
      <w:pPr>
        <w:jc w:val="center"/>
        <w:rPr>
          <w:rFonts w:ascii="黑体" w:hAnsi="宋体" w:eastAsia="黑体" w:cs="黑体"/>
          <w:sz w:val="32"/>
          <w:szCs w:val="32"/>
          <w:shd w:val="clear" w:fill="FFFFFF"/>
        </w:rPr>
      </w:pPr>
      <w:r>
        <w:rPr>
          <w:rFonts w:hint="eastAsia" w:asciiTheme="majorEastAsia" w:hAnsiTheme="majorEastAsia" w:eastAsiaTheme="majorEastAsia" w:cstheme="majorEastAsia"/>
          <w:b/>
          <w:bCs/>
          <w:sz w:val="40"/>
          <w:szCs w:val="40"/>
        </w:rPr>
        <w:t>20</w:t>
      </w:r>
      <w:r>
        <w:rPr>
          <w:rFonts w:hint="eastAsia" w:asciiTheme="majorEastAsia" w:hAnsiTheme="majorEastAsia" w:eastAsiaTheme="majorEastAsia" w:cstheme="majorEastAsia"/>
          <w:b/>
          <w:bCs/>
          <w:sz w:val="40"/>
          <w:szCs w:val="40"/>
          <w:lang w:val="en-US" w:eastAsia="zh-CN"/>
        </w:rPr>
        <w:t>20</w:t>
      </w:r>
      <w:r>
        <w:rPr>
          <w:rFonts w:hint="eastAsia" w:asciiTheme="majorEastAsia" w:hAnsiTheme="majorEastAsia" w:eastAsiaTheme="majorEastAsia" w:cstheme="majorEastAsia"/>
          <w:b/>
          <w:bCs/>
          <w:sz w:val="40"/>
          <w:szCs w:val="40"/>
        </w:rPr>
        <w:t>年政府信息公开工作年度报告</w:t>
      </w:r>
    </w:p>
    <w:p>
      <w:pPr>
        <w:pStyle w:val="3"/>
        <w:keepNext w:val="0"/>
        <w:keepLines w:val="0"/>
        <w:widowControl/>
        <w:suppressLineNumbers w:val="0"/>
        <w:spacing w:before="0" w:beforeAutospacing="0" w:after="0" w:afterAutospacing="0" w:line="30" w:lineRule="atLeast"/>
        <w:ind w:right="0" w:firstLine="640" w:firstLineChars="200"/>
        <w:jc w:val="both"/>
        <w:rPr>
          <w:sz w:val="32"/>
          <w:szCs w:val="32"/>
        </w:rPr>
      </w:pPr>
      <w:r>
        <w:rPr>
          <w:rFonts w:ascii="黑体" w:hAnsi="宋体" w:eastAsia="黑体" w:cs="黑体"/>
          <w:sz w:val="32"/>
          <w:szCs w:val="32"/>
          <w:shd w:val="clear" w:fill="FFFFFF"/>
        </w:rPr>
        <w:t>一、总体情况</w:t>
      </w:r>
    </w:p>
    <w:p>
      <w:pPr>
        <w:pStyle w:val="3"/>
        <w:keepNext w:val="0"/>
        <w:keepLines w:val="0"/>
        <w:widowControl/>
        <w:suppressLineNumbers w:val="0"/>
        <w:spacing w:before="0" w:beforeAutospacing="0" w:after="0" w:afterAutospacing="0" w:line="30" w:lineRule="atLeast"/>
        <w:ind w:right="0" w:firstLine="640" w:firstLineChars="200"/>
        <w:jc w:val="both"/>
        <w:rPr>
          <w:rFonts w:ascii="仿宋" w:hAnsi="仿宋" w:eastAsia="仿宋" w:cs="仿宋"/>
          <w:sz w:val="32"/>
          <w:szCs w:val="32"/>
        </w:rPr>
      </w:pPr>
      <w:r>
        <w:rPr>
          <w:rFonts w:hint="eastAsia" w:ascii="仿宋" w:hAnsi="仿宋" w:eastAsia="仿宋" w:cs="仿宋"/>
          <w:sz w:val="32"/>
          <w:szCs w:val="32"/>
          <w:shd w:val="clear" w:fill="FFFFFF"/>
        </w:rPr>
        <w:t>20</w:t>
      </w:r>
      <w:r>
        <w:rPr>
          <w:rFonts w:hint="eastAsia" w:ascii="仿宋" w:hAnsi="仿宋" w:eastAsia="仿宋" w:cs="仿宋"/>
          <w:sz w:val="32"/>
          <w:szCs w:val="32"/>
          <w:shd w:val="clear" w:fill="FFFFFF"/>
          <w:lang w:val="en-US" w:eastAsia="zh-CN"/>
        </w:rPr>
        <w:t>20</w:t>
      </w:r>
      <w:r>
        <w:rPr>
          <w:rFonts w:hint="eastAsia" w:ascii="仿宋" w:hAnsi="仿宋" w:eastAsia="仿宋" w:cs="仿宋"/>
          <w:sz w:val="32"/>
          <w:szCs w:val="32"/>
          <w:shd w:val="clear" w:fill="FFFFFF"/>
        </w:rPr>
        <w:t>年，本局按照</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委、</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政府的决策部署，以打造“阳光政府”为目标，围绕民生为本、人才优先工作主线，通过制定工作方案、建立组织机构、落实工作措施等手段，积极、有序、稳妥地全面推进政府信息公开各项工作。一是依法依规，做好民生决策事项征询工作。人力资源和社会保障局是重要的民生部门，政策性强，涉及面广，各项工作与广大人民群众的切身利益息息相关，我局高度重视决策事项征询公众意见，充分利用电视、电台、报纸、微博、微信等新闻媒体的公开渠道，快速、形象、准确、主动地公开人力资源和社会保障信息，包括我局的职能职责、政务动态、行政执法、政策法规、办事程序等，让广大民众更全面、更方便地了解我局信息，同时，民众建言献策为我们出台政策提供了更好的参考，较好的体现了我局执政为民、听取民意、以人为本的执政理念。二是多种渠道，全力打造“阳光、数字人社”。我局一直高度重视局门户网站的建设工作，并将门户网站作为我局政务公开的主渠道。我局掌握的政府信息，除依法免予公开外，凡与人力资源和社会保障业务申报办理和公共服务相关的各类政务信息、工作动态、人事人才、考录招聘、专技职称、劳动就业、职业培训、工资福利、社会保障、监察执法等相关的人力资源和社会保障信息均主动公开或依申请予以公开，或者按照有关规定依公民、法人和其他组织的申请予以公开。三是认真梳理，适时公开重点领域政府信息。按照</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政府《20</w:t>
      </w:r>
      <w:r>
        <w:rPr>
          <w:rFonts w:hint="eastAsia" w:ascii="仿宋" w:hAnsi="仿宋" w:eastAsia="仿宋" w:cs="仿宋"/>
          <w:sz w:val="32"/>
          <w:szCs w:val="32"/>
          <w:shd w:val="clear" w:fill="FFFFFF"/>
          <w:lang w:val="en-US" w:eastAsia="zh-CN"/>
        </w:rPr>
        <w:t>20</w:t>
      </w:r>
      <w:r>
        <w:rPr>
          <w:rFonts w:hint="eastAsia" w:ascii="仿宋" w:hAnsi="仿宋" w:eastAsia="仿宋" w:cs="仿宋"/>
          <w:sz w:val="32"/>
          <w:szCs w:val="32"/>
          <w:shd w:val="clear" w:fill="FFFFFF"/>
        </w:rPr>
        <w:t>年</w:t>
      </w:r>
      <w:r>
        <w:rPr>
          <w:rFonts w:hint="eastAsia" w:ascii="仿宋" w:hAnsi="仿宋" w:eastAsia="仿宋" w:cs="仿宋"/>
          <w:sz w:val="32"/>
          <w:szCs w:val="32"/>
          <w:shd w:val="clear" w:fill="FFFFFF"/>
          <w:lang w:val="en-US" w:eastAsia="zh-CN"/>
        </w:rPr>
        <w:t>浮梁县</w:t>
      </w:r>
      <w:r>
        <w:rPr>
          <w:rFonts w:hint="eastAsia" w:ascii="仿宋" w:hAnsi="仿宋" w:eastAsia="仿宋" w:cs="仿宋"/>
          <w:sz w:val="32"/>
          <w:szCs w:val="32"/>
          <w:shd w:val="clear" w:fill="FFFFFF"/>
        </w:rPr>
        <w:t>政务公开工作要点》的要求，我局认真梳理重点领域的政府信息，包括“三公”经费和行政经费、就业创业优惠政策、社保信息披露等，并适时进行公开。四是完善制度，不断健全政务公开工作机制。严格落实政府信息保密审查和属性界定工作有关规范要求，凡是非涉密文件均按照“公开为原则，不公开为例外”的原则进行公开，并填写《政务信息公开审签表》，同时积极做好依申请的文件公开。</w:t>
      </w:r>
    </w:p>
    <w:p>
      <w:pPr>
        <w:pStyle w:val="3"/>
        <w:keepNext w:val="0"/>
        <w:keepLines w:val="0"/>
        <w:widowControl/>
        <w:suppressLineNumbers w:val="0"/>
        <w:spacing w:before="0" w:beforeAutospacing="0" w:after="0" w:afterAutospacing="0" w:line="30" w:lineRule="atLeast"/>
        <w:ind w:right="0" w:firstLine="640" w:firstLineChars="200"/>
        <w:jc w:val="both"/>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rPr>
        <w:t>我局坚持把政府信息公开工作作为依法行政、加强监督、勤政廉政建设的一项基本制度,同时拓宽公开渠道,使人民群众的知情权,参与权和监督权得到充分保障。20</w:t>
      </w:r>
      <w:r>
        <w:rPr>
          <w:rFonts w:hint="eastAsia" w:ascii="仿宋" w:hAnsi="仿宋" w:eastAsia="仿宋" w:cs="仿宋"/>
          <w:sz w:val="32"/>
          <w:szCs w:val="32"/>
          <w:shd w:val="clear" w:fill="FFFFFF"/>
          <w:lang w:val="en-US" w:eastAsia="zh-CN"/>
        </w:rPr>
        <w:t>20</w:t>
      </w:r>
      <w:r>
        <w:rPr>
          <w:rFonts w:hint="eastAsia" w:ascii="仿宋" w:hAnsi="仿宋" w:eastAsia="仿宋" w:cs="仿宋"/>
          <w:sz w:val="32"/>
          <w:szCs w:val="32"/>
          <w:shd w:val="clear" w:fill="FFFFFF"/>
        </w:rPr>
        <w:t>年我局主动公开政府信息共</w:t>
      </w:r>
      <w:r>
        <w:rPr>
          <w:rFonts w:hint="eastAsia" w:ascii="仿宋" w:hAnsi="仿宋" w:eastAsia="仿宋" w:cs="仿宋"/>
          <w:sz w:val="32"/>
          <w:szCs w:val="32"/>
          <w:shd w:val="clear" w:fill="FFFFFF"/>
          <w:lang w:val="en-US" w:eastAsia="zh-CN"/>
        </w:rPr>
        <w:t>162</w:t>
      </w:r>
      <w:r>
        <w:rPr>
          <w:rFonts w:hint="eastAsia" w:ascii="仿宋" w:hAnsi="仿宋" w:eastAsia="仿宋" w:cs="仿宋"/>
          <w:sz w:val="32"/>
          <w:szCs w:val="32"/>
          <w:shd w:val="clear" w:fill="FFFFFF"/>
        </w:rPr>
        <w:t>条。按信息公开类别分为：政策法规类信息，工作动态类信息，政策解读，公共服务类信息等。</w:t>
      </w:r>
      <w:r>
        <w:rPr>
          <w:rFonts w:hint="eastAsia" w:ascii="仿宋" w:hAnsi="仿宋" w:eastAsia="仿宋" w:cs="仿宋"/>
          <w:sz w:val="32"/>
          <w:szCs w:val="32"/>
          <w:shd w:val="clear" w:fill="FFFFFF"/>
          <w:lang w:val="en-US" w:eastAsia="zh-CN"/>
        </w:rPr>
        <w:t xml:space="preserve">        </w:t>
      </w:r>
    </w:p>
    <w:p>
      <w:pPr>
        <w:pStyle w:val="3"/>
        <w:keepNext w:val="0"/>
        <w:keepLines w:val="0"/>
        <w:widowControl/>
        <w:numPr>
          <w:ilvl w:val="0"/>
          <w:numId w:val="1"/>
        </w:numPr>
        <w:suppressLineNumbers w:val="0"/>
        <w:spacing w:before="0" w:beforeAutospacing="0" w:after="0" w:afterAutospacing="0" w:line="30" w:lineRule="atLeast"/>
        <w:ind w:right="0" w:firstLine="640" w:firstLineChars="200"/>
        <w:jc w:val="both"/>
        <w:rPr>
          <w:rFonts w:ascii="黑体" w:hAnsi="宋体" w:eastAsia="黑体" w:cs="黑体"/>
          <w:sz w:val="32"/>
          <w:szCs w:val="32"/>
          <w:shd w:val="clear" w:fill="FFFFFF"/>
        </w:rPr>
      </w:pPr>
      <w:r>
        <w:rPr>
          <w:rFonts w:ascii="黑体" w:hAnsi="宋体" w:eastAsia="黑体" w:cs="黑体"/>
          <w:sz w:val="32"/>
          <w:szCs w:val="32"/>
          <w:shd w:val="clear" w:fill="FFFFFF"/>
        </w:rPr>
        <w:t>主动公开政府信息情况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1860"/>
        <w:gridCol w:w="1860"/>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4"/>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994"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信息内容</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本年新制作数量</w:t>
            </w:r>
          </w:p>
        </w:tc>
        <w:tc>
          <w:tcPr>
            <w:tcW w:w="1860"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本年新公开数量</w:t>
            </w:r>
          </w:p>
        </w:tc>
        <w:tc>
          <w:tcPr>
            <w:tcW w:w="1808"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规章</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0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规范性文件</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80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22" w:type="dxa"/>
            <w:gridSpan w:val="4"/>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信息内容</w:t>
            </w:r>
          </w:p>
        </w:tc>
        <w:tc>
          <w:tcPr>
            <w:tcW w:w="1860"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上一年项目数量</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本年增</w:t>
            </w:r>
            <w:r>
              <w:rPr>
                <w:rFonts w:hint="eastAsia" w:ascii="仿宋" w:hAnsi="仿宋" w:eastAsia="仿宋" w:cs="仿宋"/>
                <w:sz w:val="24"/>
                <w:szCs w:val="24"/>
                <w:vertAlign w:val="baseline"/>
                <w:lang w:val="en-US" w:eastAsia="zh-CN"/>
              </w:rPr>
              <w:t>/减</w:t>
            </w:r>
          </w:p>
        </w:tc>
        <w:tc>
          <w:tcPr>
            <w:tcW w:w="1808"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行政许可</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0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94"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其他对外管理服务事项</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0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22" w:type="dxa"/>
            <w:gridSpan w:val="4"/>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信息内容</w:t>
            </w:r>
          </w:p>
        </w:tc>
        <w:tc>
          <w:tcPr>
            <w:tcW w:w="18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上一年项目数量</w:t>
            </w:r>
          </w:p>
        </w:tc>
        <w:tc>
          <w:tcPr>
            <w:tcW w:w="18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本年增</w:t>
            </w:r>
            <w:r>
              <w:rPr>
                <w:rFonts w:hint="eastAsia" w:ascii="仿宋" w:hAnsi="仿宋" w:eastAsia="仿宋" w:cs="仿宋"/>
                <w:sz w:val="24"/>
                <w:szCs w:val="24"/>
                <w:vertAlign w:val="baseline"/>
                <w:lang w:val="en-US" w:eastAsia="zh-CN"/>
              </w:rPr>
              <w:t>/减</w:t>
            </w:r>
          </w:p>
        </w:tc>
        <w:tc>
          <w:tcPr>
            <w:tcW w:w="1808"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行政处罚</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0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行政强制</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180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信息内容</w:t>
            </w:r>
          </w:p>
        </w:tc>
        <w:tc>
          <w:tcPr>
            <w:tcW w:w="18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上一年项目数量</w:t>
            </w:r>
          </w:p>
        </w:tc>
        <w:tc>
          <w:tcPr>
            <w:tcW w:w="3668" w:type="dxa"/>
            <w:gridSpan w:val="2"/>
            <w:vAlign w:val="center"/>
          </w:tcPr>
          <w:p>
            <w:p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本年增</w:t>
            </w:r>
            <w:r>
              <w:rPr>
                <w:rFonts w:hint="eastAsia" w:ascii="仿宋" w:hAnsi="仿宋" w:eastAsia="仿宋" w:cs="仿宋"/>
                <w:sz w:val="24"/>
                <w:szCs w:val="24"/>
                <w:vertAlign w:val="baseline"/>
                <w:lang w:val="en-US" w:eastAsia="zh-CN"/>
              </w:rPr>
              <w:t>/减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行政事业性收费</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3668" w:type="dxa"/>
            <w:gridSpan w:val="2"/>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信息内容</w:t>
            </w:r>
          </w:p>
        </w:tc>
        <w:tc>
          <w:tcPr>
            <w:tcW w:w="1860"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采购项目数量</w:t>
            </w:r>
          </w:p>
        </w:tc>
        <w:tc>
          <w:tcPr>
            <w:tcW w:w="3668" w:type="dxa"/>
            <w:gridSpan w:val="2"/>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99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政府集中采购</w:t>
            </w:r>
          </w:p>
        </w:tc>
        <w:tc>
          <w:tcPr>
            <w:tcW w:w="186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668" w:type="dxa"/>
            <w:gridSpan w:val="2"/>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4760元</w:t>
            </w:r>
          </w:p>
        </w:tc>
      </w:tr>
    </w:tbl>
    <w:p>
      <w:pPr>
        <w:pStyle w:val="3"/>
        <w:keepNext w:val="0"/>
        <w:keepLines w:val="0"/>
        <w:widowControl/>
        <w:suppressLineNumbers w:val="0"/>
        <w:spacing w:before="0" w:beforeAutospacing="0" w:after="0" w:afterAutospacing="0" w:line="30" w:lineRule="atLeast"/>
        <w:ind w:right="0" w:firstLine="640" w:firstLineChars="200"/>
        <w:jc w:val="both"/>
        <w:rPr>
          <w:sz w:val="32"/>
          <w:szCs w:val="32"/>
        </w:rPr>
      </w:pPr>
      <w:r>
        <w:rPr>
          <w:rFonts w:ascii="黑体" w:hAnsi="宋体" w:eastAsia="黑体" w:cs="黑体"/>
          <w:sz w:val="32"/>
          <w:szCs w:val="32"/>
          <w:shd w:val="clear" w:fill="FFFFFF"/>
        </w:rPr>
        <w:t>三、收到和处理政府信息公开申请情况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40"/>
        <w:gridCol w:w="1260"/>
        <w:gridCol w:w="705"/>
        <w:gridCol w:w="733"/>
        <w:gridCol w:w="842"/>
        <w:gridCol w:w="842"/>
        <w:gridCol w:w="842"/>
        <w:gridCol w:w="842"/>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74" w:type="dxa"/>
            <w:gridSpan w:val="3"/>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（本列数据的勾稽关系为：第一项加第二项之和，等于第三项加第四项之和）</w:t>
            </w:r>
          </w:p>
        </w:tc>
        <w:tc>
          <w:tcPr>
            <w:tcW w:w="5648" w:type="dxa"/>
            <w:gridSpan w:val="7"/>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74" w:type="dxa"/>
            <w:gridSpan w:val="3"/>
            <w:vMerge w:val="continue"/>
            <w:vAlign w:val="center"/>
          </w:tcPr>
          <w:p>
            <w:pPr>
              <w:jc w:val="center"/>
              <w:rPr>
                <w:rFonts w:hint="eastAsia" w:ascii="仿宋" w:hAnsi="仿宋" w:eastAsia="仿宋" w:cs="仿宋"/>
                <w:sz w:val="24"/>
                <w:szCs w:val="24"/>
                <w:vertAlign w:val="baseline"/>
              </w:rPr>
            </w:pPr>
          </w:p>
        </w:tc>
        <w:tc>
          <w:tcPr>
            <w:tcW w:w="705" w:type="dxa"/>
            <w:vMerge w:val="restart"/>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自然人</w:t>
            </w:r>
          </w:p>
        </w:tc>
        <w:tc>
          <w:tcPr>
            <w:tcW w:w="4101" w:type="dxa"/>
            <w:gridSpan w:val="5"/>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法人或其他组织</w:t>
            </w:r>
          </w:p>
        </w:tc>
        <w:tc>
          <w:tcPr>
            <w:tcW w:w="842" w:type="dxa"/>
            <w:vMerge w:val="restart"/>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874" w:type="dxa"/>
            <w:gridSpan w:val="3"/>
            <w:vMerge w:val="continue"/>
            <w:vAlign w:val="center"/>
          </w:tcPr>
          <w:p>
            <w:pPr>
              <w:jc w:val="center"/>
              <w:rPr>
                <w:rFonts w:hint="eastAsia" w:ascii="仿宋" w:hAnsi="仿宋" w:eastAsia="仿宋" w:cs="仿宋"/>
                <w:sz w:val="24"/>
                <w:szCs w:val="24"/>
                <w:vertAlign w:val="baseline"/>
              </w:rPr>
            </w:pPr>
          </w:p>
        </w:tc>
        <w:tc>
          <w:tcPr>
            <w:tcW w:w="705" w:type="dxa"/>
            <w:vMerge w:val="continue"/>
            <w:vAlign w:val="center"/>
          </w:tcPr>
          <w:p>
            <w:pPr>
              <w:jc w:val="center"/>
              <w:rPr>
                <w:rFonts w:hint="eastAsia" w:ascii="仿宋" w:hAnsi="仿宋" w:eastAsia="仿宋" w:cs="仿宋"/>
                <w:sz w:val="24"/>
                <w:szCs w:val="24"/>
                <w:vertAlign w:val="baseline"/>
              </w:rPr>
            </w:pPr>
          </w:p>
        </w:tc>
        <w:tc>
          <w:tcPr>
            <w:tcW w:w="733"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商业企业</w:t>
            </w:r>
          </w:p>
        </w:tc>
        <w:tc>
          <w:tcPr>
            <w:tcW w:w="842"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科研机构</w:t>
            </w:r>
          </w:p>
        </w:tc>
        <w:tc>
          <w:tcPr>
            <w:tcW w:w="842"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社会公益组织</w:t>
            </w:r>
          </w:p>
        </w:tc>
        <w:tc>
          <w:tcPr>
            <w:tcW w:w="842"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法律服务机构</w:t>
            </w:r>
          </w:p>
        </w:tc>
        <w:tc>
          <w:tcPr>
            <w:tcW w:w="842"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其他</w:t>
            </w:r>
          </w:p>
        </w:tc>
        <w:tc>
          <w:tcPr>
            <w:tcW w:w="842" w:type="dxa"/>
            <w:vMerge w:val="continue"/>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874" w:type="dxa"/>
            <w:gridSpan w:val="3"/>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一、本年新收政府信息公开申请数量</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874" w:type="dxa"/>
            <w:gridSpan w:val="3"/>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二、上年结转政府信息公开申请数量</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74" w:type="dxa"/>
            <w:vMerge w:val="restart"/>
            <w:vAlign w:val="center"/>
          </w:tcPr>
          <w:p>
            <w:pPr>
              <w:jc w:val="center"/>
              <w:rPr>
                <w:rFonts w:hint="eastAsia" w:ascii="仿宋" w:hAnsi="仿宋" w:eastAsia="仿宋" w:cs="仿宋"/>
                <w:color w:val="333333"/>
                <w:kern w:val="0"/>
                <w:sz w:val="24"/>
                <w:szCs w:val="24"/>
              </w:rPr>
            </w:pPr>
          </w:p>
          <w:p>
            <w:pPr>
              <w:jc w:val="center"/>
              <w:rPr>
                <w:rFonts w:hint="eastAsia" w:ascii="仿宋" w:hAnsi="仿宋" w:eastAsia="仿宋" w:cs="仿宋"/>
                <w:color w:val="333333"/>
                <w:kern w:val="0"/>
                <w:sz w:val="24"/>
                <w:szCs w:val="24"/>
              </w:rPr>
            </w:pPr>
          </w:p>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三、本年度办理结果</w:t>
            </w:r>
          </w:p>
        </w:tc>
        <w:tc>
          <w:tcPr>
            <w:tcW w:w="2100" w:type="dxa"/>
            <w:gridSpan w:val="2"/>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（一）予以公开</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774" w:type="dxa"/>
            <w:vMerge w:val="continue"/>
            <w:vAlign w:val="center"/>
          </w:tcPr>
          <w:p>
            <w:pPr>
              <w:jc w:val="center"/>
              <w:rPr>
                <w:rFonts w:hint="eastAsia" w:ascii="仿宋" w:hAnsi="仿宋" w:eastAsia="仿宋" w:cs="仿宋"/>
                <w:sz w:val="24"/>
                <w:szCs w:val="24"/>
                <w:vertAlign w:val="baseline"/>
              </w:rPr>
            </w:pPr>
          </w:p>
        </w:tc>
        <w:tc>
          <w:tcPr>
            <w:tcW w:w="2100" w:type="dxa"/>
            <w:gridSpan w:val="2"/>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（二）部分公开（区分处理的，只计这一情形，不计其他情形）</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（三）不予公开</w:t>
            </w:r>
          </w:p>
        </w:tc>
        <w:tc>
          <w:tcPr>
            <w:tcW w:w="12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1.属于国家秘密</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2.其他法律行政法规禁止公开</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3.危及“三安全一稳定”</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4.保护第三方合法权益</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5.属于三类内部事务信息</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6.属于四类过程性信息</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7.属于行政执法案卷</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8.属于行政查询事项</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（四）无法提供</w:t>
            </w: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1.本机关不掌握相关政府信息</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2.没有现成信息需要另行制作</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3.补正后申请内容仍不明确</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（五）不予处理</w:t>
            </w: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1.信访举报投诉类申请</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2.重复申请</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3.要求提供公开出版物</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4.无正当理由大量反复申请</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pPr>
              <w:jc w:val="center"/>
              <w:rPr>
                <w:rFonts w:hint="eastAsia" w:ascii="仿宋" w:hAnsi="仿宋" w:eastAsia="仿宋" w:cs="仿宋"/>
                <w:sz w:val="24"/>
                <w:szCs w:val="24"/>
                <w:vertAlign w:val="baseline"/>
              </w:rPr>
            </w:pPr>
          </w:p>
        </w:tc>
        <w:tc>
          <w:tcPr>
            <w:tcW w:w="840" w:type="dxa"/>
            <w:vMerge w:val="continue"/>
            <w:vAlign w:val="center"/>
          </w:tcPr>
          <w:p>
            <w:pPr>
              <w:jc w:val="center"/>
              <w:rPr>
                <w:rFonts w:hint="eastAsia" w:ascii="仿宋" w:hAnsi="仿宋" w:eastAsia="仿宋" w:cs="仿宋"/>
                <w:sz w:val="24"/>
                <w:szCs w:val="24"/>
                <w:vertAlign w:val="baseline"/>
              </w:rPr>
            </w:pPr>
          </w:p>
        </w:tc>
        <w:tc>
          <w:tcPr>
            <w:tcW w:w="1260" w:type="dxa"/>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5.要求行政机关确认或重新出具已获取信息</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74" w:type="dxa"/>
            <w:vAlign w:val="center"/>
          </w:tcPr>
          <w:p>
            <w:pPr>
              <w:jc w:val="center"/>
              <w:rPr>
                <w:rFonts w:hint="eastAsia" w:ascii="仿宋" w:hAnsi="仿宋" w:eastAsia="仿宋" w:cs="仿宋"/>
                <w:sz w:val="24"/>
                <w:szCs w:val="24"/>
                <w:vertAlign w:val="baseline"/>
              </w:rPr>
            </w:pPr>
          </w:p>
        </w:tc>
        <w:tc>
          <w:tcPr>
            <w:tcW w:w="2100" w:type="dxa"/>
            <w:gridSpan w:val="2"/>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（六）其他处理</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74" w:type="dxa"/>
            <w:vAlign w:val="center"/>
          </w:tcPr>
          <w:p>
            <w:pPr>
              <w:jc w:val="center"/>
              <w:rPr>
                <w:rFonts w:hint="eastAsia" w:ascii="仿宋" w:hAnsi="仿宋" w:eastAsia="仿宋" w:cs="仿宋"/>
                <w:sz w:val="24"/>
                <w:szCs w:val="24"/>
                <w:vertAlign w:val="baseline"/>
              </w:rPr>
            </w:pPr>
          </w:p>
        </w:tc>
        <w:tc>
          <w:tcPr>
            <w:tcW w:w="2100" w:type="dxa"/>
            <w:gridSpan w:val="2"/>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（七）总计</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74" w:type="dxa"/>
            <w:gridSpan w:val="3"/>
            <w:vAlign w:val="center"/>
          </w:tcPr>
          <w:p>
            <w:pPr>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四、结转下年度继续办理</w:t>
            </w:r>
          </w:p>
        </w:tc>
        <w:tc>
          <w:tcPr>
            <w:tcW w:w="7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73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842"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bl>
    <w:p>
      <w:pPr>
        <w:pStyle w:val="3"/>
        <w:keepNext w:val="0"/>
        <w:keepLines w:val="0"/>
        <w:widowControl/>
        <w:suppressLineNumbers w:val="0"/>
        <w:spacing w:before="0" w:beforeAutospacing="0" w:after="0" w:afterAutospacing="0" w:line="30" w:lineRule="atLeast"/>
        <w:ind w:right="0" w:firstLine="640" w:firstLineChars="200"/>
        <w:jc w:val="both"/>
        <w:rPr>
          <w:sz w:val="32"/>
          <w:szCs w:val="32"/>
        </w:rPr>
      </w:pPr>
      <w:r>
        <w:rPr>
          <w:rFonts w:ascii="黑体" w:hAnsi="宋体" w:eastAsia="黑体" w:cs="黑体"/>
          <w:sz w:val="32"/>
          <w:szCs w:val="32"/>
          <w:shd w:val="clear" w:fill="FFFFFF"/>
        </w:rPr>
        <w:t>四、政府信息公开行政复议、行政诉讼情况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40" w:type="dxa"/>
            <w:gridSpan w:val="5"/>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行政复议</w:t>
            </w:r>
          </w:p>
        </w:tc>
        <w:tc>
          <w:tcPr>
            <w:tcW w:w="5682" w:type="dxa"/>
            <w:gridSpan w:val="1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结果维持</w:t>
            </w:r>
          </w:p>
        </w:tc>
        <w:tc>
          <w:tcPr>
            <w:tcW w:w="568"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结果纠正</w:t>
            </w:r>
          </w:p>
        </w:tc>
        <w:tc>
          <w:tcPr>
            <w:tcW w:w="568"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其他结果</w:t>
            </w:r>
          </w:p>
        </w:tc>
        <w:tc>
          <w:tcPr>
            <w:tcW w:w="568"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尚未审结</w:t>
            </w:r>
          </w:p>
        </w:tc>
        <w:tc>
          <w:tcPr>
            <w:tcW w:w="568" w:type="dxa"/>
            <w:vMerge w:val="restart"/>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总计</w:t>
            </w:r>
          </w:p>
        </w:tc>
        <w:tc>
          <w:tcPr>
            <w:tcW w:w="2840" w:type="dxa"/>
            <w:gridSpan w:val="5"/>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未经复议直接起诉</w:t>
            </w:r>
          </w:p>
        </w:tc>
        <w:tc>
          <w:tcPr>
            <w:tcW w:w="2842" w:type="dxa"/>
            <w:gridSpan w:val="5"/>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pPr>
              <w:jc w:val="center"/>
              <w:rPr>
                <w:rFonts w:hint="eastAsia" w:ascii="仿宋" w:hAnsi="仿宋" w:eastAsia="仿宋" w:cs="仿宋"/>
                <w:sz w:val="24"/>
                <w:szCs w:val="24"/>
                <w:vertAlign w:val="baseline"/>
              </w:rPr>
            </w:pPr>
          </w:p>
        </w:tc>
        <w:tc>
          <w:tcPr>
            <w:tcW w:w="568" w:type="dxa"/>
            <w:vMerge w:val="continue"/>
            <w:vAlign w:val="center"/>
          </w:tcPr>
          <w:p>
            <w:pPr>
              <w:jc w:val="center"/>
              <w:rPr>
                <w:rFonts w:hint="eastAsia" w:ascii="仿宋" w:hAnsi="仿宋" w:eastAsia="仿宋" w:cs="仿宋"/>
                <w:sz w:val="24"/>
                <w:szCs w:val="24"/>
                <w:vertAlign w:val="baseline"/>
              </w:rPr>
            </w:pPr>
          </w:p>
        </w:tc>
        <w:tc>
          <w:tcPr>
            <w:tcW w:w="568" w:type="dxa"/>
            <w:vMerge w:val="continue"/>
            <w:vAlign w:val="center"/>
          </w:tcPr>
          <w:p>
            <w:pPr>
              <w:jc w:val="center"/>
              <w:rPr>
                <w:rFonts w:hint="eastAsia" w:ascii="仿宋" w:hAnsi="仿宋" w:eastAsia="仿宋" w:cs="仿宋"/>
                <w:sz w:val="24"/>
                <w:szCs w:val="24"/>
                <w:vertAlign w:val="baseline"/>
              </w:rPr>
            </w:pPr>
          </w:p>
        </w:tc>
        <w:tc>
          <w:tcPr>
            <w:tcW w:w="568" w:type="dxa"/>
            <w:vMerge w:val="continue"/>
            <w:vAlign w:val="center"/>
          </w:tcPr>
          <w:p>
            <w:pPr>
              <w:jc w:val="center"/>
              <w:rPr>
                <w:rFonts w:hint="eastAsia" w:ascii="仿宋" w:hAnsi="仿宋" w:eastAsia="仿宋" w:cs="仿宋"/>
                <w:sz w:val="24"/>
                <w:szCs w:val="24"/>
                <w:vertAlign w:val="baseline"/>
              </w:rPr>
            </w:pPr>
          </w:p>
        </w:tc>
        <w:tc>
          <w:tcPr>
            <w:tcW w:w="568" w:type="dxa"/>
            <w:vMerge w:val="continue"/>
            <w:vAlign w:val="center"/>
          </w:tcPr>
          <w:p>
            <w:pPr>
              <w:jc w:val="center"/>
              <w:rPr>
                <w:rFonts w:hint="eastAsia" w:ascii="仿宋" w:hAnsi="仿宋" w:eastAsia="仿宋" w:cs="仿宋"/>
                <w:sz w:val="24"/>
                <w:szCs w:val="24"/>
                <w:vertAlign w:val="baseline"/>
              </w:rPr>
            </w:pP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结果维持</w:t>
            </w: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结果纠正</w:t>
            </w: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其他结果</w:t>
            </w: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尚未审结</w:t>
            </w: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总计</w:t>
            </w: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结果维持</w:t>
            </w: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结果纠正</w:t>
            </w:r>
          </w:p>
        </w:tc>
        <w:tc>
          <w:tcPr>
            <w:tcW w:w="568"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其他结果</w:t>
            </w:r>
          </w:p>
        </w:tc>
        <w:tc>
          <w:tcPr>
            <w:tcW w:w="569"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333333"/>
                <w:kern w:val="0"/>
                <w:sz w:val="24"/>
                <w:szCs w:val="24"/>
              </w:rPr>
              <w:t>尚未审结</w:t>
            </w:r>
          </w:p>
        </w:tc>
        <w:tc>
          <w:tcPr>
            <w:tcW w:w="569" w:type="dxa"/>
            <w:vAlign w:val="center"/>
          </w:tcPr>
          <w:p>
            <w:pPr>
              <w:jc w:val="center"/>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8"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9"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c>
          <w:tcPr>
            <w:tcW w:w="569"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w:t>
            </w:r>
          </w:p>
        </w:tc>
      </w:tr>
    </w:tbl>
    <w:p>
      <w:pPr>
        <w:pStyle w:val="3"/>
        <w:keepNext w:val="0"/>
        <w:keepLines w:val="0"/>
        <w:widowControl/>
        <w:suppressLineNumbers w:val="0"/>
        <w:spacing w:before="0" w:beforeAutospacing="0" w:after="0" w:afterAutospacing="0" w:line="30" w:lineRule="atLeast"/>
        <w:ind w:right="0" w:firstLine="640" w:firstLineChars="200"/>
        <w:jc w:val="both"/>
        <w:rPr>
          <w:sz w:val="32"/>
          <w:szCs w:val="32"/>
        </w:rPr>
      </w:pPr>
      <w:r>
        <w:rPr>
          <w:rFonts w:ascii="黑体" w:hAnsi="宋体" w:eastAsia="黑体" w:cs="黑体"/>
          <w:sz w:val="32"/>
          <w:szCs w:val="32"/>
          <w:shd w:val="clear" w:fill="FFFFFF"/>
        </w:rPr>
        <w:t>五、存在的主要问题及改进情况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ascii="仿宋" w:hAnsi="仿宋" w:eastAsia="仿宋" w:cs="仿宋"/>
          <w:sz w:val="32"/>
          <w:szCs w:val="32"/>
        </w:rPr>
      </w:pPr>
      <w:r>
        <w:rPr>
          <w:rFonts w:hint="eastAsia" w:ascii="仿宋" w:hAnsi="仿宋" w:eastAsia="仿宋" w:cs="仿宋"/>
          <w:sz w:val="32"/>
          <w:szCs w:val="32"/>
          <w:shd w:val="clear" w:fill="FFFFFF"/>
        </w:rPr>
        <w:t>因应社会公众对获取信息的意识不断提高，对信息获取的广度和深度需求正不断增加，我局现行的政府信息公开工作精细化水平和便民力度还需不断改进和加强。同时伴随新媒体、自媒体的飞速发展，信息传播的渠道越来越多、速度越来越快，舆论环境日趋复杂，妥善应对政府信息公开对舆情的影响、正面引导舆论还面临新挑战新要求。202</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年，我局将加大以下几方面的工作力度：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一）推进人社信息数据的开放共享。一是不断深化政策解读的力度。按照“深入分析、及时解读、强化引导”原则，运用更加丰富翔实的数据条例，制作丰富多样的图文产品，同时，继续发挥专家、新闻媒体等多种解读主体协调配合的作用，形成持续有效的解读氛围，深入解读政策的新特点、新变化和新趋势，提升解读的有效性、通俗性和可读性。二是积极稳妥推进数据开放共享。推动建立部门间数据沟通共享机制，依托省政务服务网和</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政府门户网站平台，进一步开放群众关注度高的重点领域数据集、数据接口和数据应用。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（二）提升统计新闻宣传工作实效。一是加强重大专题宣传力度。全面反映我</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人力资源和社会保障领域的发展成就；二是加强宣传渠道建设。继续夯实部门门户网站的主渠道作用，优化检索功能，强化在线互动，充分运用微信平台，创新开放形式和渠道；同时，借助热线电话增进与公众的互动交流，努力提升公开信息的集中度，确保数据信息真实性、准确性、完整性和易获取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（三）加强政务公开制度机制建设。我局成立了</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人社网络信息联络员小组，并</w:t>
      </w:r>
      <w:r>
        <w:rPr>
          <w:rFonts w:hint="eastAsia" w:ascii="仿宋" w:hAnsi="仿宋" w:eastAsia="仿宋" w:cs="仿宋"/>
          <w:sz w:val="32"/>
          <w:szCs w:val="32"/>
          <w:shd w:val="clear" w:fill="FFFFFF"/>
          <w:lang w:val="en-US" w:eastAsia="zh-CN"/>
        </w:rPr>
        <w:t>召开</w:t>
      </w:r>
      <w:r>
        <w:rPr>
          <w:rFonts w:hint="eastAsia" w:ascii="仿宋" w:hAnsi="仿宋" w:eastAsia="仿宋" w:cs="仿宋"/>
          <w:sz w:val="32"/>
          <w:szCs w:val="32"/>
          <w:shd w:val="clear" w:fill="FFFFFF"/>
        </w:rPr>
        <w:t>人社政务信息公开部署会，要求局机关各</w:t>
      </w:r>
      <w:r>
        <w:rPr>
          <w:rFonts w:hint="eastAsia" w:ascii="仿宋" w:hAnsi="仿宋" w:eastAsia="仿宋" w:cs="仿宋"/>
          <w:sz w:val="32"/>
          <w:szCs w:val="32"/>
          <w:shd w:val="clear" w:fill="FFFFFF"/>
          <w:lang w:val="en-US" w:eastAsia="zh-CN"/>
        </w:rPr>
        <w:t>股</w:t>
      </w:r>
      <w:r>
        <w:rPr>
          <w:rFonts w:hint="eastAsia" w:ascii="仿宋" w:hAnsi="仿宋" w:eastAsia="仿宋" w:cs="仿宋"/>
          <w:sz w:val="32"/>
          <w:szCs w:val="32"/>
          <w:shd w:val="clear" w:fill="FFFFFF"/>
        </w:rPr>
        <w:t>室、局属各单位认真梳理本单位公开内容，规范编制公开目录，提纲挈领，纲举目张，不断提升我局政务公开质量和水平。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（四）完善重点领域信息公开。20</w:t>
      </w:r>
      <w:r>
        <w:rPr>
          <w:rFonts w:hint="eastAsia" w:ascii="仿宋" w:hAnsi="仿宋" w:eastAsia="仿宋" w:cs="仿宋"/>
          <w:sz w:val="32"/>
          <w:szCs w:val="32"/>
          <w:shd w:val="clear" w:fill="FFFFFF"/>
          <w:lang w:val="en-US" w:eastAsia="zh-CN"/>
        </w:rPr>
        <w:t>20</w:t>
      </w:r>
      <w:r>
        <w:rPr>
          <w:rFonts w:hint="eastAsia" w:ascii="仿宋" w:hAnsi="仿宋" w:eastAsia="仿宋" w:cs="仿宋"/>
          <w:sz w:val="32"/>
          <w:szCs w:val="32"/>
          <w:shd w:val="clear" w:fill="FFFFFF"/>
        </w:rPr>
        <w:t>年我局按照</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委、</w:t>
      </w:r>
      <w:r>
        <w:rPr>
          <w:rFonts w:hint="eastAsia" w:ascii="仿宋" w:hAnsi="仿宋" w:eastAsia="仿宋" w:cs="仿宋"/>
          <w:sz w:val="32"/>
          <w:szCs w:val="32"/>
          <w:shd w:val="clear" w:fill="FFFFFF"/>
          <w:lang w:val="en-US" w:eastAsia="zh-CN"/>
        </w:rPr>
        <w:t>县</w:t>
      </w:r>
      <w:r>
        <w:rPr>
          <w:rFonts w:hint="eastAsia" w:ascii="仿宋" w:hAnsi="仿宋" w:eastAsia="仿宋" w:cs="仿宋"/>
          <w:sz w:val="32"/>
          <w:szCs w:val="32"/>
          <w:shd w:val="clear" w:fill="FFFFFF"/>
        </w:rPr>
        <w:t>政府的决策部署和第三方测评协助评估下，我局完善了门户网站栏目建设，增设了公众关注度高的人社信息专栏。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sz w:val="32"/>
          <w:szCs w:val="32"/>
        </w:rPr>
      </w:pPr>
      <w:r>
        <w:rPr>
          <w:rFonts w:hint="eastAsia" w:ascii="黑体" w:hAnsi="宋体" w:eastAsia="黑体" w:cs="黑体"/>
          <w:sz w:val="32"/>
          <w:szCs w:val="32"/>
          <w:shd w:val="clear" w:fill="FFFFFF"/>
        </w:rPr>
        <w:t>六、其他需要报告的事项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本年度报告无其他需要报告的事项。</w:t>
      </w:r>
    </w:p>
    <w:p>
      <w:pPr>
        <w:jc w:val="left"/>
        <w:rPr>
          <w:rFonts w:hint="eastAsia" w:ascii="仿宋" w:hAnsi="仿宋" w:eastAsia="仿宋" w:cs="仿宋"/>
          <w:sz w:val="30"/>
          <w:szCs w:val="30"/>
        </w:rPr>
      </w:pPr>
    </w:p>
    <w:p>
      <w:pPr>
        <w:jc w:val="left"/>
        <w:rPr>
          <w:rFonts w:hint="eastAsia" w:ascii="仿宋" w:hAnsi="仿宋" w:eastAsia="仿宋" w:cs="仿宋"/>
          <w:sz w:val="30"/>
          <w:szCs w:val="30"/>
        </w:rPr>
      </w:pPr>
    </w:p>
    <w:p>
      <w:pPr>
        <w:ind w:firstLine="3900" w:firstLineChars="13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浮梁县人力资源和社会保障局</w:t>
      </w:r>
    </w:p>
    <w:p>
      <w:pPr>
        <w:ind w:firstLine="4500" w:firstLineChars="15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2021年1月21日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68A46"/>
    <w:multiLevelType w:val="singleLevel"/>
    <w:tmpl w:val="1D368A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923EB"/>
    <w:rsid w:val="10D25715"/>
    <w:rsid w:val="1ADB634C"/>
    <w:rsid w:val="467E1BB5"/>
    <w:rsid w:val="47DE1BE1"/>
    <w:rsid w:val="566853DE"/>
    <w:rsid w:val="5704671F"/>
    <w:rsid w:val="63170B0D"/>
    <w:rsid w:val="73564387"/>
    <w:rsid w:val="75F538A6"/>
    <w:rsid w:val="7C0C17D7"/>
    <w:rsid w:val="7E2F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333333"/>
      <w:kern w:val="0"/>
      <w:sz w:val="24"/>
      <w:szCs w:val="24"/>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customStyle="1" w:styleId="11">
    <w:name w:val="hover"/>
    <w:basedOn w:val="6"/>
    <w:qFormat/>
    <w:uiPriority w:val="0"/>
    <w:rPr>
      <w:u w:val="single"/>
    </w:rPr>
  </w:style>
  <w:style w:type="character" w:customStyle="1" w:styleId="12">
    <w:name w:val="hover1"/>
    <w:basedOn w:val="6"/>
    <w:qFormat/>
    <w:uiPriority w:val="0"/>
    <w:rPr>
      <w:color w:val="C00101"/>
    </w:rPr>
  </w:style>
  <w:style w:type="character" w:customStyle="1" w:styleId="13">
    <w:name w:val="layui-layer-tabnow"/>
    <w:basedOn w:val="6"/>
    <w:qFormat/>
    <w:uiPriority w:val="0"/>
    <w:rPr>
      <w:bdr w:val="single" w:color="CCCCCC" w:sz="6" w:space="0"/>
      <w:shd w:val="clear" w:fill="FFFFFF"/>
    </w:rPr>
  </w:style>
  <w:style w:type="character" w:customStyle="1" w:styleId="14">
    <w:name w:val="first-child"/>
    <w:basedOn w:val="6"/>
    <w:qFormat/>
    <w:uiPriority w:val="0"/>
  </w:style>
  <w:style w:type="character" w:customStyle="1" w:styleId="15">
    <w:name w:val="bsharetext"/>
    <w:basedOn w:val="6"/>
    <w:qFormat/>
    <w:uiPriority w:val="0"/>
  </w:style>
  <w:style w:type="character" w:customStyle="1" w:styleId="16">
    <w:name w:val="hover20"/>
    <w:basedOn w:val="6"/>
    <w:qFormat/>
    <w:uiPriority w:val="0"/>
    <w:rPr>
      <w:u w:val="single"/>
    </w:rPr>
  </w:style>
  <w:style w:type="character" w:customStyle="1" w:styleId="17">
    <w:name w:val="hover21"/>
    <w:basedOn w:val="6"/>
    <w:qFormat/>
    <w:uiPriority w:val="0"/>
    <w:rPr>
      <w:color w:val="C00101"/>
    </w:rPr>
  </w:style>
  <w:style w:type="character" w:customStyle="1" w:styleId="18">
    <w:name w:val="hover17"/>
    <w:basedOn w:val="6"/>
    <w:qFormat/>
    <w:uiPriority w:val="0"/>
    <w:rPr>
      <w:u w:val="single"/>
    </w:rPr>
  </w:style>
  <w:style w:type="character" w:customStyle="1" w:styleId="19">
    <w:name w:val="hover18"/>
    <w:basedOn w:val="6"/>
    <w:qFormat/>
    <w:uiPriority w:val="0"/>
    <w:rPr>
      <w:color w:val="C00101"/>
    </w:rPr>
  </w:style>
  <w:style w:type="character" w:customStyle="1" w:styleId="20">
    <w:name w:val="hover19"/>
    <w:basedOn w:val="6"/>
    <w:qFormat/>
    <w:uiPriority w:val="0"/>
    <w:rPr>
      <w:u w:val="single"/>
    </w:rPr>
  </w:style>
  <w:style w:type="character" w:customStyle="1" w:styleId="21">
    <w:name w:val="hover16"/>
    <w:basedOn w:val="6"/>
    <w:qFormat/>
    <w:uiPriority w:val="0"/>
    <w:rPr>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2021-01-20T06:08:00Z</dcterms:created>
  <dc:creator>Administrator</dc:creator>
  <cp:lastModifiedBy>Administrator</cp:lastModifiedBy>
  <dcterms:modified xsi:type="dcterms:W3CDTF">2021-12-28T00:36:17Z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B5D1D54CFE3846E288B272B30AB5655D</vt:lpwstr>
  </property>
</Properties>
</file>