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1" w:lineRule="auto"/>
      </w:pPr>
    </w:p>
    <w:p>
      <w:pPr>
        <w:spacing w:line="341" w:lineRule="auto"/>
      </w:pPr>
    </w:p>
    <w:p>
      <w:pPr>
        <w:spacing w:before="110" w:line="224" w:lineRule="auto"/>
        <w:ind w:firstLine="14"/>
        <w:rPr>
          <w:rFonts w:ascii="黑体" w:hAnsi="黑体" w:eastAsia="黑体" w:cs="黑体"/>
          <w:sz w:val="34"/>
          <w:szCs w:val="34"/>
        </w:rPr>
      </w:pPr>
      <w:r>
        <w:rPr>
          <w:rFonts w:ascii="黑体" w:hAnsi="黑体" w:eastAsia="黑体" w:cs="黑体"/>
          <w:spacing w:val="3"/>
          <w:sz w:val="34"/>
          <w:szCs w:val="34"/>
          <w14:textOutline w14:w="6172" w14:cap="flat" w14:cmpd="sng" w14:algn="ctr">
            <w14:solidFill>
              <w14:srgbClr w14:val="000000"/>
            </w14:solidFill>
            <w14:prstDash w14:val="solid"/>
            <w14:miter w14:val="0"/>
          </w14:textOutline>
        </w:rPr>
        <w:t>附件</w:t>
      </w:r>
      <w:r>
        <w:rPr>
          <w:rFonts w:hint="eastAsia" w:ascii="黑体" w:hAnsi="黑体" w:eastAsia="黑体" w:cs="黑体"/>
          <w:spacing w:val="3"/>
          <w:sz w:val="34"/>
          <w:szCs w:val="34"/>
          <w14:textOutline w14:w="6172" w14:cap="flat" w14:cmpd="sng" w14:algn="ctr">
            <w14:solidFill>
              <w14:srgbClr w14:val="000000"/>
            </w14:solidFill>
            <w14:prstDash w14:val="solid"/>
            <w14:miter w14:val="0"/>
          </w14:textOutline>
        </w:rPr>
        <w:t>1</w:t>
      </w:r>
    </w:p>
    <w:p>
      <w:pPr>
        <w:spacing w:line="289" w:lineRule="auto"/>
        <w:jc w:val="center"/>
      </w:pPr>
    </w:p>
    <w:p>
      <w:pPr>
        <w:spacing w:line="290" w:lineRule="auto"/>
        <w:jc w:val="center"/>
      </w:pPr>
    </w:p>
    <w:p>
      <w:pPr>
        <w:widowControl w:val="0"/>
        <w:kinsoku/>
        <w:autoSpaceDE/>
        <w:autoSpaceDN/>
        <w:adjustRightInd/>
        <w:snapToGrid/>
        <w:spacing w:line="860" w:lineRule="exact"/>
        <w:jc w:val="center"/>
        <w:textAlignment w:val="auto"/>
        <w:rPr>
          <w:rFonts w:ascii="方正大标宋简体" w:hAnsi="Times New Roman" w:eastAsia="方正大标宋简体" w:cs="Times New Roman"/>
          <w:snapToGrid/>
          <w:kern w:val="2"/>
          <w:sz w:val="44"/>
          <w:szCs w:val="44"/>
        </w:rPr>
      </w:pPr>
      <w:r>
        <w:rPr>
          <w:rFonts w:hint="eastAsia" w:ascii="方正大标宋简体" w:hAnsi="Times New Roman" w:eastAsia="方正大标宋简体" w:cs="Times New Roman"/>
          <w:snapToGrid/>
          <w:kern w:val="2"/>
          <w:sz w:val="44"/>
          <w:szCs w:val="44"/>
        </w:rPr>
        <w:t>浮梁县</w:t>
      </w:r>
      <w:r>
        <w:rPr>
          <w:rFonts w:hint="eastAsia" w:ascii="方正大标宋简体" w:hAnsi="Times New Roman" w:eastAsia="方正大标宋简体" w:cs="Times New Roman"/>
          <w:snapToGrid/>
          <w:kern w:val="2"/>
          <w:sz w:val="44"/>
          <w:szCs w:val="44"/>
          <w:lang w:val="en-US" w:eastAsia="zh-CN"/>
        </w:rPr>
        <w:t>社保中心</w:t>
      </w:r>
      <w:r>
        <w:rPr>
          <w:rFonts w:hint="eastAsia" w:ascii="方正大标宋简体" w:hAnsi="Times New Roman" w:eastAsia="方正大标宋简体" w:cs="Times New Roman"/>
          <w:snapToGrid/>
          <w:kern w:val="2"/>
          <w:sz w:val="44"/>
          <w:szCs w:val="44"/>
        </w:rPr>
        <w:t xml:space="preserve"> 2023年部门预算</w:t>
      </w:r>
    </w:p>
    <w:p>
      <w:pPr>
        <w:spacing w:line="334" w:lineRule="auto"/>
        <w:rPr>
          <w:rFonts w:eastAsia="宋体"/>
        </w:rPr>
      </w:pPr>
    </w:p>
    <w:p>
      <w:pPr>
        <w:spacing w:line="334" w:lineRule="auto"/>
        <w:rPr>
          <w:rFonts w:eastAsia="宋体"/>
        </w:rPr>
      </w:pPr>
    </w:p>
    <w:p>
      <w:pPr>
        <w:spacing w:line="334" w:lineRule="auto"/>
        <w:rPr>
          <w:rFonts w:eastAsia="宋体"/>
        </w:rPr>
      </w:pPr>
      <w:bookmarkStart w:id="0" w:name="_GoBack"/>
      <w:bookmarkEnd w:id="0"/>
    </w:p>
    <w:p>
      <w:pPr>
        <w:spacing w:line="334" w:lineRule="auto"/>
        <w:rPr>
          <w:rFonts w:eastAsia="宋体"/>
        </w:rPr>
      </w:pPr>
    </w:p>
    <w:p>
      <w:pPr>
        <w:widowControl w:val="0"/>
        <w:kinsoku/>
        <w:autoSpaceDE/>
        <w:autoSpaceDN/>
        <w:adjustRightInd/>
        <w:snapToGrid/>
        <w:jc w:val="center"/>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目    录</w:t>
      </w:r>
    </w:p>
    <w:p>
      <w:pPr>
        <w:spacing w:line="347" w:lineRule="auto"/>
      </w:pPr>
    </w:p>
    <w:p>
      <w:pPr>
        <w:spacing w:line="347" w:lineRule="auto"/>
      </w:pPr>
    </w:p>
    <w:p>
      <w:pPr>
        <w:widowControl w:val="0"/>
        <w:kinsoku/>
        <w:autoSpaceDE/>
        <w:autoSpaceDN/>
        <w:adjustRightInd/>
        <w:snapToGrid/>
        <w:jc w:val="both"/>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第一部分 浮梁县</w:t>
      </w:r>
      <w:r>
        <w:rPr>
          <w:rFonts w:hint="eastAsia" w:ascii="黑体" w:hAnsi="黑体" w:eastAsia="黑体" w:cs="黑体"/>
          <w:snapToGrid/>
          <w:kern w:val="2"/>
          <w:sz w:val="32"/>
          <w:szCs w:val="32"/>
          <w:lang w:val="en-US" w:eastAsia="zh-CN"/>
        </w:rPr>
        <w:t>社保中心</w:t>
      </w:r>
      <w:r>
        <w:rPr>
          <w:rFonts w:hint="eastAsia" w:ascii="黑体" w:hAnsi="黑体" w:eastAsia="黑体" w:cs="黑体"/>
          <w:snapToGrid/>
          <w:kern w:val="2"/>
          <w:sz w:val="32"/>
          <w:szCs w:val="32"/>
        </w:rPr>
        <w:t>概况</w:t>
      </w:r>
    </w:p>
    <w:p>
      <w:pPr>
        <w:spacing w:before="207"/>
        <w:ind w:firstLine="632" w:firstLineChars="200"/>
        <w:rPr>
          <w:rFonts w:ascii="楷体" w:hAnsi="楷体" w:eastAsia="楷体" w:cs="楷体"/>
          <w:sz w:val="32"/>
          <w:szCs w:val="32"/>
        </w:rPr>
      </w:pPr>
      <w:r>
        <w:rPr>
          <w:rFonts w:ascii="楷体" w:hAnsi="楷体" w:eastAsia="楷体" w:cs="楷体"/>
          <w:spacing w:val="-2"/>
          <w:sz w:val="32"/>
          <w:szCs w:val="32"/>
        </w:rPr>
        <w:t>一、部门主要职责</w:t>
      </w:r>
    </w:p>
    <w:p>
      <w:pPr>
        <w:spacing w:before="200"/>
        <w:ind w:firstLine="644" w:firstLineChars="200"/>
        <w:rPr>
          <w:rFonts w:ascii="楷体" w:hAnsi="楷体" w:eastAsia="楷体" w:cs="楷体"/>
          <w:sz w:val="32"/>
          <w:szCs w:val="32"/>
        </w:rPr>
      </w:pPr>
      <w:r>
        <w:rPr>
          <w:rFonts w:ascii="楷体" w:hAnsi="楷体" w:eastAsia="楷体" w:cs="楷体"/>
          <w:spacing w:val="1"/>
          <w:sz w:val="32"/>
          <w:szCs w:val="32"/>
        </w:rPr>
        <w:t>二、机构设置及人员情况</w:t>
      </w:r>
    </w:p>
    <w:p>
      <w:pPr>
        <w:widowControl w:val="0"/>
        <w:kinsoku/>
        <w:autoSpaceDE/>
        <w:autoSpaceDN/>
        <w:adjustRightInd/>
        <w:snapToGrid/>
        <w:jc w:val="both"/>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第二部分 浮梁县</w:t>
      </w:r>
      <w:r>
        <w:rPr>
          <w:rFonts w:hint="eastAsia" w:ascii="黑体" w:hAnsi="黑体" w:eastAsia="黑体" w:cs="黑体"/>
          <w:snapToGrid/>
          <w:kern w:val="2"/>
          <w:sz w:val="32"/>
          <w:szCs w:val="32"/>
          <w:lang w:val="en-US" w:eastAsia="zh-CN"/>
        </w:rPr>
        <w:t>社保中心</w:t>
      </w:r>
      <w:r>
        <w:rPr>
          <w:rFonts w:hint="eastAsia" w:ascii="黑体" w:hAnsi="黑体" w:eastAsia="黑体" w:cs="黑体"/>
          <w:snapToGrid/>
          <w:kern w:val="2"/>
          <w:sz w:val="32"/>
          <w:szCs w:val="32"/>
        </w:rPr>
        <w:t>2023年部门预算表</w:t>
      </w:r>
    </w:p>
    <w:p>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一、《收支预算总表》</w:t>
      </w:r>
    </w:p>
    <w:p>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二、《部门收入总表》</w:t>
      </w:r>
    </w:p>
    <w:p>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三、《部门支出总表》</w:t>
      </w:r>
    </w:p>
    <w:p>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四、《财政拨款收支总表》</w:t>
      </w:r>
    </w:p>
    <w:p>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五、《一般公共预算支出表》</w:t>
      </w:r>
    </w:p>
    <w:p>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六、《一般公共预算基本支出表》</w:t>
      </w:r>
    </w:p>
    <w:p>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七、《一般公共预算"三公"经费支出表》</w:t>
      </w:r>
    </w:p>
    <w:p>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八、《政府性基金预算支出表》</w:t>
      </w:r>
    </w:p>
    <w:p>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九、《国有资本经营预算支出表》</w:t>
      </w:r>
    </w:p>
    <w:p>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十、《部门整体支出绩效目标表》</w:t>
      </w:r>
    </w:p>
    <w:p>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十一、《项目绩效目标表》</w:t>
      </w:r>
    </w:p>
    <w:p>
      <w:pPr>
        <w:widowControl w:val="0"/>
        <w:kinsoku/>
        <w:autoSpaceDE/>
        <w:autoSpaceDN/>
        <w:adjustRightInd/>
        <w:snapToGrid/>
        <w:jc w:val="both"/>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第三部分 浮梁县</w:t>
      </w:r>
      <w:r>
        <w:rPr>
          <w:rFonts w:hint="eastAsia" w:ascii="黑体" w:hAnsi="黑体" w:eastAsia="黑体" w:cs="黑体"/>
          <w:snapToGrid/>
          <w:kern w:val="2"/>
          <w:sz w:val="32"/>
          <w:szCs w:val="32"/>
          <w:lang w:val="en-US" w:eastAsia="zh-CN"/>
        </w:rPr>
        <w:t>社保中心</w:t>
      </w:r>
      <w:r>
        <w:rPr>
          <w:rFonts w:hint="eastAsia" w:ascii="黑体" w:hAnsi="黑体" w:eastAsia="黑体" w:cs="黑体"/>
          <w:snapToGrid/>
          <w:kern w:val="2"/>
          <w:sz w:val="32"/>
          <w:szCs w:val="32"/>
        </w:rPr>
        <w:t>2023年部门预算情况说明</w:t>
      </w:r>
    </w:p>
    <w:p>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一、2023年部门预算收支情况说明</w:t>
      </w:r>
    </w:p>
    <w:p>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二、2023年"三公”经费预算情况说明</w:t>
      </w:r>
    </w:p>
    <w:p>
      <w:pPr>
        <w:widowControl w:val="0"/>
        <w:kinsoku/>
        <w:autoSpaceDE/>
        <w:autoSpaceDN/>
        <w:adjustRightInd/>
        <w:snapToGrid/>
        <w:jc w:val="both"/>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第四部分 名词解释</w:t>
      </w:r>
    </w:p>
    <w:p/>
    <w:p/>
    <w:p/>
    <w:p/>
    <w:p/>
    <w:p>
      <w:pPr>
        <w:widowControl w:val="0"/>
        <w:kinsoku/>
        <w:autoSpaceDE/>
        <w:autoSpaceDN/>
        <w:adjustRightInd/>
        <w:snapToGrid/>
        <w:jc w:val="center"/>
        <w:textAlignment w:val="auto"/>
      </w:pPr>
      <w:r>
        <w:rPr>
          <w:rFonts w:hint="eastAsia" w:ascii="黑体" w:hAnsi="黑体" w:eastAsia="黑体" w:cs="黑体"/>
          <w:snapToGrid/>
          <w:kern w:val="2"/>
          <w:sz w:val="32"/>
          <w:szCs w:val="32"/>
        </w:rPr>
        <w:t>第一部分 浮梁县</w:t>
      </w:r>
      <w:r>
        <w:rPr>
          <w:rFonts w:hint="eastAsia" w:ascii="黑体" w:hAnsi="黑体" w:eastAsia="黑体" w:cs="黑体"/>
          <w:snapToGrid/>
          <w:kern w:val="2"/>
          <w:sz w:val="32"/>
          <w:szCs w:val="32"/>
          <w:lang w:val="en-US" w:eastAsia="zh-CN"/>
        </w:rPr>
        <w:t>社保中心</w:t>
      </w:r>
      <w:r>
        <w:rPr>
          <w:rFonts w:hint="eastAsia" w:ascii="黑体" w:hAnsi="黑体" w:eastAsia="黑体" w:cs="黑体"/>
          <w:snapToGrid/>
          <w:kern w:val="2"/>
          <w:sz w:val="32"/>
          <w:szCs w:val="32"/>
        </w:rPr>
        <w:t>概况</w:t>
      </w:r>
    </w:p>
    <w:p>
      <w:pPr>
        <w:spacing w:before="214"/>
        <w:rPr>
          <w:rFonts w:hint="eastAsia" w:ascii="黑体" w:hAnsi="黑体" w:eastAsia="黑体" w:cs="黑体"/>
          <w:snapToGrid/>
          <w:kern w:val="2"/>
          <w:sz w:val="32"/>
          <w:szCs w:val="32"/>
        </w:rPr>
      </w:pPr>
      <w:r>
        <w:rPr>
          <w:rFonts w:hint="eastAsia" w:ascii="黑体" w:hAnsi="黑体" w:eastAsia="黑体" w:cs="黑体"/>
          <w:snapToGrid/>
          <w:kern w:val="2"/>
          <w:sz w:val="32"/>
          <w:szCs w:val="32"/>
        </w:rPr>
        <w:t>一、部门主要职责</w:t>
      </w:r>
    </w:p>
    <w:p>
      <w:pPr>
        <w:pStyle w:val="3"/>
        <w:keepNext w:val="0"/>
        <w:keepLines w:val="0"/>
        <w:widowControl/>
        <w:suppressLineNumbers w:val="0"/>
        <w:spacing w:before="105" w:beforeAutospacing="0" w:after="105" w:afterAutospacing="0" w:line="30" w:lineRule="atLeast"/>
        <w:ind w:firstLine="644" w:firstLineChars="200"/>
        <w:rPr>
          <w:rFonts w:hint="eastAsia" w:ascii="楷体" w:hAnsi="楷体" w:eastAsia="楷体" w:cs="楷体"/>
          <w:snapToGrid w:val="0"/>
          <w:color w:val="000000"/>
          <w:spacing w:val="1"/>
          <w:kern w:val="0"/>
          <w:sz w:val="32"/>
          <w:szCs w:val="32"/>
          <w:lang w:val="en-US" w:eastAsia="zh-CN" w:bidi="ar-SA"/>
        </w:rPr>
      </w:pPr>
      <w:r>
        <w:rPr>
          <w:rFonts w:hint="eastAsia" w:ascii="楷体" w:hAnsi="楷体" w:eastAsia="楷体" w:cs="楷体"/>
          <w:snapToGrid w:val="0"/>
          <w:color w:val="000000"/>
          <w:spacing w:val="1"/>
          <w:kern w:val="0"/>
          <w:sz w:val="32"/>
          <w:szCs w:val="32"/>
          <w:lang w:val="en-US" w:eastAsia="zh-CN" w:bidi="ar-SA"/>
        </w:rPr>
        <w:t xml:space="preserve">负责企业基本养老保险、机关事业养老保险、工伤保险、城乡居民养老保险管理办法的实施。承担全县企业基本养老保险、机关事业养老保险、工伤保险、城乡居民养老保险业务经办事务；负责退休员工养老金的核定、审批，协同各部门做好退休人员社会化管理工作； 负责调动人员养老保险转移手续的办理；负责工伤待遇的核定和支付工作；承担全县企业基本养老保险、机关事业养老保险、工伤保险、城乡居民养老保险稽核工作； 负责全县参保人员的信息录入和档案管理工作； 承担社会保险信息统计汇总、上报工作；负责组织开展社会保险政策宣传、经办人员培训等工作；负责社保待遇基金拨付、社保基金收支统计与汇总，定期做好财务预决算的编制；承办县人力资源和社会保障局交办的其他工作。 </w:t>
      </w:r>
    </w:p>
    <w:p>
      <w:pPr>
        <w:spacing w:before="214"/>
        <w:rPr>
          <w:rFonts w:ascii="楷体" w:hAnsi="楷体" w:eastAsia="楷体" w:cs="楷体"/>
          <w:color w:val="FF0000"/>
          <w:spacing w:val="13"/>
          <w:sz w:val="32"/>
          <w:szCs w:val="32"/>
        </w:rPr>
      </w:pPr>
      <w:r>
        <w:rPr>
          <w:rFonts w:hint="eastAsia" w:ascii="黑体" w:hAnsi="黑体" w:eastAsia="黑体" w:cs="黑体"/>
          <w:snapToGrid/>
          <w:kern w:val="2"/>
          <w:sz w:val="32"/>
          <w:szCs w:val="32"/>
        </w:rPr>
        <w:t>二、机构设置及人员情况</w:t>
      </w:r>
    </w:p>
    <w:p>
      <w:pPr>
        <w:spacing w:line="580" w:lineRule="exact"/>
        <w:ind w:firstLine="629"/>
        <w:jc w:val="left"/>
        <w:rPr>
          <w:rFonts w:hint="default" w:asciiTheme="minorEastAsia" w:hAnsiTheme="minorEastAsia" w:eastAsiaTheme="minorEastAsia" w:cstheme="minorEastAsia"/>
          <w:spacing w:val="-2"/>
          <w:sz w:val="28"/>
          <w:szCs w:val="28"/>
          <w:lang w:val="en-US"/>
        </w:rPr>
      </w:pPr>
      <w:r>
        <w:rPr>
          <w:rFonts w:hint="eastAsia" w:asciiTheme="minorEastAsia" w:hAnsiTheme="minorEastAsia" w:eastAsiaTheme="minorEastAsia" w:cstheme="minorEastAsia"/>
          <w:spacing w:val="-2"/>
          <w:sz w:val="28"/>
          <w:szCs w:val="28"/>
        </w:rPr>
        <w:t xml:space="preserve">纳入本套部门决算汇编范围的单位共 </w:t>
      </w:r>
      <w:r>
        <w:rPr>
          <w:rFonts w:hint="eastAsia" w:asciiTheme="minorEastAsia" w:hAnsiTheme="minorEastAsia" w:eastAsiaTheme="minorEastAsia" w:cstheme="minorEastAsia"/>
          <w:spacing w:val="-2"/>
          <w:sz w:val="28"/>
          <w:szCs w:val="28"/>
          <w:lang w:val="en-US" w:eastAsia="zh-CN"/>
        </w:rPr>
        <w:t>1</w:t>
      </w:r>
      <w:r>
        <w:rPr>
          <w:rFonts w:hint="eastAsia" w:asciiTheme="minorEastAsia" w:hAnsiTheme="minorEastAsia" w:eastAsiaTheme="minorEastAsia" w:cstheme="minorEastAsia"/>
          <w:spacing w:val="-2"/>
          <w:sz w:val="28"/>
          <w:szCs w:val="28"/>
        </w:rPr>
        <w:t xml:space="preserve"> 个，包括：</w:t>
      </w:r>
      <w:r>
        <w:rPr>
          <w:rFonts w:hint="eastAsia" w:asciiTheme="minorEastAsia" w:hAnsiTheme="minorEastAsia" w:eastAsiaTheme="minorEastAsia" w:cstheme="minorEastAsia"/>
          <w:spacing w:val="-2"/>
          <w:sz w:val="28"/>
          <w:szCs w:val="28"/>
          <w:lang w:eastAsia="zh-CN"/>
        </w:rPr>
        <w:t>浮梁县社会事业</w:t>
      </w:r>
      <w:r>
        <w:rPr>
          <w:rFonts w:hint="eastAsia" w:asciiTheme="minorEastAsia" w:hAnsiTheme="minorEastAsia" w:eastAsiaTheme="minorEastAsia" w:cstheme="minorEastAsia"/>
          <w:spacing w:val="-2"/>
          <w:sz w:val="28"/>
          <w:szCs w:val="28"/>
          <w:lang w:val="en-US" w:eastAsia="zh-CN"/>
        </w:rPr>
        <w:t>保险事业服务中心。</w:t>
      </w:r>
    </w:p>
    <w:p>
      <w:pPr>
        <w:spacing w:line="580" w:lineRule="exact"/>
        <w:ind w:firstLine="629"/>
        <w:jc w:val="left"/>
        <w:rPr>
          <w:rFonts w:ascii="仿宋" w:hAnsi="仿宋" w:eastAsia="仿宋" w:cs="仿宋"/>
          <w:spacing w:val="-9"/>
          <w:sz w:val="32"/>
          <w:szCs w:val="32"/>
        </w:rPr>
      </w:pPr>
      <w:r>
        <w:rPr>
          <w:rFonts w:hint="eastAsia" w:asciiTheme="minorEastAsia" w:hAnsiTheme="minorEastAsia" w:eastAsiaTheme="minorEastAsia" w:cstheme="minorEastAsia"/>
          <w:spacing w:val="-2"/>
          <w:sz w:val="28"/>
          <w:szCs w:val="28"/>
        </w:rPr>
        <w:t>本部门20</w:t>
      </w:r>
      <w:r>
        <w:rPr>
          <w:rFonts w:hint="eastAsia" w:asciiTheme="minorEastAsia" w:hAnsiTheme="minorEastAsia" w:eastAsiaTheme="minorEastAsia" w:cstheme="minorEastAsia"/>
          <w:spacing w:val="-2"/>
          <w:sz w:val="28"/>
          <w:szCs w:val="28"/>
          <w:lang w:val="en-US" w:eastAsia="zh-CN"/>
        </w:rPr>
        <w:t>22</w:t>
      </w:r>
      <w:r>
        <w:rPr>
          <w:rFonts w:hint="eastAsia" w:asciiTheme="minorEastAsia" w:hAnsiTheme="minorEastAsia" w:eastAsiaTheme="minorEastAsia" w:cstheme="minorEastAsia"/>
          <w:spacing w:val="-2"/>
          <w:sz w:val="28"/>
          <w:szCs w:val="28"/>
        </w:rPr>
        <w:t xml:space="preserve">年年末编制人数 </w:t>
      </w:r>
      <w:r>
        <w:rPr>
          <w:rFonts w:hint="eastAsia" w:asciiTheme="minorEastAsia" w:hAnsiTheme="minorEastAsia" w:eastAsiaTheme="minorEastAsia" w:cstheme="minorEastAsia"/>
          <w:spacing w:val="-2"/>
          <w:sz w:val="28"/>
          <w:szCs w:val="28"/>
          <w:lang w:val="en-US" w:eastAsia="zh-CN"/>
        </w:rPr>
        <w:t>28</w:t>
      </w:r>
      <w:r>
        <w:rPr>
          <w:rFonts w:hint="eastAsia" w:asciiTheme="minorEastAsia" w:hAnsiTheme="minorEastAsia" w:eastAsiaTheme="minorEastAsia" w:cstheme="minorEastAsia"/>
          <w:spacing w:val="-2"/>
          <w:sz w:val="28"/>
          <w:szCs w:val="28"/>
        </w:rPr>
        <w:t>人</w:t>
      </w:r>
      <w:r>
        <w:rPr>
          <w:rFonts w:hint="eastAsia" w:asciiTheme="minorEastAsia" w:hAnsiTheme="minorEastAsia" w:eastAsiaTheme="minorEastAsia" w:cstheme="minorEastAsia"/>
          <w:spacing w:val="-2"/>
          <w:sz w:val="28"/>
          <w:szCs w:val="28"/>
          <w:lang w:eastAsia="zh-CN"/>
        </w:rPr>
        <w:t>。</w:t>
      </w:r>
      <w:r>
        <w:rPr>
          <w:rFonts w:hint="eastAsia" w:asciiTheme="minorEastAsia" w:hAnsiTheme="minorEastAsia" w:eastAsiaTheme="minorEastAsia" w:cstheme="minorEastAsia"/>
          <w:spacing w:val="-2"/>
          <w:sz w:val="28"/>
          <w:szCs w:val="28"/>
        </w:rPr>
        <w:t xml:space="preserve">其中行政编制 </w:t>
      </w:r>
      <w:r>
        <w:rPr>
          <w:rFonts w:hint="eastAsia" w:asciiTheme="minorEastAsia" w:hAnsiTheme="minorEastAsia" w:eastAsiaTheme="minorEastAsia" w:cstheme="minorEastAsia"/>
          <w:spacing w:val="-2"/>
          <w:sz w:val="28"/>
          <w:szCs w:val="28"/>
          <w:lang w:val="en-US" w:eastAsia="zh-CN"/>
        </w:rPr>
        <w:t>0</w:t>
      </w:r>
      <w:r>
        <w:rPr>
          <w:rFonts w:hint="eastAsia" w:asciiTheme="minorEastAsia" w:hAnsiTheme="minorEastAsia" w:eastAsiaTheme="minorEastAsia" w:cstheme="minorEastAsia"/>
          <w:spacing w:val="-2"/>
          <w:sz w:val="28"/>
          <w:szCs w:val="28"/>
        </w:rPr>
        <w:t xml:space="preserve"> 人，事业编制 </w:t>
      </w:r>
      <w:r>
        <w:rPr>
          <w:rFonts w:hint="eastAsia" w:asciiTheme="minorEastAsia" w:hAnsiTheme="minorEastAsia" w:eastAsiaTheme="minorEastAsia" w:cstheme="minorEastAsia"/>
          <w:spacing w:val="-2"/>
          <w:sz w:val="28"/>
          <w:szCs w:val="28"/>
          <w:lang w:val="en-US" w:eastAsia="zh-CN"/>
        </w:rPr>
        <w:t>28</w:t>
      </w:r>
      <w:r>
        <w:rPr>
          <w:rFonts w:hint="eastAsia" w:asciiTheme="minorEastAsia" w:hAnsiTheme="minorEastAsia" w:eastAsiaTheme="minorEastAsia" w:cstheme="minorEastAsia"/>
          <w:spacing w:val="-2"/>
          <w:sz w:val="28"/>
          <w:szCs w:val="28"/>
        </w:rPr>
        <w:t xml:space="preserve">人；年末实有人数 </w:t>
      </w:r>
      <w:r>
        <w:rPr>
          <w:rFonts w:hint="eastAsia" w:asciiTheme="minorEastAsia" w:hAnsiTheme="minorEastAsia" w:eastAsiaTheme="minorEastAsia" w:cstheme="minorEastAsia"/>
          <w:spacing w:val="-2"/>
          <w:sz w:val="28"/>
          <w:szCs w:val="28"/>
          <w:lang w:val="en-US" w:eastAsia="zh-CN"/>
        </w:rPr>
        <w:t>33</w:t>
      </w:r>
      <w:r>
        <w:rPr>
          <w:rFonts w:hint="eastAsia" w:asciiTheme="minorEastAsia" w:hAnsiTheme="minorEastAsia" w:eastAsiaTheme="minorEastAsia" w:cstheme="minorEastAsia"/>
          <w:spacing w:val="-2"/>
          <w:sz w:val="28"/>
          <w:szCs w:val="28"/>
        </w:rPr>
        <w:t>人，其中在职人员</w:t>
      </w:r>
      <w:r>
        <w:rPr>
          <w:rFonts w:hint="eastAsia" w:asciiTheme="minorEastAsia" w:hAnsiTheme="minorEastAsia" w:eastAsiaTheme="minorEastAsia" w:cstheme="minorEastAsia"/>
          <w:spacing w:val="-2"/>
          <w:sz w:val="28"/>
          <w:szCs w:val="28"/>
          <w:lang w:val="en-US" w:eastAsia="zh-CN"/>
        </w:rPr>
        <w:t>28</w:t>
      </w:r>
      <w:r>
        <w:rPr>
          <w:rFonts w:hint="eastAsia" w:asciiTheme="minorEastAsia" w:hAnsiTheme="minorEastAsia" w:eastAsiaTheme="minorEastAsia" w:cstheme="minorEastAsia"/>
          <w:spacing w:val="-2"/>
          <w:sz w:val="28"/>
          <w:szCs w:val="28"/>
        </w:rPr>
        <w:t xml:space="preserve">人，离休人员 </w:t>
      </w:r>
      <w:r>
        <w:rPr>
          <w:rFonts w:hint="eastAsia" w:asciiTheme="minorEastAsia" w:hAnsiTheme="minorEastAsia" w:eastAsiaTheme="minorEastAsia" w:cstheme="minorEastAsia"/>
          <w:spacing w:val="-2"/>
          <w:sz w:val="28"/>
          <w:szCs w:val="28"/>
          <w:lang w:val="en-US" w:eastAsia="zh-CN"/>
        </w:rPr>
        <w:t>0</w:t>
      </w:r>
      <w:r>
        <w:rPr>
          <w:rFonts w:hint="eastAsia" w:asciiTheme="minorEastAsia" w:hAnsiTheme="minorEastAsia" w:eastAsiaTheme="minorEastAsia" w:cstheme="minorEastAsia"/>
          <w:spacing w:val="-2"/>
          <w:sz w:val="28"/>
          <w:szCs w:val="28"/>
        </w:rPr>
        <w:t xml:space="preserve"> 人，退休人员  </w:t>
      </w:r>
      <w:r>
        <w:rPr>
          <w:rFonts w:hint="eastAsia" w:asciiTheme="minorEastAsia" w:hAnsiTheme="minorEastAsia" w:eastAsiaTheme="minorEastAsia" w:cstheme="minorEastAsia"/>
          <w:spacing w:val="-2"/>
          <w:sz w:val="28"/>
          <w:szCs w:val="28"/>
          <w:lang w:val="en-US" w:eastAsia="zh-CN"/>
        </w:rPr>
        <w:t>5</w:t>
      </w:r>
      <w:r>
        <w:rPr>
          <w:rFonts w:hint="eastAsia" w:asciiTheme="minorEastAsia" w:hAnsiTheme="minorEastAsia" w:eastAsiaTheme="minorEastAsia" w:cstheme="minorEastAsia"/>
          <w:spacing w:val="-2"/>
          <w:sz w:val="28"/>
          <w:szCs w:val="28"/>
        </w:rPr>
        <w:t xml:space="preserve">人；年末学生人数 </w:t>
      </w:r>
      <w:r>
        <w:rPr>
          <w:rFonts w:hint="eastAsia" w:asciiTheme="minorEastAsia" w:hAnsiTheme="minorEastAsia" w:eastAsiaTheme="minorEastAsia" w:cstheme="minorEastAsia"/>
          <w:spacing w:val="-2"/>
          <w:sz w:val="28"/>
          <w:szCs w:val="28"/>
          <w:lang w:val="en-US" w:eastAsia="zh-CN"/>
        </w:rPr>
        <w:t>0</w:t>
      </w:r>
      <w:r>
        <w:rPr>
          <w:rFonts w:hint="eastAsia" w:asciiTheme="minorEastAsia" w:hAnsiTheme="minorEastAsia" w:eastAsiaTheme="minorEastAsia" w:cstheme="minorEastAsia"/>
          <w:spacing w:val="-2"/>
          <w:sz w:val="28"/>
          <w:szCs w:val="28"/>
        </w:rPr>
        <w:t xml:space="preserve">  人。</w:t>
      </w:r>
    </w:p>
    <w:p/>
    <w:p>
      <w:pPr>
        <w:widowControl w:val="0"/>
        <w:kinsoku/>
        <w:autoSpaceDE/>
        <w:autoSpaceDN/>
        <w:adjustRightInd/>
        <w:snapToGrid/>
        <w:jc w:val="center"/>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第二部分 浮梁县</w:t>
      </w:r>
      <w:r>
        <w:rPr>
          <w:rFonts w:hint="eastAsia" w:ascii="黑体" w:hAnsi="黑体" w:eastAsia="黑体" w:cs="黑体"/>
          <w:snapToGrid/>
          <w:kern w:val="2"/>
          <w:sz w:val="32"/>
          <w:szCs w:val="32"/>
          <w:lang w:val="en-US" w:eastAsia="zh-CN"/>
        </w:rPr>
        <w:t>社保中心</w:t>
      </w:r>
      <w:r>
        <w:rPr>
          <w:rFonts w:hint="eastAsia" w:ascii="黑体" w:hAnsi="黑体" w:eastAsia="黑体" w:cs="黑体"/>
          <w:snapToGrid/>
          <w:kern w:val="2"/>
          <w:sz w:val="32"/>
          <w:szCs w:val="32"/>
        </w:rPr>
        <w:t>2023年部门预算表</w:t>
      </w:r>
    </w:p>
    <w:p>
      <w:pPr>
        <w:spacing w:before="215"/>
        <w:ind w:firstLine="3550"/>
        <w:rPr>
          <w:rFonts w:ascii="仿宋" w:hAnsi="仿宋" w:eastAsia="仿宋" w:cs="仿宋"/>
          <w:spacing w:val="17"/>
          <w:sz w:val="32"/>
          <w:szCs w:val="32"/>
        </w:rPr>
      </w:pPr>
      <w:r>
        <w:rPr>
          <w:rFonts w:ascii="仿宋" w:hAnsi="仿宋" w:eastAsia="仿宋" w:cs="仿宋"/>
          <w:spacing w:val="17"/>
          <w:sz w:val="32"/>
          <w:szCs w:val="32"/>
        </w:rPr>
        <w:t>(详见附表)</w:t>
      </w:r>
    </w:p>
    <w:p>
      <w:pPr>
        <w:spacing w:before="215"/>
        <w:ind w:firstLine="3550"/>
        <w:rPr>
          <w:rFonts w:ascii="仿宋" w:hAnsi="仿宋" w:eastAsia="仿宋" w:cs="仿宋"/>
          <w:spacing w:val="17"/>
          <w:sz w:val="32"/>
          <w:szCs w:val="32"/>
        </w:rPr>
      </w:pPr>
    </w:p>
    <w:p/>
    <w:p>
      <w:pPr>
        <w:widowControl w:val="0"/>
        <w:kinsoku/>
        <w:autoSpaceDE/>
        <w:autoSpaceDN/>
        <w:adjustRightInd/>
        <w:snapToGrid/>
        <w:jc w:val="center"/>
        <w:textAlignment w:val="auto"/>
      </w:pPr>
      <w:r>
        <w:rPr>
          <w:rFonts w:hint="eastAsia" w:ascii="黑体" w:hAnsi="黑体" w:eastAsia="黑体" w:cs="黑体"/>
          <w:snapToGrid/>
          <w:kern w:val="2"/>
          <w:sz w:val="32"/>
          <w:szCs w:val="32"/>
        </w:rPr>
        <w:t>第三部分 浮梁县</w:t>
      </w:r>
      <w:r>
        <w:rPr>
          <w:rFonts w:hint="eastAsia" w:ascii="黑体" w:hAnsi="黑体" w:eastAsia="黑体" w:cs="黑体"/>
          <w:snapToGrid/>
          <w:kern w:val="2"/>
          <w:sz w:val="32"/>
          <w:szCs w:val="32"/>
          <w:lang w:val="en-US" w:eastAsia="zh-CN"/>
        </w:rPr>
        <w:t>社保中心</w:t>
      </w:r>
      <w:r>
        <w:rPr>
          <w:rFonts w:hint="eastAsia" w:ascii="黑体" w:hAnsi="黑体" w:eastAsia="黑体" w:cs="黑体"/>
          <w:snapToGrid/>
          <w:kern w:val="2"/>
          <w:sz w:val="32"/>
          <w:szCs w:val="32"/>
        </w:rPr>
        <w:t>2023年部门预算情况说明</w:t>
      </w:r>
    </w:p>
    <w:p>
      <w:pPr>
        <w:spacing w:before="214"/>
        <w:rPr>
          <w:rFonts w:ascii="楷体" w:hAnsi="楷体" w:eastAsia="楷体" w:cs="楷体"/>
          <w:spacing w:val="13"/>
          <w:sz w:val="32"/>
          <w:szCs w:val="32"/>
        </w:rPr>
      </w:pPr>
      <w:r>
        <w:rPr>
          <w:rFonts w:hint="eastAsia" w:ascii="楷体" w:hAnsi="楷体" w:eastAsia="楷体" w:cs="楷体"/>
          <w:spacing w:val="13"/>
          <w:sz w:val="32"/>
          <w:szCs w:val="32"/>
        </w:rPr>
        <w:t>一、2023年部门预算收支情况说明</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(一)收入预算情况</w:t>
      </w:r>
    </w:p>
    <w:p>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说明部门收入预算总额和结构，较上年预算安排的增(减)变化。</w:t>
      </w:r>
    </w:p>
    <w:p>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lang w:val="en-US" w:eastAsia="zh-CN"/>
        </w:rPr>
        <w:t>本年收入预算6335万元，财政拨款6335万元。对比上年增长2264%。</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(二)支出预算情况</w:t>
      </w:r>
    </w:p>
    <w:p>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说明部门支出预算总额并按资金性质、功能分类和经济分类分别说明支出的金额和结构，较上年预算安排的增(减)变化。</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lang w:val="en-US" w:eastAsia="zh-CN"/>
        </w:rPr>
        <w:t>本年支出预算6335万元，人员类429万元，公用经费19万元，项目5887万元。对比上年人员类增长82%，公用经费增长12%。</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(三)财政拨款支出情况</w:t>
      </w:r>
    </w:p>
    <w:p>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说明部门财政拨款支出预算数，较上年预算安排的增(减)变化。</w:t>
      </w:r>
    </w:p>
    <w:p>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lang w:val="en-US" w:eastAsia="zh-CN"/>
        </w:rPr>
        <w:t>本年财政拨款支出6335万元，人员类429万元，公用经费19万元，项目5887万元。对比上年人员类增长82%，公用经费增长12%。</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(四)政府性基金情况</w:t>
      </w:r>
    </w:p>
    <w:p>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说明部门政府性基金支出总额，以及支出的结构和金额，较上年预算安排的增(减)变化。如无，则说明没有使用政府性基金预算拨款安排的支出。</w:t>
      </w:r>
    </w:p>
    <w:p>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没有使用政府性基金预算拨款安排的支出。</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(五)国有资本经营情况</w:t>
      </w:r>
    </w:p>
    <w:p>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说明国有资本经营预算支出总额，以及支出的结构和金额，较上年预算安排的增(减)变化。如无，则说明没有使用国有资本经营预算拨款安排的支出。</w:t>
      </w:r>
    </w:p>
    <w:p>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没有使用国有资本经营预算拨款安排的支出。</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(六)机关运行经费等重要事项的说明</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2023年部门机关运行费预算</w:t>
      </w:r>
      <w:r>
        <w:rPr>
          <w:rFonts w:hint="eastAsia" w:ascii="仿宋_GB2312" w:hAnsi="Times New Roman" w:eastAsia="仿宋_GB2312" w:cs="Times New Roman"/>
          <w:snapToGrid/>
          <w:kern w:val="2"/>
          <w:sz w:val="32"/>
          <w:szCs w:val="32"/>
          <w:lang w:val="en-US" w:eastAsia="zh-CN"/>
        </w:rPr>
        <w:t>19</w:t>
      </w:r>
      <w:r>
        <w:rPr>
          <w:rFonts w:hint="eastAsia" w:ascii="仿宋_GB2312" w:hAnsi="Times New Roman" w:eastAsia="仿宋_GB2312" w:cs="Times New Roman"/>
          <w:snapToGrid/>
          <w:kern w:val="2"/>
          <w:sz w:val="32"/>
          <w:szCs w:val="32"/>
        </w:rPr>
        <w:t>万元，比2022年预算增加</w:t>
      </w:r>
      <w:r>
        <w:rPr>
          <w:rFonts w:hint="eastAsia" w:ascii="仿宋_GB2312" w:hAnsi="Times New Roman" w:eastAsia="仿宋_GB2312" w:cs="Times New Roman"/>
          <w:snapToGrid/>
          <w:kern w:val="2"/>
          <w:sz w:val="32"/>
          <w:szCs w:val="32"/>
          <w:lang w:val="en-US" w:eastAsia="zh-CN"/>
        </w:rPr>
        <w:t>2</w:t>
      </w:r>
      <w:r>
        <w:rPr>
          <w:rFonts w:hint="eastAsia" w:ascii="仿宋_GB2312" w:hAnsi="Times New Roman" w:eastAsia="仿宋_GB2312" w:cs="Times New Roman"/>
          <w:snapToGrid/>
          <w:kern w:val="2"/>
          <w:sz w:val="32"/>
          <w:szCs w:val="32"/>
        </w:rPr>
        <w:t>万元，增长</w:t>
      </w:r>
      <w:r>
        <w:rPr>
          <w:rFonts w:hint="eastAsia" w:ascii="仿宋_GB2312" w:hAnsi="Times New Roman" w:eastAsia="仿宋_GB2312" w:cs="Times New Roman"/>
          <w:snapToGrid/>
          <w:kern w:val="2"/>
          <w:sz w:val="32"/>
          <w:szCs w:val="32"/>
          <w:lang w:val="en-US" w:eastAsia="zh-CN"/>
        </w:rPr>
        <w:t>12</w:t>
      </w:r>
      <w:r>
        <w:rPr>
          <w:rFonts w:hint="eastAsia" w:ascii="仿宋_GB2312" w:hAnsi="Times New Roman" w:eastAsia="仿宋_GB2312" w:cs="Times New Roman"/>
          <w:snapToGrid/>
          <w:kern w:val="2"/>
          <w:sz w:val="32"/>
          <w:szCs w:val="32"/>
        </w:rPr>
        <w:t xml:space="preserve"> %。</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按照财政部《地方预决算公开操作规程》明确的口径，机关运行费指各部门的公用经费，包括办公及印刷费、邮电费、差旅费、会议费、福利费、日常维修费、专用材料及一般设备购置费、办公用房水电费、办公用房取暖费、办公用房物业管理费、公务用车运行维护费以及其他费用。</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(七)政府采购情况</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2023年部门所属各单位政府采购总额</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万元，其中:政府采购货物预算</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万元、政府采购工程预算</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万元、政府采购服务预算</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万元。</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(八)国有资产占有使用情况</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截至2022年12月31日，部门共有车辆</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辆，其中，一般公务用车</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辆，执法执勤用车</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辆。</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2023年部门预算安排购置车辆</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辆，安排购置单位价值200万元以上大型设备具体为:</w:t>
      </w:r>
    </w:p>
    <w:p>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(九)项目情况说明</w:t>
      </w:r>
    </w:p>
    <w:p>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1、</w:t>
      </w:r>
      <w:r>
        <w:rPr>
          <w:rFonts w:hint="eastAsia" w:ascii="仿宋_GB2312" w:hAnsi="Times New Roman" w:eastAsia="仿宋_GB2312" w:cs="Times New Roman"/>
          <w:snapToGrid/>
          <w:kern w:val="2"/>
          <w:sz w:val="32"/>
          <w:szCs w:val="32"/>
          <w:lang w:val="en-US" w:eastAsia="zh-CN"/>
        </w:rPr>
        <w:t>2023年发放被征地农民养老保险金（方案一）</w:t>
      </w:r>
      <w:r>
        <w:rPr>
          <w:rFonts w:hint="eastAsia" w:ascii="仿宋_GB2312" w:hAnsi="Times New Roman" w:eastAsia="仿宋_GB2312" w:cs="Times New Roman"/>
          <w:snapToGrid/>
          <w:kern w:val="2"/>
          <w:sz w:val="32"/>
          <w:szCs w:val="32"/>
        </w:rPr>
        <w:t>项目</w:t>
      </w:r>
    </w:p>
    <w:p>
      <w:pPr>
        <w:widowControl w:val="0"/>
        <w:kinsoku/>
        <w:autoSpaceDE/>
        <w:autoSpaceDN/>
        <w:adjustRightInd/>
        <w:snapToGrid/>
        <w:ind w:firstLine="640" w:firstLineChars="200"/>
        <w:jc w:val="both"/>
        <w:textAlignment w:val="auto"/>
        <w:rPr>
          <w:rFonts w:hint="default"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1)项目概述</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发放被征地农民养老保险金（方案一）</w:t>
      </w:r>
    </w:p>
    <w:p>
      <w:pPr>
        <w:widowControl w:val="0"/>
        <w:kinsoku/>
        <w:autoSpaceDE/>
        <w:autoSpaceDN/>
        <w:adjustRightInd/>
        <w:snapToGrid/>
        <w:ind w:firstLine="640" w:firstLineChars="200"/>
        <w:jc w:val="both"/>
        <w:textAlignment w:val="auto"/>
        <w:rPr>
          <w:rFonts w:hint="default"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2)立项依据</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浮府发〔2012〕2号</w:t>
      </w:r>
    </w:p>
    <w:p>
      <w:pPr>
        <w:widowControl w:val="0"/>
        <w:kinsoku/>
        <w:autoSpaceDE/>
        <w:autoSpaceDN/>
        <w:adjustRightInd/>
        <w:snapToGrid/>
        <w:ind w:firstLine="640" w:firstLineChars="200"/>
        <w:jc w:val="both"/>
        <w:textAlignment w:val="auto"/>
        <w:rPr>
          <w:rFonts w:hint="default"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3)实施主体</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浮梁社保中心</w:t>
      </w:r>
    </w:p>
    <w:p>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4）实施方案</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每月发放被征地农民养老保险金</w:t>
      </w:r>
    </w:p>
    <w:p>
      <w:pPr>
        <w:widowControl w:val="0"/>
        <w:kinsoku/>
        <w:autoSpaceDE/>
        <w:autoSpaceDN/>
        <w:adjustRightInd/>
        <w:snapToGrid/>
        <w:ind w:firstLine="640" w:firstLineChars="200"/>
        <w:jc w:val="both"/>
        <w:textAlignment w:val="auto"/>
        <w:rPr>
          <w:rFonts w:hint="default"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5)实施周期</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一年</w:t>
      </w:r>
    </w:p>
    <w:p>
      <w:pPr>
        <w:widowControl w:val="0"/>
        <w:kinsoku/>
        <w:autoSpaceDE/>
        <w:autoSpaceDN/>
        <w:adjustRightInd/>
        <w:snapToGrid/>
        <w:ind w:firstLine="640" w:firstLineChars="200"/>
        <w:jc w:val="both"/>
        <w:textAlignment w:val="auto"/>
        <w:rPr>
          <w:rFonts w:hint="default"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6)年度预算安排</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43万元</w:t>
      </w:r>
    </w:p>
    <w:p>
      <w:pPr>
        <w:widowControl w:val="0"/>
        <w:kinsoku/>
        <w:autoSpaceDE/>
        <w:autoSpaceDN/>
        <w:adjustRightInd/>
        <w:snapToGrid/>
        <w:ind w:firstLine="640" w:firstLineChars="200"/>
        <w:jc w:val="both"/>
        <w:textAlignment w:val="auto"/>
        <w:rPr>
          <w:rFonts w:hint="default"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7)绩效目标和指标</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足额及时发放被征地农民养老保险金</w:t>
      </w:r>
    </w:p>
    <w:p>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2、</w:t>
      </w:r>
      <w:r>
        <w:rPr>
          <w:rFonts w:hint="eastAsia" w:ascii="仿宋_GB2312" w:hAnsi="Times New Roman" w:eastAsia="仿宋_GB2312" w:cs="Times New Roman"/>
          <w:snapToGrid/>
          <w:kern w:val="2"/>
          <w:sz w:val="32"/>
          <w:szCs w:val="32"/>
          <w:lang w:val="en-US" w:eastAsia="zh-CN"/>
        </w:rPr>
        <w:t>2023年发放被征地农民生活补助金</w:t>
      </w:r>
      <w:r>
        <w:rPr>
          <w:rFonts w:hint="eastAsia" w:ascii="仿宋_GB2312" w:hAnsi="Times New Roman" w:eastAsia="仿宋_GB2312" w:cs="Times New Roman"/>
          <w:snapToGrid/>
          <w:kern w:val="2"/>
          <w:sz w:val="32"/>
          <w:szCs w:val="32"/>
        </w:rPr>
        <w:t>项目</w:t>
      </w:r>
    </w:p>
    <w:p>
      <w:pPr>
        <w:widowControl w:val="0"/>
        <w:kinsoku/>
        <w:autoSpaceDE/>
        <w:autoSpaceDN/>
        <w:adjustRightInd/>
        <w:snapToGrid/>
        <w:ind w:firstLine="640" w:firstLineChars="200"/>
        <w:jc w:val="both"/>
        <w:textAlignment w:val="auto"/>
        <w:rPr>
          <w:rFonts w:hint="default"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1)项目概述</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发放被征地农民生活补助金</w:t>
      </w:r>
    </w:p>
    <w:p>
      <w:pPr>
        <w:widowControl w:val="0"/>
        <w:kinsoku/>
        <w:autoSpaceDE/>
        <w:autoSpaceDN/>
        <w:adjustRightInd/>
        <w:snapToGrid/>
        <w:ind w:firstLine="640" w:firstLineChars="200"/>
        <w:jc w:val="both"/>
        <w:textAlignment w:val="auto"/>
        <w:rPr>
          <w:rFonts w:hint="default"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2)立项依据</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浮府发〔2004〕46号</w:t>
      </w:r>
    </w:p>
    <w:p>
      <w:pPr>
        <w:widowControl w:val="0"/>
        <w:kinsoku/>
        <w:autoSpaceDE/>
        <w:autoSpaceDN/>
        <w:adjustRightInd/>
        <w:snapToGrid/>
        <w:ind w:firstLine="640" w:firstLineChars="200"/>
        <w:jc w:val="both"/>
        <w:textAlignment w:val="auto"/>
        <w:rPr>
          <w:rFonts w:hint="default"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3)实施主体</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浮梁社保中心</w:t>
      </w:r>
    </w:p>
    <w:p>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4）实施方案</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每月发放被征地农民生活补助金</w:t>
      </w:r>
    </w:p>
    <w:p>
      <w:pPr>
        <w:widowControl w:val="0"/>
        <w:kinsoku/>
        <w:autoSpaceDE/>
        <w:autoSpaceDN/>
        <w:adjustRightInd/>
        <w:snapToGrid/>
        <w:ind w:firstLine="640" w:firstLineChars="200"/>
        <w:jc w:val="both"/>
        <w:textAlignment w:val="auto"/>
        <w:rPr>
          <w:rFonts w:hint="default"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5)实施周期</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一年</w:t>
      </w:r>
    </w:p>
    <w:p>
      <w:pPr>
        <w:widowControl w:val="0"/>
        <w:kinsoku/>
        <w:autoSpaceDE/>
        <w:autoSpaceDN/>
        <w:adjustRightInd/>
        <w:snapToGrid/>
        <w:ind w:firstLine="640" w:firstLineChars="200"/>
        <w:jc w:val="both"/>
        <w:textAlignment w:val="auto"/>
        <w:rPr>
          <w:rFonts w:hint="default"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6)年度预算安排</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2578万元</w:t>
      </w:r>
    </w:p>
    <w:p>
      <w:pPr>
        <w:widowControl w:val="0"/>
        <w:kinsoku/>
        <w:autoSpaceDE/>
        <w:autoSpaceDN/>
        <w:adjustRightInd/>
        <w:snapToGrid/>
        <w:ind w:firstLine="640" w:firstLineChars="200"/>
        <w:jc w:val="both"/>
        <w:textAlignment w:val="auto"/>
        <w:rPr>
          <w:rFonts w:hint="default"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7)绩效目标和指标</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足额及时发放被征地农民生活补助金</w:t>
      </w:r>
    </w:p>
    <w:p>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lang w:val="en-US" w:eastAsia="zh-CN"/>
        </w:rPr>
        <w:t>3</w:t>
      </w:r>
      <w:r>
        <w:rPr>
          <w:rFonts w:hint="eastAsia" w:ascii="仿宋_GB2312" w:hAnsi="Times New Roman" w:eastAsia="仿宋_GB2312" w:cs="Times New Roman"/>
          <w:snapToGrid/>
          <w:kern w:val="2"/>
          <w:sz w:val="32"/>
          <w:szCs w:val="32"/>
        </w:rPr>
        <w:t>、</w:t>
      </w:r>
      <w:r>
        <w:rPr>
          <w:rFonts w:hint="eastAsia" w:ascii="仿宋_GB2312" w:hAnsi="Times New Roman" w:eastAsia="仿宋_GB2312" w:cs="Times New Roman"/>
          <w:snapToGrid/>
          <w:kern w:val="2"/>
          <w:sz w:val="32"/>
          <w:szCs w:val="32"/>
          <w:lang w:val="en-US" w:eastAsia="zh-CN"/>
        </w:rPr>
        <w:t>手工联社生补</w:t>
      </w:r>
      <w:r>
        <w:rPr>
          <w:rFonts w:hint="eastAsia" w:ascii="仿宋_GB2312" w:hAnsi="Times New Roman" w:eastAsia="仿宋_GB2312" w:cs="Times New Roman"/>
          <w:snapToGrid/>
          <w:kern w:val="2"/>
          <w:sz w:val="32"/>
          <w:szCs w:val="32"/>
        </w:rPr>
        <w:t>项目</w:t>
      </w:r>
    </w:p>
    <w:p>
      <w:pPr>
        <w:widowControl w:val="0"/>
        <w:kinsoku/>
        <w:autoSpaceDE/>
        <w:autoSpaceDN/>
        <w:adjustRightInd/>
        <w:snapToGrid/>
        <w:ind w:firstLine="640" w:firstLineChars="200"/>
        <w:jc w:val="both"/>
        <w:textAlignment w:val="auto"/>
        <w:rPr>
          <w:rFonts w:hint="default"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1)项目概述</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发放手工联社职工生活补贴</w:t>
      </w:r>
    </w:p>
    <w:p>
      <w:pPr>
        <w:widowControl w:val="0"/>
        <w:kinsoku/>
        <w:autoSpaceDE/>
        <w:autoSpaceDN/>
        <w:adjustRightInd/>
        <w:snapToGrid/>
        <w:ind w:firstLine="640" w:firstLineChars="200"/>
        <w:jc w:val="both"/>
        <w:textAlignment w:val="auto"/>
        <w:rPr>
          <w:rFonts w:hint="default"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2)立项依据</w:t>
      </w:r>
      <w:r>
        <w:rPr>
          <w:rFonts w:hint="eastAsia" w:ascii="仿宋_GB2312" w:hAnsi="Times New Roman" w:eastAsia="仿宋_GB2312" w:cs="Times New Roman"/>
          <w:snapToGrid/>
          <w:kern w:val="2"/>
          <w:sz w:val="32"/>
          <w:szCs w:val="32"/>
          <w:lang w:eastAsia="zh-CN"/>
        </w:rPr>
        <w:t>：景人社字(2022)221号</w:t>
      </w:r>
    </w:p>
    <w:p>
      <w:pPr>
        <w:widowControl w:val="0"/>
        <w:kinsoku/>
        <w:autoSpaceDE/>
        <w:autoSpaceDN/>
        <w:adjustRightInd/>
        <w:snapToGrid/>
        <w:ind w:firstLine="640" w:firstLineChars="200"/>
        <w:jc w:val="both"/>
        <w:textAlignment w:val="auto"/>
        <w:rPr>
          <w:rFonts w:hint="default"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3)实施主体</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浮梁社保中心</w:t>
      </w:r>
    </w:p>
    <w:p>
      <w:pPr>
        <w:widowControl w:val="0"/>
        <w:kinsoku/>
        <w:autoSpaceDE/>
        <w:autoSpaceDN/>
        <w:adjustRightInd/>
        <w:snapToGrid/>
        <w:ind w:firstLine="640" w:firstLineChars="200"/>
        <w:jc w:val="both"/>
        <w:textAlignment w:val="auto"/>
        <w:rPr>
          <w:rFonts w:hint="default"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4）实施方案</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确保对手工联社及未安置知青发放生活补贴到位、发放及时。</w:t>
      </w:r>
    </w:p>
    <w:p>
      <w:pPr>
        <w:widowControl w:val="0"/>
        <w:kinsoku/>
        <w:autoSpaceDE/>
        <w:autoSpaceDN/>
        <w:adjustRightInd/>
        <w:snapToGrid/>
        <w:ind w:firstLine="640" w:firstLineChars="200"/>
        <w:jc w:val="both"/>
        <w:textAlignment w:val="auto"/>
        <w:rPr>
          <w:rFonts w:hint="default"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5)实施周期</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一年</w:t>
      </w:r>
    </w:p>
    <w:p>
      <w:pPr>
        <w:widowControl w:val="0"/>
        <w:kinsoku/>
        <w:autoSpaceDE/>
        <w:autoSpaceDN/>
        <w:adjustRightInd/>
        <w:snapToGrid/>
        <w:ind w:firstLine="640" w:firstLineChars="200"/>
        <w:jc w:val="both"/>
        <w:textAlignment w:val="auto"/>
        <w:rPr>
          <w:rFonts w:hint="default"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6)年度预算安排</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211万元</w:t>
      </w:r>
    </w:p>
    <w:p>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7)绩效目标和指标</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足额及时发放手工联社及未安置知青生活补贴</w:t>
      </w:r>
    </w:p>
    <w:p>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lang w:val="en-US" w:eastAsia="zh-CN"/>
        </w:rPr>
        <w:t>4</w:t>
      </w:r>
      <w:r>
        <w:rPr>
          <w:rFonts w:hint="eastAsia" w:ascii="仿宋_GB2312" w:hAnsi="Times New Roman" w:eastAsia="仿宋_GB2312" w:cs="Times New Roman"/>
          <w:snapToGrid/>
          <w:kern w:val="2"/>
          <w:sz w:val="32"/>
          <w:szCs w:val="32"/>
        </w:rPr>
        <w:t>、</w:t>
      </w:r>
      <w:r>
        <w:rPr>
          <w:rFonts w:hint="eastAsia" w:ascii="仿宋_GB2312" w:hAnsi="Times New Roman" w:eastAsia="仿宋_GB2312" w:cs="Times New Roman"/>
          <w:snapToGrid/>
          <w:kern w:val="2"/>
          <w:sz w:val="32"/>
          <w:szCs w:val="32"/>
          <w:lang w:val="en-US" w:eastAsia="zh-CN"/>
        </w:rPr>
        <w:t>2023年助保贷</w:t>
      </w:r>
      <w:r>
        <w:rPr>
          <w:rFonts w:hint="eastAsia" w:ascii="仿宋_GB2312" w:hAnsi="Times New Roman" w:eastAsia="仿宋_GB2312" w:cs="Times New Roman"/>
          <w:snapToGrid/>
          <w:kern w:val="2"/>
          <w:sz w:val="32"/>
          <w:szCs w:val="32"/>
        </w:rPr>
        <w:t>项目</w:t>
      </w:r>
    </w:p>
    <w:p>
      <w:pPr>
        <w:widowControl w:val="0"/>
        <w:kinsoku/>
        <w:autoSpaceDE/>
        <w:autoSpaceDN/>
        <w:adjustRightInd/>
        <w:snapToGrid/>
        <w:ind w:firstLine="640" w:firstLineChars="200"/>
        <w:jc w:val="both"/>
        <w:textAlignment w:val="auto"/>
        <w:rPr>
          <w:rFonts w:hint="default"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1)项目概述</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对困难人员提供贷款贴息补贴</w:t>
      </w:r>
    </w:p>
    <w:p>
      <w:pPr>
        <w:widowControl w:val="0"/>
        <w:kinsoku/>
        <w:autoSpaceDE/>
        <w:autoSpaceDN/>
        <w:adjustRightInd/>
        <w:snapToGrid/>
        <w:ind w:firstLine="640" w:firstLineChars="200"/>
        <w:jc w:val="both"/>
        <w:textAlignment w:val="auto"/>
        <w:rPr>
          <w:rFonts w:hint="default"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2)立项依据</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助保贷</w:t>
      </w:r>
      <w:r>
        <w:rPr>
          <w:rFonts w:hint="eastAsia" w:ascii="仿宋_GB2312" w:hAnsi="Times New Roman" w:eastAsia="仿宋_GB2312" w:cs="Times New Roman"/>
          <w:snapToGrid/>
          <w:kern w:val="2"/>
          <w:sz w:val="32"/>
          <w:szCs w:val="32"/>
        </w:rPr>
        <w:t>项目</w:t>
      </w:r>
    </w:p>
    <w:p>
      <w:pPr>
        <w:widowControl w:val="0"/>
        <w:kinsoku/>
        <w:autoSpaceDE/>
        <w:autoSpaceDN/>
        <w:adjustRightInd/>
        <w:snapToGrid/>
        <w:ind w:firstLine="640" w:firstLineChars="200"/>
        <w:jc w:val="both"/>
        <w:textAlignment w:val="auto"/>
        <w:rPr>
          <w:rFonts w:hint="default"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3)实施主体</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浮梁社保中心</w:t>
      </w:r>
    </w:p>
    <w:p>
      <w:pPr>
        <w:widowControl w:val="0"/>
        <w:kinsoku/>
        <w:autoSpaceDE/>
        <w:autoSpaceDN/>
        <w:adjustRightInd/>
        <w:snapToGrid/>
        <w:ind w:firstLine="640" w:firstLineChars="200"/>
        <w:jc w:val="both"/>
        <w:textAlignment w:val="auto"/>
        <w:rPr>
          <w:rFonts w:hint="default"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4）实施方案</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对困难人员提供贷款贴息补贴</w:t>
      </w:r>
    </w:p>
    <w:p>
      <w:pPr>
        <w:widowControl w:val="0"/>
        <w:kinsoku/>
        <w:autoSpaceDE/>
        <w:autoSpaceDN/>
        <w:adjustRightInd/>
        <w:snapToGrid/>
        <w:ind w:firstLine="640" w:firstLineChars="200"/>
        <w:jc w:val="both"/>
        <w:textAlignment w:val="auto"/>
        <w:rPr>
          <w:rFonts w:hint="default"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5)实施周期</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一年</w:t>
      </w:r>
    </w:p>
    <w:p>
      <w:pPr>
        <w:widowControl w:val="0"/>
        <w:kinsoku/>
        <w:autoSpaceDE/>
        <w:autoSpaceDN/>
        <w:adjustRightInd/>
        <w:snapToGrid/>
        <w:ind w:firstLine="640" w:firstLineChars="200"/>
        <w:jc w:val="both"/>
        <w:textAlignment w:val="auto"/>
        <w:rPr>
          <w:rFonts w:hint="default"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6)年度预算安排</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2万元</w:t>
      </w:r>
    </w:p>
    <w:p>
      <w:pPr>
        <w:widowControl w:val="0"/>
        <w:kinsoku/>
        <w:autoSpaceDE/>
        <w:autoSpaceDN/>
        <w:adjustRightInd/>
        <w:snapToGrid/>
        <w:ind w:firstLine="640" w:firstLineChars="200"/>
        <w:jc w:val="both"/>
        <w:textAlignment w:val="auto"/>
        <w:rPr>
          <w:rFonts w:hint="default" w:ascii="仿宋_GB2312" w:hAnsi="Times New Roman" w:eastAsia="仿宋_GB2312" w:cs="Times New Roman"/>
          <w:snapToGrid/>
          <w:kern w:val="2"/>
          <w:sz w:val="32"/>
          <w:szCs w:val="32"/>
          <w:lang w:val="en-US"/>
        </w:rPr>
      </w:pPr>
      <w:r>
        <w:rPr>
          <w:rFonts w:hint="eastAsia" w:ascii="仿宋_GB2312" w:hAnsi="Times New Roman" w:eastAsia="仿宋_GB2312" w:cs="Times New Roman"/>
          <w:snapToGrid/>
          <w:kern w:val="2"/>
          <w:sz w:val="32"/>
          <w:szCs w:val="32"/>
        </w:rPr>
        <w:t>7)绩效目标和指标</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保证困难人员正常参保。</w:t>
      </w:r>
    </w:p>
    <w:p>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lang w:val="en-US" w:eastAsia="zh-CN"/>
        </w:rPr>
        <w:t>5</w:t>
      </w:r>
      <w:r>
        <w:rPr>
          <w:rFonts w:hint="eastAsia" w:ascii="仿宋_GB2312" w:hAnsi="Times New Roman" w:eastAsia="仿宋_GB2312" w:cs="Times New Roman"/>
          <w:snapToGrid/>
          <w:kern w:val="2"/>
          <w:sz w:val="32"/>
          <w:szCs w:val="32"/>
        </w:rPr>
        <w:t>、</w:t>
      </w:r>
      <w:r>
        <w:rPr>
          <w:rFonts w:hint="eastAsia" w:ascii="仿宋_GB2312" w:hAnsi="Times New Roman" w:eastAsia="仿宋_GB2312" w:cs="Times New Roman"/>
          <w:snapToGrid/>
          <w:kern w:val="2"/>
          <w:sz w:val="32"/>
          <w:szCs w:val="32"/>
          <w:lang w:val="en-US" w:eastAsia="zh-CN"/>
        </w:rPr>
        <w:t>机关事业单位基本养老保险缴费（上线准备期欠缴资金）</w:t>
      </w:r>
      <w:r>
        <w:rPr>
          <w:rFonts w:hint="eastAsia" w:ascii="仿宋_GB2312" w:hAnsi="Times New Roman" w:eastAsia="仿宋_GB2312" w:cs="Times New Roman"/>
          <w:snapToGrid/>
          <w:kern w:val="2"/>
          <w:sz w:val="32"/>
          <w:szCs w:val="32"/>
        </w:rPr>
        <w:t>项目</w:t>
      </w:r>
    </w:p>
    <w:p>
      <w:pPr>
        <w:widowControl w:val="0"/>
        <w:kinsoku/>
        <w:autoSpaceDE/>
        <w:autoSpaceDN/>
        <w:adjustRightInd/>
        <w:snapToGrid/>
        <w:ind w:firstLine="640" w:firstLineChars="200"/>
        <w:jc w:val="both"/>
        <w:textAlignment w:val="auto"/>
        <w:rPr>
          <w:rFonts w:hint="default"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1)项目概述</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发放机关养老保险金</w:t>
      </w:r>
    </w:p>
    <w:p>
      <w:pPr>
        <w:widowControl w:val="0"/>
        <w:kinsoku/>
        <w:autoSpaceDE/>
        <w:autoSpaceDN/>
        <w:adjustRightInd/>
        <w:snapToGrid/>
        <w:ind w:firstLine="640" w:firstLineChars="200"/>
        <w:jc w:val="both"/>
        <w:textAlignment w:val="auto"/>
        <w:rPr>
          <w:rFonts w:hint="default"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2)立项依据</w:t>
      </w:r>
      <w:r>
        <w:rPr>
          <w:rFonts w:hint="eastAsia" w:ascii="仿宋_GB2312" w:hAnsi="Times New Roman" w:eastAsia="仿宋_GB2312" w:cs="Times New Roman"/>
          <w:snapToGrid/>
          <w:kern w:val="2"/>
          <w:sz w:val="32"/>
          <w:szCs w:val="32"/>
          <w:lang w:eastAsia="zh-CN"/>
        </w:rPr>
        <w:t>：赣人社发〔2019〕27号</w:t>
      </w:r>
    </w:p>
    <w:p>
      <w:pPr>
        <w:widowControl w:val="0"/>
        <w:kinsoku/>
        <w:autoSpaceDE/>
        <w:autoSpaceDN/>
        <w:adjustRightInd/>
        <w:snapToGrid/>
        <w:ind w:firstLine="640" w:firstLineChars="200"/>
        <w:jc w:val="both"/>
        <w:textAlignment w:val="auto"/>
        <w:rPr>
          <w:rFonts w:hint="default"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3)实施主体</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浮梁社保中心</w:t>
      </w:r>
    </w:p>
    <w:p>
      <w:pPr>
        <w:widowControl w:val="0"/>
        <w:kinsoku/>
        <w:autoSpaceDE/>
        <w:autoSpaceDN/>
        <w:adjustRightInd/>
        <w:snapToGrid/>
        <w:ind w:firstLine="640" w:firstLineChars="200"/>
        <w:jc w:val="both"/>
        <w:textAlignment w:val="auto"/>
        <w:rPr>
          <w:rFonts w:hint="default"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4）实施方案</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每月</w:t>
      </w:r>
      <w:r>
        <w:rPr>
          <w:rFonts w:hint="eastAsia" w:ascii="仿宋_GB2312" w:hAnsi="Times New Roman" w:eastAsia="仿宋_GB2312" w:cs="Times New Roman"/>
          <w:snapToGrid/>
          <w:kern w:val="2"/>
          <w:sz w:val="32"/>
          <w:szCs w:val="32"/>
          <w:lang w:eastAsia="zh-CN"/>
        </w:rPr>
        <w:t>发放机关养老保险金</w:t>
      </w:r>
    </w:p>
    <w:p>
      <w:pPr>
        <w:widowControl w:val="0"/>
        <w:kinsoku/>
        <w:autoSpaceDE/>
        <w:autoSpaceDN/>
        <w:adjustRightInd/>
        <w:snapToGrid/>
        <w:ind w:firstLine="640" w:firstLineChars="200"/>
        <w:jc w:val="both"/>
        <w:textAlignment w:val="auto"/>
        <w:rPr>
          <w:rFonts w:hint="default"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5)实施周期</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一年</w:t>
      </w:r>
    </w:p>
    <w:p>
      <w:pPr>
        <w:widowControl w:val="0"/>
        <w:kinsoku/>
        <w:autoSpaceDE/>
        <w:autoSpaceDN/>
        <w:adjustRightInd/>
        <w:snapToGrid/>
        <w:ind w:firstLine="640" w:firstLineChars="200"/>
        <w:jc w:val="both"/>
        <w:textAlignment w:val="auto"/>
        <w:rPr>
          <w:rFonts w:hint="default"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6)年度预算安排</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3000万元</w:t>
      </w:r>
    </w:p>
    <w:p>
      <w:pPr>
        <w:widowControl w:val="0"/>
        <w:kinsoku/>
        <w:autoSpaceDE/>
        <w:autoSpaceDN/>
        <w:adjustRightInd/>
        <w:snapToGrid/>
        <w:ind w:firstLine="640" w:firstLineChars="200"/>
        <w:jc w:val="both"/>
        <w:textAlignment w:val="auto"/>
        <w:rPr>
          <w:rFonts w:hint="default" w:ascii="仿宋_GB2312" w:hAnsi="Times New Roman" w:eastAsia="仿宋_GB2312" w:cs="Times New Roman"/>
          <w:snapToGrid/>
          <w:kern w:val="2"/>
          <w:sz w:val="32"/>
          <w:szCs w:val="32"/>
          <w:lang w:val="en-US"/>
        </w:rPr>
      </w:pPr>
      <w:r>
        <w:rPr>
          <w:rFonts w:hint="eastAsia" w:ascii="仿宋_GB2312" w:hAnsi="Times New Roman" w:eastAsia="仿宋_GB2312" w:cs="Times New Roman"/>
          <w:snapToGrid/>
          <w:kern w:val="2"/>
          <w:sz w:val="32"/>
          <w:szCs w:val="32"/>
        </w:rPr>
        <w:t>7)绩效目标和指标</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保障机关事业单位退休人员养老金每月15日及时准确发放到位。</w:t>
      </w:r>
    </w:p>
    <w:p>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lang w:val="en-US" w:eastAsia="zh-CN"/>
        </w:rPr>
        <w:t>6</w:t>
      </w:r>
      <w:r>
        <w:rPr>
          <w:rFonts w:hint="eastAsia" w:ascii="仿宋_GB2312" w:hAnsi="Times New Roman" w:eastAsia="仿宋_GB2312" w:cs="Times New Roman"/>
          <w:snapToGrid/>
          <w:kern w:val="2"/>
          <w:sz w:val="32"/>
          <w:szCs w:val="32"/>
        </w:rPr>
        <w:t>、</w:t>
      </w:r>
      <w:r>
        <w:rPr>
          <w:rFonts w:hint="eastAsia" w:ascii="仿宋_GB2312" w:hAnsi="Times New Roman" w:eastAsia="仿宋_GB2312" w:cs="Times New Roman"/>
          <w:snapToGrid/>
          <w:kern w:val="2"/>
          <w:sz w:val="32"/>
          <w:szCs w:val="32"/>
          <w:lang w:val="en-US" w:eastAsia="zh-CN"/>
        </w:rPr>
        <w:t>政府购买服务工作经费</w:t>
      </w:r>
      <w:r>
        <w:rPr>
          <w:rFonts w:hint="eastAsia" w:ascii="仿宋_GB2312" w:hAnsi="Times New Roman" w:eastAsia="仿宋_GB2312" w:cs="Times New Roman"/>
          <w:snapToGrid/>
          <w:kern w:val="2"/>
          <w:sz w:val="32"/>
          <w:szCs w:val="32"/>
        </w:rPr>
        <w:t>项目</w:t>
      </w:r>
    </w:p>
    <w:p>
      <w:pPr>
        <w:widowControl w:val="0"/>
        <w:kinsoku/>
        <w:autoSpaceDE/>
        <w:autoSpaceDN/>
        <w:adjustRightInd/>
        <w:snapToGrid/>
        <w:ind w:firstLine="640" w:firstLineChars="200"/>
        <w:jc w:val="both"/>
        <w:textAlignment w:val="auto"/>
        <w:rPr>
          <w:rFonts w:hint="default"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1)项目概述</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强化社保业务经办服务</w:t>
      </w:r>
    </w:p>
    <w:p>
      <w:pPr>
        <w:widowControl w:val="0"/>
        <w:kinsoku/>
        <w:autoSpaceDE/>
        <w:autoSpaceDN/>
        <w:adjustRightInd/>
        <w:snapToGrid/>
        <w:ind w:firstLine="640" w:firstLineChars="200"/>
        <w:jc w:val="both"/>
        <w:textAlignment w:val="auto"/>
        <w:rPr>
          <w:rFonts w:hint="default"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2)立项依据</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保障社会保险事业服务正常高效运转</w:t>
      </w:r>
    </w:p>
    <w:p>
      <w:pPr>
        <w:widowControl w:val="0"/>
        <w:kinsoku/>
        <w:autoSpaceDE/>
        <w:autoSpaceDN/>
        <w:adjustRightInd/>
        <w:snapToGrid/>
        <w:ind w:firstLine="640" w:firstLineChars="200"/>
        <w:jc w:val="both"/>
        <w:textAlignment w:val="auto"/>
        <w:rPr>
          <w:rFonts w:hint="default"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3)实施主体</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浮梁社保中心</w:t>
      </w:r>
    </w:p>
    <w:p>
      <w:pPr>
        <w:widowControl w:val="0"/>
        <w:kinsoku/>
        <w:autoSpaceDE/>
        <w:autoSpaceDN/>
        <w:adjustRightInd/>
        <w:snapToGrid/>
        <w:ind w:firstLine="640" w:firstLineChars="200"/>
        <w:jc w:val="both"/>
        <w:textAlignment w:val="auto"/>
        <w:rPr>
          <w:rFonts w:hint="default"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4）实施方案</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政府购买服务</w:t>
      </w:r>
    </w:p>
    <w:p>
      <w:pPr>
        <w:widowControl w:val="0"/>
        <w:kinsoku/>
        <w:autoSpaceDE/>
        <w:autoSpaceDN/>
        <w:adjustRightInd/>
        <w:snapToGrid/>
        <w:ind w:firstLine="640" w:firstLineChars="200"/>
        <w:jc w:val="both"/>
        <w:textAlignment w:val="auto"/>
        <w:rPr>
          <w:rFonts w:hint="default"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5)实施周期</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一年</w:t>
      </w:r>
    </w:p>
    <w:p>
      <w:pPr>
        <w:widowControl w:val="0"/>
        <w:kinsoku/>
        <w:autoSpaceDE/>
        <w:autoSpaceDN/>
        <w:adjustRightInd/>
        <w:snapToGrid/>
        <w:ind w:firstLine="640" w:firstLineChars="200"/>
        <w:jc w:val="both"/>
        <w:textAlignment w:val="auto"/>
        <w:rPr>
          <w:rFonts w:hint="default"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6)年度预算安排</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23万元</w:t>
      </w:r>
    </w:p>
    <w:p>
      <w:pPr>
        <w:widowControl w:val="0"/>
        <w:kinsoku/>
        <w:autoSpaceDE/>
        <w:autoSpaceDN/>
        <w:adjustRightInd/>
        <w:snapToGrid/>
        <w:ind w:firstLine="640" w:firstLineChars="200"/>
        <w:jc w:val="both"/>
        <w:textAlignment w:val="auto"/>
        <w:rPr>
          <w:rFonts w:hint="default" w:ascii="仿宋_GB2312" w:hAnsi="Times New Roman" w:eastAsia="仿宋_GB2312" w:cs="Times New Roman"/>
          <w:snapToGrid/>
          <w:kern w:val="2"/>
          <w:sz w:val="32"/>
          <w:szCs w:val="32"/>
          <w:lang w:val="en-US"/>
        </w:rPr>
      </w:pPr>
      <w:r>
        <w:rPr>
          <w:rFonts w:hint="eastAsia" w:ascii="仿宋_GB2312" w:hAnsi="Times New Roman" w:eastAsia="仿宋_GB2312" w:cs="Times New Roman"/>
          <w:snapToGrid/>
          <w:kern w:val="2"/>
          <w:sz w:val="32"/>
          <w:szCs w:val="32"/>
        </w:rPr>
        <w:t>7)绩效目标和指标</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保障社会保险事业服务正常高效运转</w:t>
      </w:r>
    </w:p>
    <w:p>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lang w:val="en-US" w:eastAsia="zh-CN"/>
        </w:rPr>
        <w:t>7、社保经办服务专项</w:t>
      </w:r>
      <w:r>
        <w:rPr>
          <w:rFonts w:hint="eastAsia" w:ascii="仿宋_GB2312" w:hAnsi="Times New Roman" w:eastAsia="仿宋_GB2312" w:cs="Times New Roman"/>
          <w:snapToGrid/>
          <w:kern w:val="2"/>
          <w:sz w:val="32"/>
          <w:szCs w:val="32"/>
        </w:rPr>
        <w:t>项目</w:t>
      </w:r>
    </w:p>
    <w:p>
      <w:pPr>
        <w:widowControl w:val="0"/>
        <w:kinsoku/>
        <w:autoSpaceDE/>
        <w:autoSpaceDN/>
        <w:adjustRightInd/>
        <w:snapToGrid/>
        <w:ind w:firstLine="640" w:firstLineChars="200"/>
        <w:jc w:val="both"/>
        <w:textAlignment w:val="auto"/>
        <w:rPr>
          <w:rFonts w:hint="default"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1)项目概述</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强化社保业务经办服务</w:t>
      </w:r>
    </w:p>
    <w:p>
      <w:pPr>
        <w:widowControl w:val="0"/>
        <w:kinsoku/>
        <w:autoSpaceDE/>
        <w:autoSpaceDN/>
        <w:adjustRightInd/>
        <w:snapToGrid/>
        <w:ind w:firstLine="640" w:firstLineChars="200"/>
        <w:jc w:val="both"/>
        <w:textAlignment w:val="auto"/>
        <w:rPr>
          <w:rFonts w:hint="default"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2)立项依据</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保障社会保险事业服务中心各项业务的正常高效运转</w:t>
      </w:r>
    </w:p>
    <w:p>
      <w:pPr>
        <w:widowControl w:val="0"/>
        <w:kinsoku/>
        <w:autoSpaceDE/>
        <w:autoSpaceDN/>
        <w:adjustRightInd/>
        <w:snapToGrid/>
        <w:ind w:firstLine="640" w:firstLineChars="200"/>
        <w:jc w:val="both"/>
        <w:textAlignment w:val="auto"/>
        <w:rPr>
          <w:rFonts w:hint="default"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3)实施主体</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浮梁社保中心</w:t>
      </w:r>
    </w:p>
    <w:p>
      <w:pPr>
        <w:widowControl w:val="0"/>
        <w:kinsoku/>
        <w:autoSpaceDE/>
        <w:autoSpaceDN/>
        <w:adjustRightInd/>
        <w:snapToGrid/>
        <w:ind w:firstLine="640" w:firstLineChars="200"/>
        <w:jc w:val="both"/>
        <w:textAlignment w:val="auto"/>
        <w:rPr>
          <w:rFonts w:hint="default"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4）实施方案</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确保经办业务正常运转</w:t>
      </w:r>
    </w:p>
    <w:p>
      <w:pPr>
        <w:widowControl w:val="0"/>
        <w:kinsoku/>
        <w:autoSpaceDE/>
        <w:autoSpaceDN/>
        <w:adjustRightInd/>
        <w:snapToGrid/>
        <w:ind w:firstLine="640" w:firstLineChars="200"/>
        <w:jc w:val="both"/>
        <w:textAlignment w:val="auto"/>
        <w:rPr>
          <w:rFonts w:hint="default"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5)实施周期</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一年</w:t>
      </w:r>
    </w:p>
    <w:p>
      <w:pPr>
        <w:widowControl w:val="0"/>
        <w:kinsoku/>
        <w:autoSpaceDE/>
        <w:autoSpaceDN/>
        <w:adjustRightInd/>
        <w:snapToGrid/>
        <w:ind w:firstLine="640" w:firstLineChars="200"/>
        <w:jc w:val="both"/>
        <w:textAlignment w:val="auto"/>
        <w:rPr>
          <w:rFonts w:hint="default"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6)年度预算安排</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30万元</w:t>
      </w:r>
    </w:p>
    <w:p>
      <w:pPr>
        <w:widowControl w:val="0"/>
        <w:kinsoku/>
        <w:autoSpaceDE/>
        <w:autoSpaceDN/>
        <w:adjustRightInd/>
        <w:snapToGrid/>
        <w:ind w:firstLine="640" w:firstLineChars="200"/>
        <w:jc w:val="both"/>
        <w:textAlignment w:val="auto"/>
        <w:rPr>
          <w:rFonts w:hint="default" w:ascii="仿宋_GB2312" w:hAnsi="Times New Roman" w:eastAsia="仿宋_GB2312" w:cs="Times New Roman"/>
          <w:snapToGrid/>
          <w:kern w:val="2"/>
          <w:sz w:val="32"/>
          <w:szCs w:val="32"/>
          <w:lang w:val="en-US"/>
        </w:rPr>
      </w:pPr>
      <w:r>
        <w:rPr>
          <w:rFonts w:hint="eastAsia" w:ascii="仿宋_GB2312" w:hAnsi="Times New Roman" w:eastAsia="仿宋_GB2312" w:cs="Times New Roman"/>
          <w:snapToGrid/>
          <w:kern w:val="2"/>
          <w:sz w:val="32"/>
          <w:szCs w:val="32"/>
        </w:rPr>
        <w:t>7)绩效目标和指标</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保障社会保险事业服务正常高效运转</w:t>
      </w:r>
    </w:p>
    <w:p>
      <w:pPr>
        <w:spacing w:before="214"/>
        <w:rPr>
          <w:rFonts w:ascii="楷体" w:hAnsi="楷体" w:eastAsia="楷体" w:cs="楷体"/>
          <w:spacing w:val="13"/>
          <w:sz w:val="32"/>
          <w:szCs w:val="32"/>
        </w:rPr>
      </w:pPr>
      <w:r>
        <w:rPr>
          <w:rFonts w:hint="eastAsia" w:ascii="楷体" w:hAnsi="楷体" w:eastAsia="楷体" w:cs="楷体"/>
          <w:spacing w:val="13"/>
          <w:sz w:val="32"/>
          <w:szCs w:val="32"/>
        </w:rPr>
        <w:t>二、2023年"三公”经费预算情况说明</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2023年</w:t>
      </w:r>
      <w:r>
        <w:rPr>
          <w:rFonts w:hint="eastAsia" w:ascii="仿宋_GB2312" w:hAnsi="Times New Roman" w:eastAsia="仿宋_GB2312" w:cs="Times New Roman"/>
          <w:snapToGrid/>
          <w:kern w:val="2"/>
          <w:sz w:val="32"/>
          <w:szCs w:val="32"/>
          <w:lang w:val="en-US" w:eastAsia="zh-CN"/>
        </w:rPr>
        <w:t>社保中心</w:t>
      </w:r>
      <w:r>
        <w:rPr>
          <w:rFonts w:hint="eastAsia" w:ascii="仿宋_GB2312" w:hAnsi="Times New Roman" w:eastAsia="仿宋_GB2312" w:cs="Times New Roman"/>
          <w:snapToGrid/>
          <w:kern w:val="2"/>
          <w:sz w:val="32"/>
          <w:szCs w:val="32"/>
        </w:rPr>
        <w:t>"三公"经费一般公共预算安排</w:t>
      </w:r>
      <w:r>
        <w:rPr>
          <w:rFonts w:hint="eastAsia" w:ascii="仿宋_GB2312" w:hAnsi="Times New Roman" w:eastAsia="仿宋_GB2312" w:cs="Times New Roman"/>
          <w:snapToGrid/>
          <w:kern w:val="2"/>
          <w:sz w:val="32"/>
          <w:szCs w:val="32"/>
          <w:lang w:val="en-US" w:eastAsia="zh-CN"/>
        </w:rPr>
        <w:t>6</w:t>
      </w:r>
      <w:r>
        <w:rPr>
          <w:rFonts w:hint="eastAsia" w:ascii="仿宋_GB2312" w:hAnsi="Times New Roman" w:eastAsia="仿宋_GB2312" w:cs="Times New Roman"/>
          <w:snapToGrid/>
          <w:kern w:val="2"/>
          <w:sz w:val="32"/>
          <w:szCs w:val="32"/>
        </w:rPr>
        <w:t>万元。其中:</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因公出国(境)费</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万元，比上年增</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万元，主要原因是:</w:t>
      </w:r>
      <w:r>
        <w:rPr>
          <w:rFonts w:hint="eastAsia" w:ascii="仿宋_GB2312" w:hAnsi="Times New Roman" w:eastAsia="仿宋_GB2312" w:cs="Times New Roman"/>
          <w:snapToGrid/>
          <w:kern w:val="2"/>
          <w:sz w:val="32"/>
          <w:szCs w:val="32"/>
          <w:lang w:val="en-US" w:eastAsia="zh-CN"/>
        </w:rPr>
        <w:t>无</w:t>
      </w:r>
      <w:r>
        <w:rPr>
          <w:rFonts w:hint="eastAsia" w:ascii="仿宋_GB2312" w:hAnsi="Times New Roman" w:eastAsia="仿宋_GB2312" w:cs="Times New Roman"/>
          <w:snapToGrid/>
          <w:kern w:val="2"/>
          <w:sz w:val="32"/>
          <w:szCs w:val="32"/>
        </w:rPr>
        <w:t>。</w:t>
      </w:r>
    </w:p>
    <w:p>
      <w:pPr>
        <w:widowControl w:val="0"/>
        <w:kinsoku/>
        <w:autoSpaceDE/>
        <w:autoSpaceDN/>
        <w:adjustRightInd/>
        <w:snapToGrid/>
        <w:ind w:left="319" w:leftChars="152" w:firstLine="320" w:firstLineChars="1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公务接待费</w:t>
      </w:r>
      <w:r>
        <w:rPr>
          <w:rFonts w:hint="eastAsia" w:ascii="仿宋_GB2312" w:hAnsi="Times New Roman" w:eastAsia="仿宋_GB2312" w:cs="Times New Roman"/>
          <w:snapToGrid/>
          <w:kern w:val="2"/>
          <w:sz w:val="32"/>
          <w:szCs w:val="32"/>
          <w:lang w:val="en-US" w:eastAsia="zh-CN"/>
        </w:rPr>
        <w:t>6</w:t>
      </w:r>
      <w:r>
        <w:rPr>
          <w:rFonts w:hint="eastAsia" w:ascii="仿宋_GB2312" w:hAnsi="Times New Roman" w:eastAsia="仿宋_GB2312" w:cs="Times New Roman"/>
          <w:snapToGrid/>
          <w:kern w:val="2"/>
          <w:sz w:val="32"/>
          <w:szCs w:val="32"/>
        </w:rPr>
        <w:t>万元，比上年增</w:t>
      </w:r>
      <w:r>
        <w:rPr>
          <w:rFonts w:hint="eastAsia" w:ascii="仿宋_GB2312" w:hAnsi="Times New Roman" w:eastAsia="仿宋_GB2312" w:cs="Times New Roman"/>
          <w:snapToGrid/>
          <w:kern w:val="2"/>
          <w:sz w:val="32"/>
          <w:szCs w:val="32"/>
          <w:lang w:val="en-US" w:eastAsia="zh-CN"/>
        </w:rPr>
        <w:t>6</w:t>
      </w:r>
      <w:r>
        <w:rPr>
          <w:rFonts w:hint="eastAsia" w:ascii="仿宋_GB2312" w:hAnsi="Times New Roman" w:eastAsia="仿宋_GB2312" w:cs="Times New Roman"/>
          <w:snapToGrid/>
          <w:kern w:val="2"/>
          <w:sz w:val="32"/>
          <w:szCs w:val="32"/>
        </w:rPr>
        <w:t>万元，主要原因是:</w:t>
      </w:r>
      <w:r>
        <w:rPr>
          <w:rFonts w:hint="eastAsia" w:ascii="仿宋_GB2312" w:hAnsi="Times New Roman" w:eastAsia="仿宋_GB2312" w:cs="Times New Roman"/>
          <w:snapToGrid/>
          <w:kern w:val="2"/>
          <w:sz w:val="32"/>
          <w:szCs w:val="32"/>
          <w:lang w:val="en-US" w:eastAsia="zh-CN"/>
        </w:rPr>
        <w:t>上年工作失误，未申报预算</w:t>
      </w:r>
      <w:r>
        <w:rPr>
          <w:rFonts w:hint="eastAsia" w:ascii="仿宋_GB2312" w:hAnsi="Times New Roman" w:eastAsia="仿宋_GB2312" w:cs="Times New Roman"/>
          <w:snapToGrid/>
          <w:kern w:val="2"/>
          <w:sz w:val="32"/>
          <w:szCs w:val="32"/>
        </w:rPr>
        <w:t>。</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公务用车运行维护费</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万元，比上年增</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万元，</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主要原因是:</w:t>
      </w:r>
      <w:r>
        <w:rPr>
          <w:rFonts w:hint="eastAsia" w:ascii="仿宋_GB2312" w:hAnsi="Times New Roman" w:eastAsia="仿宋_GB2312" w:cs="Times New Roman"/>
          <w:snapToGrid/>
          <w:kern w:val="2"/>
          <w:sz w:val="32"/>
          <w:szCs w:val="32"/>
          <w:lang w:val="en-US" w:eastAsia="zh-CN"/>
        </w:rPr>
        <w:t>无</w:t>
      </w:r>
      <w:r>
        <w:rPr>
          <w:rFonts w:hint="eastAsia" w:ascii="仿宋_GB2312" w:hAnsi="Times New Roman" w:eastAsia="仿宋_GB2312" w:cs="Times New Roman"/>
          <w:snapToGrid/>
          <w:kern w:val="2"/>
          <w:sz w:val="32"/>
          <w:szCs w:val="32"/>
        </w:rPr>
        <w:t>。</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公务用车购置费</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万元，比上年增</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万元，主要原因是:</w:t>
      </w:r>
      <w:r>
        <w:rPr>
          <w:rFonts w:hint="eastAsia" w:ascii="仿宋_GB2312" w:hAnsi="Times New Roman" w:eastAsia="仿宋_GB2312" w:cs="Times New Roman"/>
          <w:snapToGrid/>
          <w:kern w:val="2"/>
          <w:sz w:val="32"/>
          <w:szCs w:val="32"/>
          <w:lang w:val="en-US" w:eastAsia="zh-CN"/>
        </w:rPr>
        <w:t>无</w:t>
      </w:r>
      <w:r>
        <w:rPr>
          <w:rFonts w:hint="eastAsia" w:ascii="仿宋_GB2312" w:hAnsi="Times New Roman" w:eastAsia="仿宋_GB2312" w:cs="Times New Roman"/>
          <w:snapToGrid/>
          <w:kern w:val="2"/>
          <w:sz w:val="32"/>
          <w:szCs w:val="32"/>
        </w:rPr>
        <w:t>。</w:t>
      </w:r>
    </w:p>
    <w:p>
      <w:pPr>
        <w:spacing w:before="173"/>
        <w:ind w:right="49" w:firstLine="599"/>
        <w:rPr>
          <w:rFonts w:ascii="仿宋" w:hAnsi="仿宋" w:eastAsia="仿宋" w:cs="仿宋"/>
          <w:spacing w:val="-15"/>
          <w:w w:val="94"/>
          <w:sz w:val="32"/>
          <w:szCs w:val="32"/>
        </w:rPr>
      </w:pPr>
    </w:p>
    <w:p>
      <w:pPr>
        <w:widowControl w:val="0"/>
        <w:kinsoku/>
        <w:autoSpaceDE/>
        <w:autoSpaceDN/>
        <w:adjustRightInd/>
        <w:snapToGrid/>
        <w:jc w:val="center"/>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第四部分   名词解释</w:t>
      </w:r>
    </w:p>
    <w:p>
      <w:pPr>
        <w:spacing w:before="214"/>
        <w:rPr>
          <w:rFonts w:ascii="楷体" w:hAnsi="楷体" w:eastAsia="楷体" w:cs="楷体"/>
          <w:spacing w:val="13"/>
          <w:sz w:val="32"/>
          <w:szCs w:val="32"/>
        </w:rPr>
      </w:pPr>
      <w:r>
        <w:rPr>
          <w:rFonts w:hint="eastAsia" w:ascii="楷体" w:hAnsi="楷体" w:eastAsia="楷体" w:cs="楷体"/>
          <w:spacing w:val="13"/>
          <w:sz w:val="32"/>
          <w:szCs w:val="32"/>
        </w:rPr>
        <w:t>一、收入科目</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各部门结合实际进行解释。</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(一)财政拨款:指省级财政当年拨付的资金。</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(二)教育收费资金收入:反映实行专项管理的高中以上学费、住宿费，高校委托培养费，函大、电大、夜大及短训班培训费等教育收费取得的收入。</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(三)事业收入:指事业单位开展专业业务活动及辅助活动取得的收入。</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(四)事业单位经营收入:指事业单位在专业业务活动及辅助活动之外开展非独立核算经营活动取得的收入。</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(五)附属单位上缴收入:反映事业单位附属的独立核算单位按规定标准或比例缴纳的各项收入。包括附属的事业单位上缴的收入和附属的企业上缴的利润等。</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(六)上级补助收入:反映事业单位从主管部门和上级单位取得的非财政补助收入。</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(七)其他收入:指除财政拨款、事业收入、事业单位经营收入等以外的各项收入。</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(八)使用非财政拨款结余:填列历年滚存的非限定用途的非统计财政拨款结余弥补2023年收支差额的数额。</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(九)上年结转和结余:填列2022年全部结转和结余的资金数，包括当年结转结余资金和历年滚存结转结余资金。</w:t>
      </w:r>
    </w:p>
    <w:p>
      <w:pPr>
        <w:spacing w:before="214"/>
        <w:rPr>
          <w:rFonts w:ascii="楷体" w:hAnsi="楷体" w:eastAsia="楷体" w:cs="楷体"/>
          <w:spacing w:val="13"/>
          <w:sz w:val="32"/>
          <w:szCs w:val="32"/>
        </w:rPr>
      </w:pPr>
      <w:r>
        <w:rPr>
          <w:rFonts w:hint="eastAsia" w:ascii="楷体" w:hAnsi="楷体" w:eastAsia="楷体" w:cs="楷体"/>
          <w:spacing w:val="13"/>
          <w:sz w:val="32"/>
          <w:szCs w:val="32"/>
        </w:rPr>
        <w:t>二、支出科目</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对部门预算中涉及的支出功能分类科目(明细到项级)，结合部门实际，参照《2023年政府收支分类科目》的规范说明进行解释。</w:t>
      </w:r>
    </w:p>
    <w:p>
      <w:pPr>
        <w:spacing w:before="214"/>
        <w:rPr>
          <w:rFonts w:ascii="楷体" w:hAnsi="楷体" w:eastAsia="楷体" w:cs="楷体"/>
          <w:spacing w:val="13"/>
          <w:sz w:val="32"/>
          <w:szCs w:val="32"/>
        </w:rPr>
      </w:pPr>
      <w:r>
        <w:rPr>
          <w:rFonts w:hint="eastAsia" w:ascii="楷体" w:hAnsi="楷体" w:eastAsia="楷体" w:cs="楷体"/>
          <w:spacing w:val="13"/>
          <w:sz w:val="32"/>
          <w:szCs w:val="32"/>
        </w:rPr>
        <w:t>三、部门涉及的专业名词</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由部门结合实际填写。</w:t>
      </w:r>
    </w:p>
    <w:sectPr>
      <w:pgSz w:w="11900" w:h="16820"/>
      <w:pgMar w:top="1429" w:right="1647" w:bottom="1319" w:left="1539" w:header="0" w:footer="109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大标宋简体">
    <w:altName w:val="微软雅黑"/>
    <w:panose1 w:val="00000000000000000000"/>
    <w:charset w:val="86"/>
    <w:family w:val="auto"/>
    <w:pitch w:val="default"/>
    <w:sig w:usb0="00000000" w:usb1="00000000" w:usb2="00000010" w:usb3="00000000" w:csb0="00040000" w:csb1="00000000"/>
  </w:font>
  <w:font w:name="楷体">
    <w:altName w:val="宋体"/>
    <w:panose1 w:val="02010609060101010101"/>
    <w:charset w:val="86"/>
    <w:family w:val="modern"/>
    <w:pitch w:val="default"/>
    <w:sig w:usb0="00000000" w:usb1="00000000" w:usb2="00000016" w:usb3="00000000" w:csb0="00040001" w:csb1="00000000"/>
  </w:font>
  <w:font w:name="仿宋_GB2312">
    <w:altName w:val="微软雅黑"/>
    <w:panose1 w:val="00000000000000000000"/>
    <w:charset w:val="86"/>
    <w:family w:val="modern"/>
    <w:pitch w:val="default"/>
    <w:sig w:usb0="00000000" w:usb1="00000000" w:usb2="0000001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8CF3C50" w:usb2="00000016" w:usb3="00000000" w:csb0="0004001F" w:csb1="00000000"/>
  </w:font>
  <w:font w:name="仿宋_GB2312">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4"/>
  </w:compat>
  <w:docVars>
    <w:docVar w:name="commondata" w:val="eyJoZGlkIjoiNDlhZThmMjc4MmU4NTMzNDA0ZDEwODQwY2Q5OGQxOTMifQ=="/>
  </w:docVars>
  <w:rsids>
    <w:rsidRoot w:val="00E637E3"/>
    <w:rsid w:val="0028241F"/>
    <w:rsid w:val="007D2708"/>
    <w:rsid w:val="00A55E03"/>
    <w:rsid w:val="00E637E3"/>
    <w:rsid w:val="01777A97"/>
    <w:rsid w:val="0DCE562B"/>
    <w:rsid w:val="180A0D7A"/>
    <w:rsid w:val="1D686669"/>
    <w:rsid w:val="28B74E8B"/>
    <w:rsid w:val="2C9058C2"/>
    <w:rsid w:val="325D7BAC"/>
    <w:rsid w:val="41357B02"/>
    <w:rsid w:val="413B6DD0"/>
    <w:rsid w:val="474E6296"/>
    <w:rsid w:val="476D2917"/>
    <w:rsid w:val="535A3AA7"/>
    <w:rsid w:val="555C7B5A"/>
    <w:rsid w:val="5D24489D"/>
    <w:rsid w:val="6C0006DE"/>
    <w:rsid w:val="6E881C94"/>
    <w:rsid w:val="6EA33E4F"/>
    <w:rsid w:val="7D067899"/>
    <w:rsid w:val="7E616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8</Pages>
  <Words>2888</Words>
  <Characters>3052</Characters>
  <Lines>14</Lines>
  <Paragraphs>4</Paragraphs>
  <TotalTime>4</TotalTime>
  <ScaleCrop>false</ScaleCrop>
  <LinksUpToDate>false</LinksUpToDate>
  <CharactersWithSpaces>3086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2022-02-17T11:46:00Z</dcterms:created>
  <dc:creator>Administrator</dc:creator>
  <cp:lastModifiedBy>swag</cp:lastModifiedBy>
  <dcterms:modified xsi:type="dcterms:W3CDTF">2023-03-30T15:50:45Z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wqlLaW5nc29mdCBQREYgdG8gV1BTIDcw</vt:lpwstr>
  </property>
  <property fmtid="{D5CDD505-2E9C-101B-9397-08002B2CF9AE}" pid="3" name="Created">
    <vt:filetime>2022-02-17T19:44:23Z</vt:filetime>
  </property>
  <property fmtid="{D5CDD505-2E9C-101B-9397-08002B2CF9AE}" pid="4" name="KSOProductBuildVer">
    <vt:lpwstr>2052-11.1.0.14036</vt:lpwstr>
  </property>
  <property fmtid="{D5CDD505-2E9C-101B-9397-08002B2CF9AE}" pid="5" name="ICV">
    <vt:lpwstr>9173C1F138364BAB97F5847DDE44D16A_13</vt:lpwstr>
  </property>
</Properties>
</file>